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C6610" w14:textId="77777777" w:rsidR="00582FBB" w:rsidRDefault="00417BA3">
      <w:pPr>
        <w:pStyle w:val="Title"/>
        <w:spacing w:line="240" w:lineRule="auto"/>
      </w:pPr>
      <w:bookmarkStart w:id="0" w:name="_GoBack"/>
      <w:bookmarkEnd w:id="0"/>
      <w:r w:rsidRPr="00417BA3">
        <w:t>Meta-Evaluation of the Impacts and Legacy of the London 2012 Olympic Games and Paralympic Games</w:t>
      </w:r>
      <w:r w:rsidR="00F95170">
        <w:t xml:space="preserve"> </w:t>
      </w:r>
    </w:p>
    <w:p w14:paraId="76EC6611" w14:textId="77777777" w:rsidR="00500ED5" w:rsidRDefault="00417BA3" w:rsidP="00EA1531">
      <w:pPr>
        <w:pStyle w:val="Subtitle"/>
        <w:rPr>
          <w:rFonts w:ascii="Garamond" w:hAnsi="Garamond"/>
          <w:sz w:val="26"/>
          <w:szCs w:val="26"/>
          <w:lang w:val="en-GB"/>
        </w:rPr>
      </w:pPr>
      <w:bookmarkStart w:id="1" w:name="_Toc332901240"/>
      <w:r>
        <w:rPr>
          <w:rFonts w:ascii="Garamond" w:hAnsi="Garamond"/>
          <w:sz w:val="26"/>
          <w:szCs w:val="26"/>
          <w:lang w:val="en-GB"/>
        </w:rPr>
        <w:t xml:space="preserve">Summary </w:t>
      </w:r>
      <w:r w:rsidR="00E9225E">
        <w:rPr>
          <w:rFonts w:ascii="Garamond" w:hAnsi="Garamond"/>
          <w:sz w:val="26"/>
          <w:szCs w:val="26"/>
          <w:lang w:val="en-GB"/>
        </w:rPr>
        <w:t xml:space="preserve">of </w:t>
      </w:r>
      <w:r>
        <w:rPr>
          <w:rFonts w:ascii="Garamond" w:hAnsi="Garamond"/>
          <w:sz w:val="26"/>
          <w:szCs w:val="26"/>
          <w:lang w:val="en-GB"/>
        </w:rPr>
        <w:t>Report</w:t>
      </w:r>
      <w:r w:rsidR="00E9225E">
        <w:rPr>
          <w:rFonts w:ascii="Garamond" w:hAnsi="Garamond"/>
          <w:sz w:val="26"/>
          <w:szCs w:val="26"/>
          <w:lang w:val="en-GB"/>
        </w:rPr>
        <w:t xml:space="preserve"> </w:t>
      </w:r>
      <w:r w:rsidR="00DB6D75">
        <w:rPr>
          <w:rFonts w:ascii="Garamond" w:hAnsi="Garamond"/>
          <w:sz w:val="26"/>
          <w:szCs w:val="26"/>
          <w:lang w:val="en-GB"/>
        </w:rPr>
        <w:t>4</w:t>
      </w:r>
      <w:r>
        <w:rPr>
          <w:rFonts w:ascii="Garamond" w:hAnsi="Garamond"/>
          <w:sz w:val="26"/>
          <w:szCs w:val="26"/>
          <w:lang w:val="en-GB"/>
        </w:rPr>
        <w:t>:</w:t>
      </w:r>
      <w:r w:rsidR="0060769B">
        <w:rPr>
          <w:rFonts w:ascii="Garamond" w:hAnsi="Garamond"/>
          <w:sz w:val="26"/>
          <w:szCs w:val="26"/>
          <w:lang w:val="en-GB"/>
        </w:rPr>
        <w:t xml:space="preserve"> </w:t>
      </w:r>
      <w:r w:rsidR="00E9225E">
        <w:rPr>
          <w:rFonts w:ascii="Garamond" w:hAnsi="Garamond"/>
          <w:sz w:val="26"/>
          <w:szCs w:val="26"/>
          <w:lang w:val="en-GB"/>
        </w:rPr>
        <w:t>'</w:t>
      </w:r>
      <w:r w:rsidR="00DB6D75">
        <w:rPr>
          <w:rFonts w:ascii="Garamond" w:hAnsi="Garamond"/>
          <w:sz w:val="26"/>
          <w:szCs w:val="26"/>
          <w:lang w:val="en-GB"/>
        </w:rPr>
        <w:t>Interim Evaluation</w:t>
      </w:r>
      <w:r w:rsidR="00500ED5">
        <w:rPr>
          <w:rFonts w:ascii="Garamond" w:hAnsi="Garamond"/>
          <w:sz w:val="26"/>
          <w:szCs w:val="26"/>
          <w:lang w:val="en-GB"/>
        </w:rPr>
        <w:t>'</w:t>
      </w:r>
      <w:bookmarkEnd w:id="1"/>
    </w:p>
    <w:p w14:paraId="76EC6612" w14:textId="77777777" w:rsidR="00EA1531" w:rsidRDefault="00EA1531" w:rsidP="00EA1531">
      <w:pPr>
        <w:pStyle w:val="Subtitle"/>
      </w:pPr>
    </w:p>
    <w:p w14:paraId="76EC6613" w14:textId="77777777" w:rsidR="00EA1531" w:rsidRDefault="00EA1531" w:rsidP="00EA1531">
      <w:pPr>
        <w:pStyle w:val="Subtitle"/>
      </w:pPr>
    </w:p>
    <w:p w14:paraId="76EC6614" w14:textId="77777777" w:rsidR="00EA1531" w:rsidRPr="00EA1531" w:rsidRDefault="00EA1531" w:rsidP="00EA1531">
      <w:pPr>
        <w:pStyle w:val="Subtitle"/>
        <w:rPr>
          <w:rFonts w:ascii="Garamond" w:hAnsi="Garamond"/>
          <w:sz w:val="26"/>
          <w:szCs w:val="26"/>
          <w:lang w:val="en-GB"/>
        </w:rPr>
      </w:pPr>
      <w:bookmarkStart w:id="2" w:name="_Toc332901241"/>
      <w:r w:rsidRPr="00EA1531">
        <w:rPr>
          <w:rFonts w:ascii="Garamond" w:hAnsi="Garamond"/>
          <w:sz w:val="26"/>
          <w:szCs w:val="26"/>
          <w:lang w:val="en-GB"/>
        </w:rPr>
        <w:t>Prepared by:</w:t>
      </w:r>
      <w:bookmarkEnd w:id="2"/>
    </w:p>
    <w:p w14:paraId="76EC6615" w14:textId="77777777" w:rsidR="00596C7D" w:rsidRPr="00596C7D" w:rsidRDefault="00596C7D" w:rsidP="00596C7D">
      <w:pPr>
        <w:pStyle w:val="Subtitle"/>
        <w:rPr>
          <w:rFonts w:ascii="Garamond" w:hAnsi="Garamond"/>
          <w:sz w:val="26"/>
          <w:szCs w:val="26"/>
          <w:lang w:val="en-GB"/>
        </w:rPr>
      </w:pPr>
      <w:bookmarkStart w:id="3" w:name="_Toc332901242"/>
      <w:r w:rsidRPr="00596C7D">
        <w:rPr>
          <w:rFonts w:ascii="Garamond" w:hAnsi="Garamond"/>
          <w:sz w:val="26"/>
          <w:szCs w:val="26"/>
          <w:lang w:val="en-GB"/>
        </w:rPr>
        <w:t>Grant Thornton</w:t>
      </w:r>
      <w:bookmarkEnd w:id="3"/>
    </w:p>
    <w:p w14:paraId="76EC6616" w14:textId="77777777" w:rsidR="00596C7D" w:rsidRPr="00596C7D" w:rsidRDefault="00596C7D" w:rsidP="00596C7D">
      <w:pPr>
        <w:pStyle w:val="Subtitle"/>
        <w:rPr>
          <w:rFonts w:ascii="Garamond" w:hAnsi="Garamond"/>
          <w:sz w:val="26"/>
          <w:szCs w:val="26"/>
          <w:lang w:val="en-GB"/>
        </w:rPr>
      </w:pPr>
      <w:bookmarkStart w:id="4" w:name="_Toc332901243"/>
      <w:proofErr w:type="spellStart"/>
      <w:r w:rsidRPr="00596C7D">
        <w:rPr>
          <w:rFonts w:ascii="Garamond" w:hAnsi="Garamond"/>
          <w:sz w:val="26"/>
          <w:szCs w:val="26"/>
          <w:lang w:val="en-GB"/>
        </w:rPr>
        <w:t>Ecorys</w:t>
      </w:r>
      <w:bookmarkEnd w:id="4"/>
      <w:proofErr w:type="spellEnd"/>
    </w:p>
    <w:p w14:paraId="76EC6617" w14:textId="77777777" w:rsidR="00596C7D" w:rsidRPr="00596C7D" w:rsidRDefault="00596C7D" w:rsidP="00596C7D">
      <w:pPr>
        <w:pStyle w:val="Subtitle"/>
        <w:rPr>
          <w:rFonts w:ascii="Garamond" w:hAnsi="Garamond"/>
          <w:sz w:val="26"/>
          <w:szCs w:val="26"/>
          <w:lang w:val="en-GB"/>
        </w:rPr>
      </w:pPr>
      <w:bookmarkStart w:id="5" w:name="_Toc332901244"/>
      <w:r w:rsidRPr="00596C7D">
        <w:rPr>
          <w:rFonts w:ascii="Garamond" w:hAnsi="Garamond"/>
          <w:sz w:val="26"/>
          <w:szCs w:val="26"/>
          <w:lang w:val="en-GB"/>
        </w:rPr>
        <w:t>Loughborough University</w:t>
      </w:r>
      <w:bookmarkEnd w:id="5"/>
    </w:p>
    <w:p w14:paraId="76EC6618" w14:textId="77777777" w:rsidR="00596C7D" w:rsidRDefault="00596C7D" w:rsidP="00596C7D">
      <w:pPr>
        <w:pStyle w:val="Subtitle"/>
        <w:rPr>
          <w:rFonts w:ascii="Garamond" w:hAnsi="Garamond"/>
          <w:sz w:val="26"/>
          <w:szCs w:val="26"/>
          <w:lang w:val="en-GB"/>
        </w:rPr>
      </w:pPr>
      <w:bookmarkStart w:id="6" w:name="_Toc332901245"/>
      <w:r w:rsidRPr="00596C7D">
        <w:rPr>
          <w:rFonts w:ascii="Garamond" w:hAnsi="Garamond"/>
          <w:sz w:val="26"/>
          <w:szCs w:val="26"/>
          <w:lang w:val="en-GB"/>
        </w:rPr>
        <w:t>Oxford Economics</w:t>
      </w:r>
      <w:bookmarkEnd w:id="6"/>
      <w:r w:rsidRPr="00596C7D">
        <w:rPr>
          <w:rFonts w:ascii="Garamond" w:hAnsi="Garamond"/>
          <w:sz w:val="26"/>
          <w:szCs w:val="26"/>
          <w:lang w:val="en-GB"/>
        </w:rPr>
        <w:t xml:space="preserve"> </w:t>
      </w:r>
    </w:p>
    <w:p w14:paraId="76EC6619" w14:textId="77777777" w:rsidR="00417BA3" w:rsidRDefault="00417BA3" w:rsidP="00417BA3">
      <w:pPr>
        <w:pStyle w:val="Subtitle"/>
        <w:rPr>
          <w:rFonts w:ascii="Garamond" w:hAnsi="Garamond"/>
          <w:sz w:val="26"/>
          <w:szCs w:val="26"/>
          <w:lang w:val="en-GB"/>
        </w:rPr>
      </w:pPr>
    </w:p>
    <w:p w14:paraId="76EC661A" w14:textId="77777777" w:rsidR="00582FBB" w:rsidRDefault="00582FBB">
      <w:pPr>
        <w:pStyle w:val="Subtitle"/>
        <w:rPr>
          <w:rFonts w:ascii="Garamond" w:hAnsi="Garamond"/>
        </w:rPr>
      </w:pPr>
    </w:p>
    <w:p w14:paraId="76EC661C" w14:textId="77777777" w:rsidR="00582FBB" w:rsidRDefault="00582FBB"/>
    <w:p w14:paraId="76EC661D" w14:textId="76573ED2" w:rsidR="00E77D08" w:rsidRDefault="00E77D08"/>
    <w:p w14:paraId="18709207" w14:textId="77777777" w:rsidR="00E77D08" w:rsidRPr="00E77D08" w:rsidRDefault="00E77D08" w:rsidP="00E77D08"/>
    <w:p w14:paraId="3379B656" w14:textId="77777777" w:rsidR="00E77D08" w:rsidRPr="00E77D08" w:rsidRDefault="00E77D08" w:rsidP="00E77D08"/>
    <w:p w14:paraId="51AB313C" w14:textId="77777777" w:rsidR="00E77D08" w:rsidRPr="00E77D08" w:rsidRDefault="00E77D08" w:rsidP="00E77D08"/>
    <w:p w14:paraId="0C11F564" w14:textId="5C1D4A04" w:rsidR="00E77D08" w:rsidRDefault="00E77D08" w:rsidP="00E77D08">
      <w:pPr>
        <w:tabs>
          <w:tab w:val="left" w:pos="3029"/>
        </w:tabs>
      </w:pPr>
      <w:r>
        <w:tab/>
      </w:r>
    </w:p>
    <w:p w14:paraId="4554E7B1" w14:textId="65494F55" w:rsidR="00E77D08" w:rsidRDefault="00E77D08" w:rsidP="00E77D08"/>
    <w:p w14:paraId="48756E82" w14:textId="77777777" w:rsidR="00582FBB" w:rsidRPr="00E77D08" w:rsidRDefault="00582FBB" w:rsidP="00E77D08">
      <w:pPr>
        <w:sectPr w:rsidR="00582FBB" w:rsidRPr="00E77D08" w:rsidSect="00204A0B">
          <w:footerReference w:type="even" r:id="rId9"/>
          <w:pgSz w:w="11906" w:h="16838" w:code="9"/>
          <w:pgMar w:top="1985" w:right="1134" w:bottom="1134" w:left="2608" w:header="709" w:footer="567" w:gutter="0"/>
          <w:pgNumType w:start="1"/>
          <w:cols w:space="720"/>
          <w:docGrid w:linePitch="360"/>
        </w:sectPr>
      </w:pPr>
    </w:p>
    <w:p w14:paraId="76EC661E" w14:textId="77777777" w:rsidR="00582FBB" w:rsidRDefault="00582FBB" w:rsidP="00446902">
      <w:pPr>
        <w:pStyle w:val="Contents"/>
        <w:framePr w:wrap="around"/>
        <w:spacing w:before="240" w:after="120"/>
        <w:rPr>
          <w:color w:val="4F2D7F"/>
        </w:rPr>
      </w:pPr>
      <w:r w:rsidRPr="00446902">
        <w:rPr>
          <w:color w:val="4F2D7F"/>
        </w:rPr>
        <w:lastRenderedPageBreak/>
        <w:t>Contents</w:t>
      </w:r>
    </w:p>
    <w:p w14:paraId="76EC661F" w14:textId="77777777" w:rsidR="003650E7" w:rsidRPr="003650E7" w:rsidRDefault="003650E7" w:rsidP="003650E7"/>
    <w:p w14:paraId="1D83FB6B" w14:textId="77777777" w:rsidR="0076302E" w:rsidRDefault="00582FBB">
      <w:pPr>
        <w:pStyle w:val="TOC1"/>
        <w:rPr>
          <w:rFonts w:asciiTheme="minorHAnsi" w:eastAsiaTheme="minorEastAsia" w:hAnsiTheme="minorHAnsi" w:cstheme="minorBidi"/>
          <w:b w:val="0"/>
          <w:bCs w:val="0"/>
          <w:noProof/>
          <w:szCs w:val="22"/>
          <w:lang w:eastAsia="en-GB"/>
        </w:rPr>
      </w:pPr>
      <w:r w:rsidRPr="00446902">
        <w:rPr>
          <w:b w:val="0"/>
          <w:color w:val="4F2D7F"/>
          <w:sz w:val="24"/>
        </w:rPr>
        <w:fldChar w:fldCharType="begin"/>
      </w:r>
      <w:r w:rsidRPr="00446902">
        <w:rPr>
          <w:b w:val="0"/>
          <w:color w:val="4F2D7F"/>
          <w:sz w:val="24"/>
        </w:rPr>
        <w:instrText xml:space="preserve"> TOC \o "1-1" \h \z \u </w:instrText>
      </w:r>
      <w:r w:rsidRPr="00446902">
        <w:rPr>
          <w:b w:val="0"/>
          <w:color w:val="4F2D7F"/>
          <w:sz w:val="24"/>
        </w:rPr>
        <w:fldChar w:fldCharType="separate"/>
      </w:r>
      <w:hyperlink w:anchor="_Toc338746873" w:history="1">
        <w:r w:rsidR="0076302E" w:rsidRPr="005F6ACE">
          <w:rPr>
            <w:rStyle w:val="Hyperlink"/>
            <w:noProof/>
          </w:rPr>
          <w:t>1</w:t>
        </w:r>
        <w:r w:rsidR="0076302E">
          <w:rPr>
            <w:rFonts w:asciiTheme="minorHAnsi" w:eastAsiaTheme="minorEastAsia" w:hAnsiTheme="minorHAnsi" w:cstheme="minorBidi"/>
            <w:b w:val="0"/>
            <w:bCs w:val="0"/>
            <w:noProof/>
            <w:szCs w:val="22"/>
            <w:lang w:eastAsia="en-GB"/>
          </w:rPr>
          <w:tab/>
        </w:r>
        <w:r w:rsidR="0076302E" w:rsidRPr="005F6ACE">
          <w:rPr>
            <w:rStyle w:val="Hyperlink"/>
            <w:noProof/>
          </w:rPr>
          <w:t>Summary</w:t>
        </w:r>
        <w:r w:rsidR="0076302E">
          <w:rPr>
            <w:noProof/>
            <w:webHidden/>
          </w:rPr>
          <w:tab/>
        </w:r>
        <w:r w:rsidR="0076302E">
          <w:rPr>
            <w:noProof/>
            <w:webHidden/>
          </w:rPr>
          <w:fldChar w:fldCharType="begin"/>
        </w:r>
        <w:r w:rsidR="0076302E">
          <w:rPr>
            <w:noProof/>
            <w:webHidden/>
          </w:rPr>
          <w:instrText xml:space="preserve"> PAGEREF _Toc338746873 \h </w:instrText>
        </w:r>
        <w:r w:rsidR="0076302E">
          <w:rPr>
            <w:noProof/>
            <w:webHidden/>
          </w:rPr>
        </w:r>
        <w:r w:rsidR="0076302E">
          <w:rPr>
            <w:noProof/>
            <w:webHidden/>
          </w:rPr>
          <w:fldChar w:fldCharType="separate"/>
        </w:r>
        <w:r w:rsidR="003D22DB">
          <w:rPr>
            <w:noProof/>
            <w:webHidden/>
          </w:rPr>
          <w:t>1</w:t>
        </w:r>
        <w:r w:rsidR="0076302E">
          <w:rPr>
            <w:noProof/>
            <w:webHidden/>
          </w:rPr>
          <w:fldChar w:fldCharType="end"/>
        </w:r>
      </w:hyperlink>
    </w:p>
    <w:p w14:paraId="6B50F8E8" w14:textId="77777777" w:rsidR="0076302E" w:rsidRDefault="009B7975">
      <w:pPr>
        <w:pStyle w:val="TOC1"/>
        <w:rPr>
          <w:rFonts w:asciiTheme="minorHAnsi" w:eastAsiaTheme="minorEastAsia" w:hAnsiTheme="minorHAnsi" w:cstheme="minorBidi"/>
          <w:b w:val="0"/>
          <w:bCs w:val="0"/>
          <w:noProof/>
          <w:szCs w:val="22"/>
          <w:lang w:eastAsia="en-GB"/>
        </w:rPr>
      </w:pPr>
      <w:hyperlink w:anchor="_Toc338746874" w:history="1">
        <w:r w:rsidR="0076302E" w:rsidRPr="005F6ACE">
          <w:rPr>
            <w:rStyle w:val="Hyperlink"/>
            <w:noProof/>
          </w:rPr>
          <w:t>2</w:t>
        </w:r>
        <w:r w:rsidR="0076302E">
          <w:rPr>
            <w:rFonts w:asciiTheme="minorHAnsi" w:eastAsiaTheme="minorEastAsia" w:hAnsiTheme="minorHAnsi" w:cstheme="minorBidi"/>
            <w:b w:val="0"/>
            <w:bCs w:val="0"/>
            <w:noProof/>
            <w:szCs w:val="22"/>
            <w:lang w:eastAsia="en-GB"/>
          </w:rPr>
          <w:tab/>
        </w:r>
        <w:r w:rsidR="0076302E" w:rsidRPr="005F6ACE">
          <w:rPr>
            <w:rStyle w:val="Hyperlink"/>
            <w:noProof/>
          </w:rPr>
          <w:t>Introduction</w:t>
        </w:r>
        <w:r w:rsidR="0076302E">
          <w:rPr>
            <w:noProof/>
            <w:webHidden/>
          </w:rPr>
          <w:tab/>
        </w:r>
        <w:r w:rsidR="0076302E">
          <w:rPr>
            <w:noProof/>
            <w:webHidden/>
          </w:rPr>
          <w:fldChar w:fldCharType="begin"/>
        </w:r>
        <w:r w:rsidR="0076302E">
          <w:rPr>
            <w:noProof/>
            <w:webHidden/>
          </w:rPr>
          <w:instrText xml:space="preserve"> PAGEREF _Toc338746874 \h </w:instrText>
        </w:r>
        <w:r w:rsidR="0076302E">
          <w:rPr>
            <w:noProof/>
            <w:webHidden/>
          </w:rPr>
        </w:r>
        <w:r w:rsidR="0076302E">
          <w:rPr>
            <w:noProof/>
            <w:webHidden/>
          </w:rPr>
          <w:fldChar w:fldCharType="separate"/>
        </w:r>
        <w:r w:rsidR="003D22DB">
          <w:rPr>
            <w:noProof/>
            <w:webHidden/>
          </w:rPr>
          <w:t>2</w:t>
        </w:r>
        <w:r w:rsidR="0076302E">
          <w:rPr>
            <w:noProof/>
            <w:webHidden/>
          </w:rPr>
          <w:fldChar w:fldCharType="end"/>
        </w:r>
      </w:hyperlink>
    </w:p>
    <w:p w14:paraId="1C69CF99" w14:textId="77777777" w:rsidR="0076302E" w:rsidRDefault="009B7975">
      <w:pPr>
        <w:pStyle w:val="TOC1"/>
        <w:rPr>
          <w:rFonts w:asciiTheme="minorHAnsi" w:eastAsiaTheme="minorEastAsia" w:hAnsiTheme="minorHAnsi" w:cstheme="minorBidi"/>
          <w:b w:val="0"/>
          <w:bCs w:val="0"/>
          <w:noProof/>
          <w:szCs w:val="22"/>
          <w:lang w:eastAsia="en-GB"/>
        </w:rPr>
      </w:pPr>
      <w:hyperlink w:anchor="_Toc338746875" w:history="1">
        <w:r w:rsidR="0076302E" w:rsidRPr="005F6ACE">
          <w:rPr>
            <w:rStyle w:val="Hyperlink"/>
            <w:noProof/>
          </w:rPr>
          <w:t>3</w:t>
        </w:r>
        <w:r w:rsidR="0076302E">
          <w:rPr>
            <w:rFonts w:asciiTheme="minorHAnsi" w:eastAsiaTheme="minorEastAsia" w:hAnsiTheme="minorHAnsi" w:cstheme="minorBidi"/>
            <w:b w:val="0"/>
            <w:bCs w:val="0"/>
            <w:noProof/>
            <w:szCs w:val="22"/>
            <w:lang w:eastAsia="en-GB"/>
          </w:rPr>
          <w:tab/>
        </w:r>
        <w:r w:rsidR="0076302E" w:rsidRPr="005F6ACE">
          <w:rPr>
            <w:rStyle w:val="Hyperlink"/>
            <w:noProof/>
          </w:rPr>
          <w:t>Methodological overview</w:t>
        </w:r>
        <w:r w:rsidR="0076302E">
          <w:rPr>
            <w:noProof/>
            <w:webHidden/>
          </w:rPr>
          <w:tab/>
        </w:r>
        <w:r w:rsidR="0076302E">
          <w:rPr>
            <w:noProof/>
            <w:webHidden/>
          </w:rPr>
          <w:fldChar w:fldCharType="begin"/>
        </w:r>
        <w:r w:rsidR="0076302E">
          <w:rPr>
            <w:noProof/>
            <w:webHidden/>
          </w:rPr>
          <w:instrText xml:space="preserve"> PAGEREF _Toc338746875 \h </w:instrText>
        </w:r>
        <w:r w:rsidR="0076302E">
          <w:rPr>
            <w:noProof/>
            <w:webHidden/>
          </w:rPr>
        </w:r>
        <w:r w:rsidR="0076302E">
          <w:rPr>
            <w:noProof/>
            <w:webHidden/>
          </w:rPr>
          <w:fldChar w:fldCharType="separate"/>
        </w:r>
        <w:r w:rsidR="003D22DB">
          <w:rPr>
            <w:noProof/>
            <w:webHidden/>
          </w:rPr>
          <w:t>3</w:t>
        </w:r>
        <w:r w:rsidR="0076302E">
          <w:rPr>
            <w:noProof/>
            <w:webHidden/>
          </w:rPr>
          <w:fldChar w:fldCharType="end"/>
        </w:r>
      </w:hyperlink>
    </w:p>
    <w:p w14:paraId="224DE90A" w14:textId="77777777" w:rsidR="0076302E" w:rsidRDefault="009B7975">
      <w:pPr>
        <w:pStyle w:val="TOC1"/>
        <w:rPr>
          <w:rFonts w:asciiTheme="minorHAnsi" w:eastAsiaTheme="minorEastAsia" w:hAnsiTheme="minorHAnsi" w:cstheme="minorBidi"/>
          <w:b w:val="0"/>
          <w:bCs w:val="0"/>
          <w:noProof/>
          <w:szCs w:val="22"/>
          <w:lang w:eastAsia="en-GB"/>
        </w:rPr>
      </w:pPr>
      <w:hyperlink w:anchor="_Toc338746876" w:history="1">
        <w:r w:rsidR="0076302E" w:rsidRPr="005F6ACE">
          <w:rPr>
            <w:rStyle w:val="Hyperlink"/>
            <w:noProof/>
          </w:rPr>
          <w:t>4</w:t>
        </w:r>
        <w:r w:rsidR="0076302E">
          <w:rPr>
            <w:rFonts w:asciiTheme="minorHAnsi" w:eastAsiaTheme="minorEastAsia" w:hAnsiTheme="minorHAnsi" w:cstheme="minorBidi"/>
            <w:b w:val="0"/>
            <w:bCs w:val="0"/>
            <w:noProof/>
            <w:szCs w:val="22"/>
            <w:lang w:eastAsia="en-GB"/>
          </w:rPr>
          <w:tab/>
        </w:r>
        <w:r w:rsidR="0076302E" w:rsidRPr="005F6ACE">
          <w:rPr>
            <w:rStyle w:val="Hyperlink"/>
            <w:noProof/>
          </w:rPr>
          <w:t>Harnessing the UK's passion for sport</w:t>
        </w:r>
        <w:r w:rsidR="0076302E">
          <w:rPr>
            <w:noProof/>
            <w:webHidden/>
          </w:rPr>
          <w:tab/>
        </w:r>
        <w:r w:rsidR="0076302E">
          <w:rPr>
            <w:noProof/>
            <w:webHidden/>
          </w:rPr>
          <w:fldChar w:fldCharType="begin"/>
        </w:r>
        <w:r w:rsidR="0076302E">
          <w:rPr>
            <w:noProof/>
            <w:webHidden/>
          </w:rPr>
          <w:instrText xml:space="preserve"> PAGEREF _Toc338746876 \h </w:instrText>
        </w:r>
        <w:r w:rsidR="0076302E">
          <w:rPr>
            <w:noProof/>
            <w:webHidden/>
          </w:rPr>
        </w:r>
        <w:r w:rsidR="0076302E">
          <w:rPr>
            <w:noProof/>
            <w:webHidden/>
          </w:rPr>
          <w:fldChar w:fldCharType="separate"/>
        </w:r>
        <w:r w:rsidR="003D22DB">
          <w:rPr>
            <w:noProof/>
            <w:webHidden/>
          </w:rPr>
          <w:t>6</w:t>
        </w:r>
        <w:r w:rsidR="0076302E">
          <w:rPr>
            <w:noProof/>
            <w:webHidden/>
          </w:rPr>
          <w:fldChar w:fldCharType="end"/>
        </w:r>
      </w:hyperlink>
    </w:p>
    <w:p w14:paraId="21F1F0E9" w14:textId="3F39C825" w:rsidR="0076302E" w:rsidRDefault="009B7975">
      <w:pPr>
        <w:pStyle w:val="TOC1"/>
        <w:rPr>
          <w:rFonts w:asciiTheme="minorHAnsi" w:eastAsiaTheme="minorEastAsia" w:hAnsiTheme="minorHAnsi" w:cstheme="minorBidi"/>
          <w:b w:val="0"/>
          <w:bCs w:val="0"/>
          <w:noProof/>
          <w:szCs w:val="22"/>
          <w:lang w:eastAsia="en-GB"/>
        </w:rPr>
      </w:pPr>
      <w:hyperlink w:anchor="_Toc338746877" w:history="1">
        <w:r w:rsidR="0076302E" w:rsidRPr="005F6ACE">
          <w:rPr>
            <w:rStyle w:val="Hyperlink"/>
            <w:noProof/>
          </w:rPr>
          <w:t>5</w:t>
        </w:r>
        <w:r w:rsidR="0076302E">
          <w:rPr>
            <w:rFonts w:asciiTheme="minorHAnsi" w:eastAsiaTheme="minorEastAsia" w:hAnsiTheme="minorHAnsi" w:cstheme="minorBidi"/>
            <w:b w:val="0"/>
            <w:bCs w:val="0"/>
            <w:noProof/>
            <w:szCs w:val="22"/>
            <w:lang w:eastAsia="en-GB"/>
          </w:rPr>
          <w:tab/>
        </w:r>
        <w:r w:rsidR="0076302E" w:rsidRPr="005F6ACE">
          <w:rPr>
            <w:rStyle w:val="Hyperlink"/>
            <w:noProof/>
          </w:rPr>
          <w:t>Exploiting opportunities for economic growth</w:t>
        </w:r>
        <w:r w:rsidR="0076302E">
          <w:rPr>
            <w:noProof/>
            <w:webHidden/>
          </w:rPr>
          <w:tab/>
        </w:r>
        <w:r w:rsidR="0076302E">
          <w:rPr>
            <w:noProof/>
            <w:webHidden/>
          </w:rPr>
          <w:fldChar w:fldCharType="begin"/>
        </w:r>
        <w:r w:rsidR="0076302E">
          <w:rPr>
            <w:noProof/>
            <w:webHidden/>
          </w:rPr>
          <w:instrText xml:space="preserve"> PAGEREF _Toc338746877 \h </w:instrText>
        </w:r>
        <w:r w:rsidR="0076302E">
          <w:rPr>
            <w:noProof/>
            <w:webHidden/>
          </w:rPr>
        </w:r>
        <w:r w:rsidR="0076302E">
          <w:rPr>
            <w:noProof/>
            <w:webHidden/>
          </w:rPr>
          <w:fldChar w:fldCharType="separate"/>
        </w:r>
        <w:r w:rsidR="003D22DB">
          <w:rPr>
            <w:noProof/>
            <w:webHidden/>
          </w:rPr>
          <w:t>13</w:t>
        </w:r>
        <w:r w:rsidR="0076302E">
          <w:rPr>
            <w:noProof/>
            <w:webHidden/>
          </w:rPr>
          <w:fldChar w:fldCharType="end"/>
        </w:r>
      </w:hyperlink>
    </w:p>
    <w:p w14:paraId="59B3F109" w14:textId="7B648C67" w:rsidR="0076302E" w:rsidRDefault="009B7975">
      <w:pPr>
        <w:pStyle w:val="TOC1"/>
        <w:rPr>
          <w:rFonts w:asciiTheme="minorHAnsi" w:eastAsiaTheme="minorEastAsia" w:hAnsiTheme="minorHAnsi" w:cstheme="minorBidi"/>
          <w:b w:val="0"/>
          <w:bCs w:val="0"/>
          <w:noProof/>
          <w:szCs w:val="22"/>
          <w:lang w:eastAsia="en-GB"/>
        </w:rPr>
      </w:pPr>
      <w:hyperlink w:anchor="_Toc338746878" w:history="1">
        <w:r w:rsidR="0076302E" w:rsidRPr="005F6ACE">
          <w:rPr>
            <w:rStyle w:val="Hyperlink"/>
            <w:noProof/>
          </w:rPr>
          <w:t>6</w:t>
        </w:r>
        <w:r w:rsidR="0076302E">
          <w:rPr>
            <w:rFonts w:asciiTheme="minorHAnsi" w:eastAsiaTheme="minorEastAsia" w:hAnsiTheme="minorHAnsi" w:cstheme="minorBidi"/>
            <w:b w:val="0"/>
            <w:bCs w:val="0"/>
            <w:noProof/>
            <w:szCs w:val="22"/>
            <w:lang w:eastAsia="en-GB"/>
          </w:rPr>
          <w:tab/>
        </w:r>
        <w:r w:rsidR="0076302E" w:rsidRPr="005F6ACE">
          <w:rPr>
            <w:rStyle w:val="Hyperlink"/>
            <w:noProof/>
          </w:rPr>
          <w:t>Promoting community engagement and participation</w:t>
        </w:r>
        <w:r w:rsidR="0076302E">
          <w:rPr>
            <w:noProof/>
            <w:webHidden/>
          </w:rPr>
          <w:tab/>
        </w:r>
        <w:r w:rsidR="0076302E">
          <w:rPr>
            <w:noProof/>
            <w:webHidden/>
          </w:rPr>
          <w:fldChar w:fldCharType="begin"/>
        </w:r>
        <w:r w:rsidR="0076302E">
          <w:rPr>
            <w:noProof/>
            <w:webHidden/>
          </w:rPr>
          <w:instrText xml:space="preserve"> PAGEREF _Toc338746878 \h </w:instrText>
        </w:r>
        <w:r w:rsidR="0076302E">
          <w:rPr>
            <w:noProof/>
            <w:webHidden/>
          </w:rPr>
        </w:r>
        <w:r w:rsidR="0076302E">
          <w:rPr>
            <w:noProof/>
            <w:webHidden/>
          </w:rPr>
          <w:fldChar w:fldCharType="separate"/>
        </w:r>
        <w:r w:rsidR="003D22DB">
          <w:rPr>
            <w:noProof/>
            <w:webHidden/>
          </w:rPr>
          <w:t>18</w:t>
        </w:r>
        <w:r w:rsidR="0076302E">
          <w:rPr>
            <w:noProof/>
            <w:webHidden/>
          </w:rPr>
          <w:fldChar w:fldCharType="end"/>
        </w:r>
      </w:hyperlink>
    </w:p>
    <w:p w14:paraId="6732D0AA" w14:textId="5B6B3D9B" w:rsidR="0076302E" w:rsidRDefault="009B7975">
      <w:pPr>
        <w:pStyle w:val="TOC1"/>
        <w:rPr>
          <w:rFonts w:asciiTheme="minorHAnsi" w:eastAsiaTheme="minorEastAsia" w:hAnsiTheme="minorHAnsi" w:cstheme="minorBidi"/>
          <w:b w:val="0"/>
          <w:bCs w:val="0"/>
          <w:noProof/>
          <w:szCs w:val="22"/>
          <w:lang w:eastAsia="en-GB"/>
        </w:rPr>
      </w:pPr>
      <w:hyperlink w:anchor="_Toc338746879" w:history="1">
        <w:r w:rsidR="0076302E" w:rsidRPr="005F6ACE">
          <w:rPr>
            <w:rStyle w:val="Hyperlink"/>
            <w:noProof/>
          </w:rPr>
          <w:t>7</w:t>
        </w:r>
        <w:r w:rsidR="0076302E">
          <w:rPr>
            <w:rFonts w:asciiTheme="minorHAnsi" w:eastAsiaTheme="minorEastAsia" w:hAnsiTheme="minorHAnsi" w:cstheme="minorBidi"/>
            <w:b w:val="0"/>
            <w:bCs w:val="0"/>
            <w:noProof/>
            <w:szCs w:val="22"/>
            <w:lang w:eastAsia="en-GB"/>
          </w:rPr>
          <w:tab/>
        </w:r>
        <w:r w:rsidR="0076302E" w:rsidRPr="005F6ACE">
          <w:rPr>
            <w:rStyle w:val="Hyperlink"/>
            <w:noProof/>
          </w:rPr>
          <w:t>Driving the regeneration of East London</w:t>
        </w:r>
        <w:r w:rsidR="0076302E">
          <w:rPr>
            <w:noProof/>
            <w:webHidden/>
          </w:rPr>
          <w:tab/>
        </w:r>
        <w:r w:rsidR="0076302E">
          <w:rPr>
            <w:noProof/>
            <w:webHidden/>
          </w:rPr>
          <w:fldChar w:fldCharType="begin"/>
        </w:r>
        <w:r w:rsidR="0076302E">
          <w:rPr>
            <w:noProof/>
            <w:webHidden/>
          </w:rPr>
          <w:instrText xml:space="preserve"> PAGEREF _Toc338746879 \h </w:instrText>
        </w:r>
        <w:r w:rsidR="0076302E">
          <w:rPr>
            <w:noProof/>
            <w:webHidden/>
          </w:rPr>
        </w:r>
        <w:r w:rsidR="0076302E">
          <w:rPr>
            <w:noProof/>
            <w:webHidden/>
          </w:rPr>
          <w:fldChar w:fldCharType="separate"/>
        </w:r>
        <w:r w:rsidR="003D22DB">
          <w:rPr>
            <w:noProof/>
            <w:webHidden/>
          </w:rPr>
          <w:t>23</w:t>
        </w:r>
        <w:r w:rsidR="0076302E">
          <w:rPr>
            <w:noProof/>
            <w:webHidden/>
          </w:rPr>
          <w:fldChar w:fldCharType="end"/>
        </w:r>
      </w:hyperlink>
    </w:p>
    <w:p w14:paraId="237C0744" w14:textId="3C275C9E" w:rsidR="0076302E" w:rsidRDefault="009B7975">
      <w:pPr>
        <w:pStyle w:val="TOC1"/>
        <w:rPr>
          <w:rFonts w:asciiTheme="minorHAnsi" w:eastAsiaTheme="minorEastAsia" w:hAnsiTheme="minorHAnsi" w:cstheme="minorBidi"/>
          <w:b w:val="0"/>
          <w:bCs w:val="0"/>
          <w:noProof/>
          <w:szCs w:val="22"/>
          <w:lang w:eastAsia="en-GB"/>
        </w:rPr>
      </w:pPr>
      <w:hyperlink w:anchor="_Toc338746880" w:history="1">
        <w:r w:rsidR="0076302E" w:rsidRPr="005F6ACE">
          <w:rPr>
            <w:rStyle w:val="Hyperlink"/>
            <w:noProof/>
          </w:rPr>
          <w:t>8</w:t>
        </w:r>
        <w:r w:rsidR="0076302E">
          <w:rPr>
            <w:rFonts w:asciiTheme="minorHAnsi" w:eastAsiaTheme="minorEastAsia" w:hAnsiTheme="minorHAnsi" w:cstheme="minorBidi"/>
            <w:b w:val="0"/>
            <w:bCs w:val="0"/>
            <w:noProof/>
            <w:szCs w:val="22"/>
            <w:lang w:eastAsia="en-GB"/>
          </w:rPr>
          <w:tab/>
        </w:r>
        <w:r w:rsidR="0076302E" w:rsidRPr="005F6ACE">
          <w:rPr>
            <w:rStyle w:val="Hyperlink"/>
            <w:noProof/>
          </w:rPr>
          <w:t>Cross-cutting themes</w:t>
        </w:r>
        <w:r w:rsidR="0076302E">
          <w:rPr>
            <w:noProof/>
            <w:webHidden/>
          </w:rPr>
          <w:tab/>
        </w:r>
        <w:r w:rsidR="0076302E">
          <w:rPr>
            <w:noProof/>
            <w:webHidden/>
          </w:rPr>
          <w:fldChar w:fldCharType="begin"/>
        </w:r>
        <w:r w:rsidR="0076302E">
          <w:rPr>
            <w:noProof/>
            <w:webHidden/>
          </w:rPr>
          <w:instrText xml:space="preserve"> PAGEREF _Toc338746880 \h </w:instrText>
        </w:r>
        <w:r w:rsidR="0076302E">
          <w:rPr>
            <w:noProof/>
            <w:webHidden/>
          </w:rPr>
        </w:r>
        <w:r w:rsidR="0076302E">
          <w:rPr>
            <w:noProof/>
            <w:webHidden/>
          </w:rPr>
          <w:fldChar w:fldCharType="separate"/>
        </w:r>
        <w:r w:rsidR="003D22DB">
          <w:rPr>
            <w:noProof/>
            <w:webHidden/>
          </w:rPr>
          <w:t>29</w:t>
        </w:r>
        <w:r w:rsidR="0076302E">
          <w:rPr>
            <w:noProof/>
            <w:webHidden/>
          </w:rPr>
          <w:fldChar w:fldCharType="end"/>
        </w:r>
      </w:hyperlink>
    </w:p>
    <w:p w14:paraId="682F78B1" w14:textId="4D18F629" w:rsidR="0076302E" w:rsidRDefault="009B7975">
      <w:pPr>
        <w:pStyle w:val="TOC1"/>
        <w:rPr>
          <w:rFonts w:asciiTheme="minorHAnsi" w:eastAsiaTheme="minorEastAsia" w:hAnsiTheme="minorHAnsi" w:cstheme="minorBidi"/>
          <w:b w:val="0"/>
          <w:bCs w:val="0"/>
          <w:noProof/>
          <w:szCs w:val="22"/>
          <w:lang w:eastAsia="en-GB"/>
        </w:rPr>
      </w:pPr>
      <w:hyperlink w:anchor="_Toc338746881" w:history="1">
        <w:r w:rsidR="0076302E" w:rsidRPr="005F6ACE">
          <w:rPr>
            <w:rStyle w:val="Hyperlink"/>
            <w:noProof/>
          </w:rPr>
          <w:t>9</w:t>
        </w:r>
        <w:r w:rsidR="0076302E">
          <w:rPr>
            <w:rFonts w:asciiTheme="minorHAnsi" w:eastAsiaTheme="minorEastAsia" w:hAnsiTheme="minorHAnsi" w:cstheme="minorBidi"/>
            <w:b w:val="0"/>
            <w:bCs w:val="0"/>
            <w:noProof/>
            <w:szCs w:val="22"/>
            <w:lang w:eastAsia="en-GB"/>
          </w:rPr>
          <w:tab/>
        </w:r>
        <w:r w:rsidR="0076302E" w:rsidRPr="005F6ACE">
          <w:rPr>
            <w:rStyle w:val="Hyperlink"/>
            <w:noProof/>
          </w:rPr>
          <w:t>Next steps</w:t>
        </w:r>
        <w:r w:rsidR="0076302E">
          <w:rPr>
            <w:noProof/>
            <w:webHidden/>
          </w:rPr>
          <w:tab/>
        </w:r>
        <w:r w:rsidR="0076302E">
          <w:rPr>
            <w:noProof/>
            <w:webHidden/>
          </w:rPr>
          <w:fldChar w:fldCharType="begin"/>
        </w:r>
        <w:r w:rsidR="0076302E">
          <w:rPr>
            <w:noProof/>
            <w:webHidden/>
          </w:rPr>
          <w:instrText xml:space="preserve"> PAGEREF _Toc338746881 \h </w:instrText>
        </w:r>
        <w:r w:rsidR="0076302E">
          <w:rPr>
            <w:noProof/>
            <w:webHidden/>
          </w:rPr>
        </w:r>
        <w:r w:rsidR="0076302E">
          <w:rPr>
            <w:noProof/>
            <w:webHidden/>
          </w:rPr>
          <w:fldChar w:fldCharType="separate"/>
        </w:r>
        <w:r w:rsidR="003D22DB">
          <w:rPr>
            <w:noProof/>
            <w:webHidden/>
          </w:rPr>
          <w:t>35</w:t>
        </w:r>
        <w:r w:rsidR="0076302E">
          <w:rPr>
            <w:noProof/>
            <w:webHidden/>
          </w:rPr>
          <w:fldChar w:fldCharType="end"/>
        </w:r>
      </w:hyperlink>
    </w:p>
    <w:p w14:paraId="76EC6629" w14:textId="77777777" w:rsidR="00582FBB" w:rsidRPr="00446902" w:rsidRDefault="00582FBB" w:rsidP="00446902">
      <w:pPr>
        <w:spacing w:before="240" w:after="120"/>
        <w:rPr>
          <w:b/>
          <w:color w:val="4F2D7F"/>
          <w:sz w:val="24"/>
        </w:rPr>
      </w:pPr>
      <w:r w:rsidRPr="00446902">
        <w:rPr>
          <w:color w:val="4F2D7F"/>
          <w:sz w:val="24"/>
        </w:rPr>
        <w:fldChar w:fldCharType="end"/>
      </w:r>
    </w:p>
    <w:p w14:paraId="76EC662A" w14:textId="77777777" w:rsidR="00FA238B" w:rsidRPr="00446902" w:rsidRDefault="00FA238B" w:rsidP="00446902">
      <w:pPr>
        <w:spacing w:before="240" w:after="120"/>
        <w:rPr>
          <w:sz w:val="24"/>
        </w:rPr>
      </w:pPr>
    </w:p>
    <w:p w14:paraId="76EC662B" w14:textId="77777777" w:rsidR="00FA238B" w:rsidRDefault="00FA238B">
      <w:pPr>
        <w:sectPr w:rsidR="00FA238B" w:rsidSect="006C7F65">
          <w:headerReference w:type="even" r:id="rId10"/>
          <w:headerReference w:type="default" r:id="rId11"/>
          <w:footerReference w:type="default" r:id="rId12"/>
          <w:headerReference w:type="first" r:id="rId13"/>
          <w:pgSz w:w="11906" w:h="16838" w:code="9"/>
          <w:pgMar w:top="1618" w:right="1134" w:bottom="1134" w:left="2608" w:header="709" w:footer="340" w:gutter="0"/>
          <w:pgNumType w:start="1"/>
          <w:cols w:space="708"/>
          <w:docGrid w:linePitch="360"/>
        </w:sectPr>
      </w:pPr>
    </w:p>
    <w:p w14:paraId="76EC662C" w14:textId="4C67F59B" w:rsidR="0084780E" w:rsidRDefault="0062251D">
      <w:pPr>
        <w:pStyle w:val="Heading1"/>
      </w:pPr>
      <w:bookmarkStart w:id="7" w:name="_Toc338746873"/>
      <w:bookmarkStart w:id="8" w:name="_Ref269906421"/>
      <w:bookmarkStart w:id="9" w:name="_Toc332901254"/>
      <w:r>
        <w:lastRenderedPageBreak/>
        <w:t>Summary</w:t>
      </w:r>
      <w:bookmarkEnd w:id="7"/>
      <w:r>
        <w:t xml:space="preserve"> </w:t>
      </w:r>
      <w:r w:rsidR="000D2201" w:rsidRPr="005539C2">
        <w:rPr>
          <w:noProof/>
          <w:lang w:eastAsia="en-GB"/>
        </w:rPr>
        <mc:AlternateContent>
          <mc:Choice Requires="wps">
            <w:drawing>
              <wp:inline distT="0" distB="0" distL="0" distR="0" wp14:anchorId="4B46154C" wp14:editId="4A9D0FBF">
                <wp:extent cx="5075555" cy="8445260"/>
                <wp:effectExtent l="0" t="0" r="10795" b="1333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8445260"/>
                        </a:xfrm>
                        <a:prstGeom prst="rect">
                          <a:avLst/>
                        </a:prstGeom>
                        <a:solidFill>
                          <a:schemeClr val="bg1">
                            <a:lumMod val="95000"/>
                          </a:schemeClr>
                        </a:solidFill>
                        <a:ln w="9525">
                          <a:solidFill>
                            <a:srgbClr val="000000"/>
                          </a:solidFill>
                          <a:miter lim="800000"/>
                          <a:headEnd/>
                          <a:tailEnd/>
                        </a:ln>
                      </wps:spPr>
                      <wps:txbx>
                        <w:txbxContent>
                          <w:p w14:paraId="629B9B2E" w14:textId="77777777" w:rsidR="000D2201" w:rsidRDefault="000D2201" w:rsidP="000D2201">
                            <w:pPr>
                              <w:spacing w:after="120"/>
                            </w:pPr>
                            <w:r w:rsidRPr="00407D5F">
                              <w:t>The 2012 Olympic and Paralympic Games (</w:t>
                            </w:r>
                            <w:r>
                              <w:t xml:space="preserve">2012 Games) over the </w:t>
                            </w:r>
                            <w:proofErr w:type="gramStart"/>
                            <w:r>
                              <w:t>Summer</w:t>
                            </w:r>
                            <w:proofErr w:type="gramEnd"/>
                            <w:r>
                              <w:t xml:space="preserve"> of 2012 are considered a national success in terms of organisation, medal haul, national engagement and as a summer of celebration. </w:t>
                            </w:r>
                          </w:p>
                          <w:p w14:paraId="069D0E74" w14:textId="77777777" w:rsidR="000D2201" w:rsidRPr="0036732D" w:rsidRDefault="000D2201" w:rsidP="000D2201">
                            <w:pPr>
                              <w:spacing w:after="120"/>
                            </w:pPr>
                            <w:r>
                              <w:t xml:space="preserve">So soon after such </w:t>
                            </w:r>
                            <w:r w:rsidRPr="0036732D">
                              <w:t xml:space="preserve">a complex and long-planned event it is too early to make definite conclusions on the Olympic legacy but a number of major impacts have been identified to date. These include: </w:t>
                            </w:r>
                          </w:p>
                          <w:p w14:paraId="52402A57" w14:textId="77777777" w:rsidR="000D2201" w:rsidRPr="0036732D" w:rsidRDefault="000D2201" w:rsidP="000D2201">
                            <w:pPr>
                              <w:pStyle w:val="BulletOne"/>
                              <w:numPr>
                                <w:ilvl w:val="0"/>
                                <w:numId w:val="47"/>
                              </w:numPr>
                              <w:spacing w:before="40"/>
                              <w:ind w:left="341" w:hanging="341"/>
                            </w:pPr>
                            <w:r w:rsidRPr="0036732D">
                              <w:t>Significant investment to increase and improve sport participation and facilities</w:t>
                            </w:r>
                            <w:r>
                              <w:t xml:space="preserve"> has been made</w:t>
                            </w:r>
                            <w:r w:rsidRPr="0036732D">
                              <w:t>. By June 2012:</w:t>
                            </w:r>
                          </w:p>
                          <w:p w14:paraId="02A54046" w14:textId="77777777" w:rsidR="000D2201" w:rsidRPr="0036732D" w:rsidRDefault="000D2201" w:rsidP="000D2201">
                            <w:pPr>
                              <w:pStyle w:val="BulletTwo"/>
                              <w:spacing w:after="120"/>
                            </w:pPr>
                            <w:proofErr w:type="spellStart"/>
                            <w:r w:rsidRPr="0036732D">
                              <w:t>Sportivate</w:t>
                            </w:r>
                            <w:proofErr w:type="spellEnd"/>
                            <w:r w:rsidRPr="0036732D">
                              <w:t xml:space="preserve"> and Gold Challenge have each provided participation o</w:t>
                            </w:r>
                            <w:r>
                              <w:t>pportunities to 100,000 people;</w:t>
                            </w:r>
                          </w:p>
                          <w:p w14:paraId="189F69CA" w14:textId="77777777" w:rsidR="000D2201" w:rsidRPr="0036732D" w:rsidRDefault="000D2201" w:rsidP="000D2201">
                            <w:pPr>
                              <w:pStyle w:val="BulletTwo"/>
                              <w:spacing w:after="120"/>
                            </w:pPr>
                            <w:r>
                              <w:t>900</w:t>
                            </w:r>
                            <w:r w:rsidRPr="0036732D">
                              <w:t xml:space="preserve"> facilities have received awards from the Iconic Facilities, Inspired Facilities and Protecting Playing Fields programme</w:t>
                            </w:r>
                            <w:r>
                              <w:t>.</w:t>
                            </w:r>
                          </w:p>
                          <w:p w14:paraId="36AA323E" w14:textId="77777777" w:rsidR="000D2201" w:rsidRPr="0036732D" w:rsidRDefault="000D2201" w:rsidP="000D2201">
                            <w:pPr>
                              <w:pStyle w:val="BulletOne"/>
                              <w:numPr>
                                <w:ilvl w:val="0"/>
                                <w:numId w:val="47"/>
                              </w:numPr>
                              <w:spacing w:before="40"/>
                            </w:pPr>
                            <w:r w:rsidRPr="0036732D">
                              <w:t xml:space="preserve">The proportion of </w:t>
                            </w:r>
                            <w:r w:rsidRPr="0036732D">
                              <w:rPr>
                                <w:szCs w:val="22"/>
                              </w:rPr>
                              <w:t>people taking part in sport</w:t>
                            </w:r>
                            <w:r w:rsidRPr="0036732D">
                              <w:t xml:space="preserve"> regularly in England (at least one 30 minute session of moderate intensity sport in the last week) increased from 41.2% in 2005/06 to 43.8% in 2011/12. </w:t>
                            </w:r>
                          </w:p>
                          <w:p w14:paraId="3A56466C" w14:textId="77777777" w:rsidR="000D2201" w:rsidRPr="0036732D" w:rsidRDefault="000D2201" w:rsidP="000D2201">
                            <w:pPr>
                              <w:pStyle w:val="BulletOne"/>
                              <w:numPr>
                                <w:ilvl w:val="0"/>
                                <w:numId w:val="47"/>
                              </w:numPr>
                              <w:spacing w:before="40"/>
                              <w:ind w:left="341" w:hangingChars="155" w:hanging="341"/>
                              <w:rPr>
                                <w:szCs w:val="22"/>
                              </w:rPr>
                            </w:pPr>
                            <w:r w:rsidRPr="0036732D">
                              <w:rPr>
                                <w:szCs w:val="22"/>
                              </w:rPr>
                              <w:t>Team GB and Paralympics GB both finished in 3</w:t>
                            </w:r>
                            <w:r w:rsidRPr="0036732D">
                              <w:rPr>
                                <w:szCs w:val="22"/>
                                <w:vertAlign w:val="superscript"/>
                              </w:rPr>
                              <w:t>rd</w:t>
                            </w:r>
                            <w:r w:rsidRPr="0036732D">
                              <w:rPr>
                                <w:szCs w:val="22"/>
                              </w:rPr>
                              <w:t xml:space="preserve"> place in the medals table at London 2012 for the Olympic and Paralympic Games respectively, both </w:t>
                            </w:r>
                            <w:r w:rsidRPr="0036732D">
                              <w:rPr>
                                <w:szCs w:val="22"/>
                                <w:lang w:eastAsia="en-GB"/>
                              </w:rPr>
                              <w:t>exceeding their medal targets</w:t>
                            </w:r>
                            <w:r w:rsidRPr="0036732D">
                              <w:rPr>
                                <w:szCs w:val="22"/>
                              </w:rPr>
                              <w:t>.</w:t>
                            </w:r>
                          </w:p>
                          <w:p w14:paraId="1AD8652B" w14:textId="77777777" w:rsidR="000D2201" w:rsidRDefault="000D2201" w:rsidP="000D2201">
                            <w:pPr>
                              <w:pStyle w:val="Bullet1"/>
                              <w:numPr>
                                <w:ilvl w:val="0"/>
                                <w:numId w:val="47"/>
                              </w:numPr>
                              <w:spacing w:after="120"/>
                              <w:ind w:left="341" w:hangingChars="155" w:hanging="341"/>
                              <w:rPr>
                                <w:szCs w:val="22"/>
                              </w:rPr>
                            </w:pPr>
                            <w:r w:rsidRPr="00CB4E50">
                              <w:rPr>
                                <w:szCs w:val="22"/>
                              </w:rPr>
                              <w:t xml:space="preserve">The £6.5 billion of </w:t>
                            </w:r>
                            <w:r>
                              <w:rPr>
                                <w:szCs w:val="22"/>
                              </w:rPr>
                              <w:t>Olympic Delivery Authority</w:t>
                            </w:r>
                            <w:r w:rsidRPr="00CB4E50">
                              <w:rPr>
                                <w:szCs w:val="22"/>
                              </w:rPr>
                              <w:t xml:space="preserve"> spend on the construction of the venues and Olympic Park infrastructure </w:t>
                            </w:r>
                            <w:r>
                              <w:rPr>
                                <w:szCs w:val="22"/>
                              </w:rPr>
                              <w:t>is estimated to have</w:t>
                            </w:r>
                            <w:r w:rsidRPr="00CB4E50">
                              <w:rPr>
                                <w:szCs w:val="22"/>
                              </w:rPr>
                              <w:t xml:space="preserve"> resulted in a </w:t>
                            </w:r>
                            <w:r>
                              <w:rPr>
                                <w:szCs w:val="22"/>
                              </w:rPr>
                              <w:t>gross</w:t>
                            </w:r>
                            <w:r w:rsidRPr="00CB4E50">
                              <w:rPr>
                                <w:szCs w:val="22"/>
                              </w:rPr>
                              <w:t xml:space="preserve"> impact of £</w:t>
                            </w:r>
                            <w:r>
                              <w:rPr>
                                <w:szCs w:val="22"/>
                              </w:rPr>
                              <w:t>8.2</w:t>
                            </w:r>
                            <w:r w:rsidRPr="00CB4E50">
                              <w:rPr>
                                <w:szCs w:val="22"/>
                              </w:rPr>
                              <w:t xml:space="preserve"> billion of GVA and </w:t>
                            </w:r>
                            <w:r>
                              <w:rPr>
                                <w:szCs w:val="22"/>
                              </w:rPr>
                              <w:t>approximately</w:t>
                            </w:r>
                            <w:r w:rsidRPr="00CB4E50">
                              <w:rPr>
                                <w:szCs w:val="22"/>
                              </w:rPr>
                              <w:t xml:space="preserve"> 1</w:t>
                            </w:r>
                            <w:r>
                              <w:rPr>
                                <w:szCs w:val="22"/>
                              </w:rPr>
                              <w:t>77</w:t>
                            </w:r>
                            <w:r w:rsidRPr="00CB4E50">
                              <w:rPr>
                                <w:szCs w:val="22"/>
                              </w:rPr>
                              <w:t>,000 job years of employment in th</w:t>
                            </w:r>
                            <w:r>
                              <w:rPr>
                                <w:szCs w:val="22"/>
                              </w:rPr>
                              <w:t>e UK over the 2007 to</w:t>
                            </w:r>
                            <w:r w:rsidRPr="00CB4E50">
                              <w:rPr>
                                <w:szCs w:val="22"/>
                              </w:rPr>
                              <w:t xml:space="preserve"> Q1 2012 period</w:t>
                            </w:r>
                            <w:r>
                              <w:rPr>
                                <w:szCs w:val="22"/>
                              </w:rPr>
                              <w:t>. Net impact, taking into account potential displacement of other activity, is estimated at £7.3 billion of GVA and 160,000 job years of employment.</w:t>
                            </w:r>
                          </w:p>
                          <w:p w14:paraId="7AADE47B" w14:textId="77777777" w:rsidR="000D2201" w:rsidRPr="0036732D" w:rsidRDefault="000D2201" w:rsidP="000D2201">
                            <w:pPr>
                              <w:pStyle w:val="Bullet1"/>
                              <w:numPr>
                                <w:ilvl w:val="0"/>
                                <w:numId w:val="47"/>
                              </w:numPr>
                              <w:spacing w:after="120"/>
                              <w:ind w:left="341" w:hangingChars="155" w:hanging="341"/>
                              <w:rPr>
                                <w:szCs w:val="22"/>
                              </w:rPr>
                            </w:pPr>
                            <w:r w:rsidRPr="0036732D">
                              <w:rPr>
                                <w:szCs w:val="22"/>
                              </w:rPr>
                              <w:t>The Games-related London employment and skills programme helped 34,500 people into employment by the end of 2010/11</w:t>
                            </w:r>
                            <w:r>
                              <w:rPr>
                                <w:szCs w:val="22"/>
                              </w:rPr>
                              <w:t>.</w:t>
                            </w:r>
                          </w:p>
                          <w:p w14:paraId="7C2335EC" w14:textId="77777777" w:rsidR="000D2201" w:rsidRPr="0036732D" w:rsidRDefault="000D2201" w:rsidP="000D2201">
                            <w:pPr>
                              <w:pStyle w:val="Bullet1"/>
                              <w:numPr>
                                <w:ilvl w:val="0"/>
                                <w:numId w:val="47"/>
                              </w:numPr>
                              <w:spacing w:after="120"/>
                              <w:ind w:left="341" w:hangingChars="155" w:hanging="341"/>
                              <w:rPr>
                                <w:szCs w:val="22"/>
                              </w:rPr>
                            </w:pPr>
                            <w:r w:rsidRPr="0036732D">
                              <w:rPr>
                                <w:szCs w:val="22"/>
                              </w:rPr>
                              <w:t>Many new opportunities for volunteering were delivered, including up to 70,000 people recruited as Games Makers.</w:t>
                            </w:r>
                          </w:p>
                          <w:p w14:paraId="6DD88682" w14:textId="77777777" w:rsidR="000D2201" w:rsidRPr="00686AC2" w:rsidRDefault="000D2201" w:rsidP="000D2201">
                            <w:pPr>
                              <w:pStyle w:val="Bullet1"/>
                              <w:numPr>
                                <w:ilvl w:val="0"/>
                                <w:numId w:val="47"/>
                              </w:numPr>
                              <w:spacing w:after="120"/>
                              <w:rPr>
                                <w:szCs w:val="22"/>
                              </w:rPr>
                            </w:pPr>
                            <w:r w:rsidRPr="00CB4E50">
                              <w:rPr>
                                <w:szCs w:val="22"/>
                              </w:rPr>
                              <w:t xml:space="preserve">Prior to the Games it was estimated that </w:t>
                            </w:r>
                            <w:r>
                              <w:rPr>
                                <w:szCs w:val="22"/>
                              </w:rPr>
                              <w:t xml:space="preserve">there had </w:t>
                            </w:r>
                            <w:r w:rsidRPr="00CB4E50">
                              <w:rPr>
                                <w:szCs w:val="22"/>
                              </w:rPr>
                              <w:t>already</w:t>
                            </w:r>
                            <w:r>
                              <w:rPr>
                                <w:szCs w:val="22"/>
                              </w:rPr>
                              <w:t xml:space="preserve"> been</w:t>
                            </w:r>
                            <w:r w:rsidRPr="00CB4E50">
                              <w:rPr>
                                <w:szCs w:val="22"/>
                              </w:rPr>
                              <w:t xml:space="preserve"> more than 16 million </w:t>
                            </w:r>
                            <w:r>
                              <w:rPr>
                                <w:szCs w:val="22"/>
                              </w:rPr>
                              <w:t>attendances at</w:t>
                            </w:r>
                            <w:r w:rsidRPr="00CB4E50">
                              <w:rPr>
                                <w:szCs w:val="22"/>
                              </w:rPr>
                              <w:t xml:space="preserve"> Cultural Olympiad</w:t>
                            </w:r>
                            <w:r>
                              <w:rPr>
                                <w:szCs w:val="22"/>
                              </w:rPr>
                              <w:t xml:space="preserve"> events</w:t>
                            </w:r>
                            <w:r w:rsidRPr="00CB4E50">
                              <w:rPr>
                                <w:szCs w:val="22"/>
                              </w:rPr>
                              <w:t>.</w:t>
                            </w:r>
                            <w:r>
                              <w:rPr>
                                <w:szCs w:val="22"/>
                              </w:rPr>
                              <w:t xml:space="preserve"> </w:t>
                            </w:r>
                          </w:p>
                          <w:p w14:paraId="26AD1919" w14:textId="77777777" w:rsidR="000D2201" w:rsidRPr="0036732D" w:rsidRDefault="000D2201" w:rsidP="000D2201">
                            <w:pPr>
                              <w:pStyle w:val="BulletOne"/>
                            </w:pPr>
                            <w:r w:rsidRPr="0036732D">
                              <w:rPr>
                                <w:szCs w:val="22"/>
                              </w:rPr>
                              <w:t>Parts of East London</w:t>
                            </w:r>
                            <w:r w:rsidRPr="0036732D">
                              <w:t xml:space="preserve"> now look, feel and function differently. The </w:t>
                            </w:r>
                            <w:r>
                              <w:t xml:space="preserve">2012 </w:t>
                            </w:r>
                            <w:r w:rsidRPr="0036732D">
                              <w:t>Games have created new sporting venues, catalysed significant transport and public realm improvements and leveraged wider private sector investment.</w:t>
                            </w:r>
                          </w:p>
                          <w:p w14:paraId="59A88EE6" w14:textId="77777777" w:rsidR="000D2201" w:rsidRPr="0036732D" w:rsidRDefault="000D2201" w:rsidP="000D2201">
                            <w:pPr>
                              <w:pStyle w:val="BulletOne"/>
                            </w:pPr>
                            <w:r w:rsidRPr="0036732D">
                              <w:t>Nearly 10,000 new homes will be built in East London as part of the Games legacy</w:t>
                            </w:r>
                            <w:r>
                              <w:t xml:space="preserve">, </w:t>
                            </w:r>
                            <w:r w:rsidRPr="0036732D">
                              <w:t>42% of which will be family housing and 35% affordable housing.</w:t>
                            </w:r>
                          </w:p>
                          <w:p w14:paraId="327EFDF3" w14:textId="77777777" w:rsidR="000D2201" w:rsidRPr="0036732D" w:rsidRDefault="000D2201" w:rsidP="000D2201">
                            <w:pPr>
                              <w:pStyle w:val="BulletOne"/>
                              <w:ind w:left="341" w:hangingChars="155" w:hanging="341"/>
                            </w:pPr>
                            <w:r w:rsidRPr="0036732D">
                              <w:t xml:space="preserve">Over 5,000 </w:t>
                            </w:r>
                            <w:r>
                              <w:t>h</w:t>
                            </w:r>
                            <w:r w:rsidRPr="0036732D">
                              <w:t xml:space="preserve">ost </w:t>
                            </w:r>
                            <w:r>
                              <w:t>b</w:t>
                            </w:r>
                            <w:r w:rsidRPr="0036732D">
                              <w:t>orough residents were employed in the building of the Olympic Park and 4,000 in the building of the Athletes</w:t>
                            </w:r>
                            <w:r>
                              <w:t>'</w:t>
                            </w:r>
                            <w:r w:rsidRPr="0036732D">
                              <w:t xml:space="preserve"> Village.</w:t>
                            </w:r>
                          </w:p>
                          <w:p w14:paraId="4CE11870" w14:textId="77777777" w:rsidR="000D2201" w:rsidRPr="0036732D" w:rsidRDefault="000D2201" w:rsidP="000D2201">
                            <w:pPr>
                              <w:pStyle w:val="BulletOne"/>
                              <w:ind w:left="341" w:hangingChars="155" w:hanging="341"/>
                            </w:pPr>
                            <w:r w:rsidRPr="0036732D">
                              <w:rPr>
                                <w:lang w:val="en-US"/>
                              </w:rPr>
                              <w:t>East London appears to be 'closing the gap' with the rest of London in relation to key socio-economic indicators.</w:t>
                            </w:r>
                          </w:p>
                          <w:p w14:paraId="72734D43" w14:textId="77777777" w:rsidR="000D2201" w:rsidRPr="00BE7B2E" w:rsidRDefault="000D2201" w:rsidP="000D2201">
                            <w:pPr>
                              <w:spacing w:before="0" w:after="120"/>
                              <w:rPr>
                                <w:szCs w:val="22"/>
                              </w:rPr>
                            </w:pPr>
                            <w:r w:rsidRPr="0036732D">
                              <w:t>The interim evaluation is a first asses</w:t>
                            </w:r>
                            <w:r>
                              <w:t xml:space="preserve">sment of the </w:t>
                            </w:r>
                            <w:r w:rsidRPr="00BE7B2E">
                              <w:t>emerging legacy from the 2012 Games</w:t>
                            </w:r>
                            <w:r>
                              <w:t xml:space="preserve">, setting out </w:t>
                            </w:r>
                            <w:r w:rsidRPr="00BE7B2E">
                              <w:t>what has already been achieved and deliver</w:t>
                            </w:r>
                            <w:r>
                              <w:t xml:space="preserve">ed. </w:t>
                            </w:r>
                            <w:r w:rsidRPr="00BE7B2E">
                              <w:rPr>
                                <w:szCs w:val="22"/>
                              </w:rPr>
                              <w:t xml:space="preserve">The next phase of the meta-evaluation </w:t>
                            </w:r>
                            <w:r>
                              <w:rPr>
                                <w:szCs w:val="22"/>
                              </w:rPr>
                              <w:t xml:space="preserve">to </w:t>
                            </w:r>
                            <w:proofErr w:type="gramStart"/>
                            <w:r>
                              <w:rPr>
                                <w:szCs w:val="22"/>
                              </w:rPr>
                              <w:t>Summer</w:t>
                            </w:r>
                            <w:proofErr w:type="gramEnd"/>
                            <w:r>
                              <w:rPr>
                                <w:szCs w:val="22"/>
                              </w:rPr>
                              <w:t xml:space="preserve"> 2013 will involve evaluating and synthesising the evidence available from many different data sources and evaluations expected to be completed. This should provide </w:t>
                            </w:r>
                            <w:r w:rsidRPr="00BE7B2E">
                              <w:rPr>
                                <w:szCs w:val="22"/>
                              </w:rPr>
                              <w:t>a more complete picture</w:t>
                            </w:r>
                            <w:r>
                              <w:rPr>
                                <w:szCs w:val="22"/>
                              </w:rPr>
                              <w:t xml:space="preserve"> of the outputs, outcomes, impacts and lessons learnt</w:t>
                            </w:r>
                            <w:r w:rsidRPr="00BE7B2E">
                              <w:rPr>
                                <w:szCs w:val="22"/>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399.6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" fillcolor="#f2f2f2 [3052]">
                <v:textbox>
                  <w:txbxContent>
                    <w:p w14:paraId="629B9B2E" w14:textId="77777777" w:rsidR="000D2201" w:rsidRDefault="000D2201" w:rsidP="000D2201">
                      <w:pPr>
                        <w:spacing w:after="120"/>
                      </w:pPr>
                      <w:r w:rsidRPr="00407D5F">
                        <w:t>The 2012 Olympic and Paralympic Games (</w:t>
                      </w:r>
                      <w:r>
                        <w:t xml:space="preserve">2012 Games) over the </w:t>
                      </w:r>
                      <w:proofErr w:type="gramStart"/>
                      <w:r>
                        <w:t>Summer</w:t>
                      </w:r>
                      <w:proofErr w:type="gramEnd"/>
                      <w:r>
                        <w:t xml:space="preserve"> of 2012 are considered a national success in terms of organisation, medal haul, national engagement and as a summer of celebration. </w:t>
                      </w:r>
                    </w:p>
                    <w:p w14:paraId="069D0E74" w14:textId="77777777" w:rsidR="000D2201" w:rsidRPr="0036732D" w:rsidRDefault="000D2201" w:rsidP="000D2201">
                      <w:pPr>
                        <w:spacing w:after="120"/>
                      </w:pPr>
                      <w:r>
                        <w:t xml:space="preserve">So soon after such </w:t>
                      </w:r>
                      <w:r w:rsidRPr="0036732D">
                        <w:t xml:space="preserve">a complex and long-planned event it is too early to make definite conclusions on the Olympic legacy but a number of major impacts have been identified to date. These include: </w:t>
                      </w:r>
                    </w:p>
                    <w:p w14:paraId="52402A57" w14:textId="77777777" w:rsidR="000D2201" w:rsidRPr="0036732D" w:rsidRDefault="000D2201" w:rsidP="000D2201">
                      <w:pPr>
                        <w:pStyle w:val="BulletOne"/>
                        <w:numPr>
                          <w:ilvl w:val="0"/>
                          <w:numId w:val="47"/>
                        </w:numPr>
                        <w:spacing w:before="40"/>
                        <w:ind w:left="341" w:hanging="341"/>
                      </w:pPr>
                      <w:r w:rsidRPr="0036732D">
                        <w:t>Significant investment to increase and improve sport participation and facilities</w:t>
                      </w:r>
                      <w:r>
                        <w:t xml:space="preserve"> has been made</w:t>
                      </w:r>
                      <w:r w:rsidRPr="0036732D">
                        <w:t>. By June 2012:</w:t>
                      </w:r>
                    </w:p>
                    <w:p w14:paraId="02A54046" w14:textId="77777777" w:rsidR="000D2201" w:rsidRPr="0036732D" w:rsidRDefault="000D2201" w:rsidP="000D2201">
                      <w:pPr>
                        <w:pStyle w:val="BulletTwo"/>
                        <w:spacing w:after="120"/>
                      </w:pPr>
                      <w:proofErr w:type="spellStart"/>
                      <w:r w:rsidRPr="0036732D">
                        <w:t>Sportivate</w:t>
                      </w:r>
                      <w:proofErr w:type="spellEnd"/>
                      <w:r w:rsidRPr="0036732D">
                        <w:t xml:space="preserve"> and Gold Challenge have each provided participation o</w:t>
                      </w:r>
                      <w:r>
                        <w:t>pportunities to 100,000 people;</w:t>
                      </w:r>
                    </w:p>
                    <w:p w14:paraId="189F69CA" w14:textId="77777777" w:rsidR="000D2201" w:rsidRPr="0036732D" w:rsidRDefault="000D2201" w:rsidP="000D2201">
                      <w:pPr>
                        <w:pStyle w:val="BulletTwo"/>
                        <w:spacing w:after="120"/>
                      </w:pPr>
                      <w:r>
                        <w:t>900</w:t>
                      </w:r>
                      <w:r w:rsidRPr="0036732D">
                        <w:t xml:space="preserve"> facilities have received awards from the Iconic Facilities, Inspired Facilities and Protecting Playing Fields programme</w:t>
                      </w:r>
                      <w:r>
                        <w:t>.</w:t>
                      </w:r>
                    </w:p>
                    <w:p w14:paraId="36AA323E" w14:textId="77777777" w:rsidR="000D2201" w:rsidRPr="0036732D" w:rsidRDefault="000D2201" w:rsidP="000D2201">
                      <w:pPr>
                        <w:pStyle w:val="BulletOne"/>
                        <w:numPr>
                          <w:ilvl w:val="0"/>
                          <w:numId w:val="47"/>
                        </w:numPr>
                        <w:spacing w:before="40"/>
                      </w:pPr>
                      <w:r w:rsidRPr="0036732D">
                        <w:t xml:space="preserve">The proportion of </w:t>
                      </w:r>
                      <w:r w:rsidRPr="0036732D">
                        <w:rPr>
                          <w:szCs w:val="22"/>
                        </w:rPr>
                        <w:t>people taking part in sport</w:t>
                      </w:r>
                      <w:r w:rsidRPr="0036732D">
                        <w:t xml:space="preserve"> regularly in England (at least one 30 minute session of moderate intensity sport in the last week) increased from 41.2% in 2005/06 to 43.8% in 2011/12. </w:t>
                      </w:r>
                    </w:p>
                    <w:p w14:paraId="3A56466C" w14:textId="77777777" w:rsidR="000D2201" w:rsidRPr="0036732D" w:rsidRDefault="000D2201" w:rsidP="000D2201">
                      <w:pPr>
                        <w:pStyle w:val="BulletOne"/>
                        <w:numPr>
                          <w:ilvl w:val="0"/>
                          <w:numId w:val="47"/>
                        </w:numPr>
                        <w:spacing w:before="40"/>
                        <w:ind w:left="341" w:hangingChars="155" w:hanging="341"/>
                        <w:rPr>
                          <w:szCs w:val="22"/>
                        </w:rPr>
                      </w:pPr>
                      <w:r w:rsidRPr="0036732D">
                        <w:rPr>
                          <w:szCs w:val="22"/>
                        </w:rPr>
                        <w:t>Team GB and Paralympics GB both finished in 3</w:t>
                      </w:r>
                      <w:r w:rsidRPr="0036732D">
                        <w:rPr>
                          <w:szCs w:val="22"/>
                          <w:vertAlign w:val="superscript"/>
                        </w:rPr>
                        <w:t>rd</w:t>
                      </w:r>
                      <w:r w:rsidRPr="0036732D">
                        <w:rPr>
                          <w:szCs w:val="22"/>
                        </w:rPr>
                        <w:t xml:space="preserve"> place in the medals table at London 2012 for the Olympic and Paralympic Games respectively, both </w:t>
                      </w:r>
                      <w:r w:rsidRPr="0036732D">
                        <w:rPr>
                          <w:szCs w:val="22"/>
                          <w:lang w:eastAsia="en-GB"/>
                        </w:rPr>
                        <w:t>exceeding their medal targets</w:t>
                      </w:r>
                      <w:r w:rsidRPr="0036732D">
                        <w:rPr>
                          <w:szCs w:val="22"/>
                        </w:rPr>
                        <w:t>.</w:t>
                      </w:r>
                    </w:p>
                    <w:p w14:paraId="1AD8652B" w14:textId="77777777" w:rsidR="000D2201" w:rsidRDefault="000D2201" w:rsidP="000D2201">
                      <w:pPr>
                        <w:pStyle w:val="Bullet1"/>
                        <w:numPr>
                          <w:ilvl w:val="0"/>
                          <w:numId w:val="47"/>
                        </w:numPr>
                        <w:spacing w:after="120"/>
                        <w:ind w:left="341" w:hangingChars="155" w:hanging="341"/>
                        <w:rPr>
                          <w:szCs w:val="22"/>
                        </w:rPr>
                      </w:pPr>
                      <w:r w:rsidRPr="00CB4E50">
                        <w:rPr>
                          <w:szCs w:val="22"/>
                        </w:rPr>
                        <w:t xml:space="preserve">The £6.5 billion of </w:t>
                      </w:r>
                      <w:r>
                        <w:rPr>
                          <w:szCs w:val="22"/>
                        </w:rPr>
                        <w:t>Olympic Delivery Authority</w:t>
                      </w:r>
                      <w:r w:rsidRPr="00CB4E50">
                        <w:rPr>
                          <w:szCs w:val="22"/>
                        </w:rPr>
                        <w:t xml:space="preserve"> spend on the construction of the venues and Olympic Park infrastructure </w:t>
                      </w:r>
                      <w:r>
                        <w:rPr>
                          <w:szCs w:val="22"/>
                        </w:rPr>
                        <w:t>is estimated to have</w:t>
                      </w:r>
                      <w:r w:rsidRPr="00CB4E50">
                        <w:rPr>
                          <w:szCs w:val="22"/>
                        </w:rPr>
                        <w:t xml:space="preserve"> resulted in a </w:t>
                      </w:r>
                      <w:r>
                        <w:rPr>
                          <w:szCs w:val="22"/>
                        </w:rPr>
                        <w:t>gross</w:t>
                      </w:r>
                      <w:r w:rsidRPr="00CB4E50">
                        <w:rPr>
                          <w:szCs w:val="22"/>
                        </w:rPr>
                        <w:t xml:space="preserve"> impact of £</w:t>
                      </w:r>
                      <w:r>
                        <w:rPr>
                          <w:szCs w:val="22"/>
                        </w:rPr>
                        <w:t>8.2</w:t>
                      </w:r>
                      <w:r w:rsidRPr="00CB4E50">
                        <w:rPr>
                          <w:szCs w:val="22"/>
                        </w:rPr>
                        <w:t xml:space="preserve"> billion of GVA and </w:t>
                      </w:r>
                      <w:r>
                        <w:rPr>
                          <w:szCs w:val="22"/>
                        </w:rPr>
                        <w:t>approximately</w:t>
                      </w:r>
                      <w:r w:rsidRPr="00CB4E50">
                        <w:rPr>
                          <w:szCs w:val="22"/>
                        </w:rPr>
                        <w:t xml:space="preserve"> 1</w:t>
                      </w:r>
                      <w:r>
                        <w:rPr>
                          <w:szCs w:val="22"/>
                        </w:rPr>
                        <w:t>77</w:t>
                      </w:r>
                      <w:r w:rsidRPr="00CB4E50">
                        <w:rPr>
                          <w:szCs w:val="22"/>
                        </w:rPr>
                        <w:t>,000 job years of employment in th</w:t>
                      </w:r>
                      <w:r>
                        <w:rPr>
                          <w:szCs w:val="22"/>
                        </w:rPr>
                        <w:t>e UK over the 2007 to</w:t>
                      </w:r>
                      <w:r w:rsidRPr="00CB4E50">
                        <w:rPr>
                          <w:szCs w:val="22"/>
                        </w:rPr>
                        <w:t xml:space="preserve"> Q1 2012 period</w:t>
                      </w:r>
                      <w:r>
                        <w:rPr>
                          <w:szCs w:val="22"/>
                        </w:rPr>
                        <w:t>. Net impact, taking into account potential displacement of other activity, is estimated at £7.3 billion of GVA and 160,000 job years of employment.</w:t>
                      </w:r>
                    </w:p>
                    <w:p w14:paraId="7AADE47B" w14:textId="77777777" w:rsidR="000D2201" w:rsidRPr="0036732D" w:rsidRDefault="000D2201" w:rsidP="000D2201">
                      <w:pPr>
                        <w:pStyle w:val="Bullet1"/>
                        <w:numPr>
                          <w:ilvl w:val="0"/>
                          <w:numId w:val="47"/>
                        </w:numPr>
                        <w:spacing w:after="120"/>
                        <w:ind w:left="341" w:hangingChars="155" w:hanging="341"/>
                        <w:rPr>
                          <w:szCs w:val="22"/>
                        </w:rPr>
                      </w:pPr>
                      <w:r w:rsidRPr="0036732D">
                        <w:rPr>
                          <w:szCs w:val="22"/>
                        </w:rPr>
                        <w:t>The Games-related London employment and skills programme helped 34,500 people into employment by the end of 2010/11</w:t>
                      </w:r>
                      <w:r>
                        <w:rPr>
                          <w:szCs w:val="22"/>
                        </w:rPr>
                        <w:t>.</w:t>
                      </w:r>
                    </w:p>
                    <w:p w14:paraId="7C2335EC" w14:textId="77777777" w:rsidR="000D2201" w:rsidRPr="0036732D" w:rsidRDefault="000D2201" w:rsidP="000D2201">
                      <w:pPr>
                        <w:pStyle w:val="Bullet1"/>
                        <w:numPr>
                          <w:ilvl w:val="0"/>
                          <w:numId w:val="47"/>
                        </w:numPr>
                        <w:spacing w:after="120"/>
                        <w:ind w:left="341" w:hangingChars="155" w:hanging="341"/>
                        <w:rPr>
                          <w:szCs w:val="22"/>
                        </w:rPr>
                      </w:pPr>
                      <w:r w:rsidRPr="0036732D">
                        <w:rPr>
                          <w:szCs w:val="22"/>
                        </w:rPr>
                        <w:t>Many new opportunities for volunteering were delivered, including up to 70,000 people recruited as Games Makers.</w:t>
                      </w:r>
                    </w:p>
                    <w:p w14:paraId="6DD88682" w14:textId="77777777" w:rsidR="000D2201" w:rsidRPr="00686AC2" w:rsidRDefault="000D2201" w:rsidP="000D2201">
                      <w:pPr>
                        <w:pStyle w:val="Bullet1"/>
                        <w:numPr>
                          <w:ilvl w:val="0"/>
                          <w:numId w:val="47"/>
                        </w:numPr>
                        <w:spacing w:after="120"/>
                        <w:rPr>
                          <w:szCs w:val="22"/>
                        </w:rPr>
                      </w:pPr>
                      <w:r w:rsidRPr="00CB4E50">
                        <w:rPr>
                          <w:szCs w:val="22"/>
                        </w:rPr>
                        <w:t xml:space="preserve">Prior to the Games it was estimated that </w:t>
                      </w:r>
                      <w:r>
                        <w:rPr>
                          <w:szCs w:val="22"/>
                        </w:rPr>
                        <w:t xml:space="preserve">there had </w:t>
                      </w:r>
                      <w:r w:rsidRPr="00CB4E50">
                        <w:rPr>
                          <w:szCs w:val="22"/>
                        </w:rPr>
                        <w:t>already</w:t>
                      </w:r>
                      <w:r>
                        <w:rPr>
                          <w:szCs w:val="22"/>
                        </w:rPr>
                        <w:t xml:space="preserve"> been</w:t>
                      </w:r>
                      <w:r w:rsidRPr="00CB4E50">
                        <w:rPr>
                          <w:szCs w:val="22"/>
                        </w:rPr>
                        <w:t xml:space="preserve"> more than 16 million </w:t>
                      </w:r>
                      <w:r>
                        <w:rPr>
                          <w:szCs w:val="22"/>
                        </w:rPr>
                        <w:t>attendances at</w:t>
                      </w:r>
                      <w:r w:rsidRPr="00CB4E50">
                        <w:rPr>
                          <w:szCs w:val="22"/>
                        </w:rPr>
                        <w:t xml:space="preserve"> Cultural Olympiad</w:t>
                      </w:r>
                      <w:r>
                        <w:rPr>
                          <w:szCs w:val="22"/>
                        </w:rPr>
                        <w:t xml:space="preserve"> events</w:t>
                      </w:r>
                      <w:r w:rsidRPr="00CB4E50">
                        <w:rPr>
                          <w:szCs w:val="22"/>
                        </w:rPr>
                        <w:t>.</w:t>
                      </w:r>
                      <w:r>
                        <w:rPr>
                          <w:szCs w:val="22"/>
                        </w:rPr>
                        <w:t xml:space="preserve"> </w:t>
                      </w:r>
                    </w:p>
                    <w:p w14:paraId="26AD1919" w14:textId="77777777" w:rsidR="000D2201" w:rsidRPr="0036732D" w:rsidRDefault="000D2201" w:rsidP="000D2201">
                      <w:pPr>
                        <w:pStyle w:val="BulletOne"/>
                      </w:pPr>
                      <w:r w:rsidRPr="0036732D">
                        <w:rPr>
                          <w:szCs w:val="22"/>
                        </w:rPr>
                        <w:t>Parts of East London</w:t>
                      </w:r>
                      <w:r w:rsidRPr="0036732D">
                        <w:t xml:space="preserve"> now look, feel and function differently. The </w:t>
                      </w:r>
                      <w:r>
                        <w:t xml:space="preserve">2012 </w:t>
                      </w:r>
                      <w:r w:rsidRPr="0036732D">
                        <w:t>Games have created new sporting venues, catalysed significant transport and public realm improvements and leveraged wider private sector investment.</w:t>
                      </w:r>
                    </w:p>
                    <w:p w14:paraId="59A88EE6" w14:textId="77777777" w:rsidR="000D2201" w:rsidRPr="0036732D" w:rsidRDefault="000D2201" w:rsidP="000D2201">
                      <w:pPr>
                        <w:pStyle w:val="BulletOne"/>
                      </w:pPr>
                      <w:r w:rsidRPr="0036732D">
                        <w:t>Nearly 10,000 new homes will be built in East London as part of the Games legacy</w:t>
                      </w:r>
                      <w:r>
                        <w:t xml:space="preserve">, </w:t>
                      </w:r>
                      <w:r w:rsidRPr="0036732D">
                        <w:t>42% of which will be family housing and 35% affordable housing.</w:t>
                      </w:r>
                    </w:p>
                    <w:p w14:paraId="327EFDF3" w14:textId="77777777" w:rsidR="000D2201" w:rsidRPr="0036732D" w:rsidRDefault="000D2201" w:rsidP="000D2201">
                      <w:pPr>
                        <w:pStyle w:val="BulletOne"/>
                        <w:ind w:left="341" w:hangingChars="155" w:hanging="341"/>
                      </w:pPr>
                      <w:r w:rsidRPr="0036732D">
                        <w:t xml:space="preserve">Over 5,000 </w:t>
                      </w:r>
                      <w:r>
                        <w:t>h</w:t>
                      </w:r>
                      <w:r w:rsidRPr="0036732D">
                        <w:t xml:space="preserve">ost </w:t>
                      </w:r>
                      <w:r>
                        <w:t>b</w:t>
                      </w:r>
                      <w:r w:rsidRPr="0036732D">
                        <w:t>orough residents were employed in the building of the Olympic Park and 4,000 in the building of the Athletes</w:t>
                      </w:r>
                      <w:r>
                        <w:t>'</w:t>
                      </w:r>
                      <w:r w:rsidRPr="0036732D">
                        <w:t xml:space="preserve"> Village.</w:t>
                      </w:r>
                    </w:p>
                    <w:p w14:paraId="4CE11870" w14:textId="77777777" w:rsidR="000D2201" w:rsidRPr="0036732D" w:rsidRDefault="000D2201" w:rsidP="000D2201">
                      <w:pPr>
                        <w:pStyle w:val="BulletOne"/>
                        <w:ind w:left="341" w:hangingChars="155" w:hanging="341"/>
                      </w:pPr>
                      <w:r w:rsidRPr="0036732D">
                        <w:rPr>
                          <w:lang w:val="en-US"/>
                        </w:rPr>
                        <w:t>East London appears to be 'closing the gap' with the rest of London in relation to key socio-economic indicators.</w:t>
                      </w:r>
                    </w:p>
                    <w:p w14:paraId="72734D43" w14:textId="77777777" w:rsidR="000D2201" w:rsidRPr="00BE7B2E" w:rsidRDefault="000D2201" w:rsidP="000D2201">
                      <w:pPr>
                        <w:spacing w:before="0" w:after="120"/>
                        <w:rPr>
                          <w:szCs w:val="22"/>
                        </w:rPr>
                      </w:pPr>
                      <w:r w:rsidRPr="0036732D">
                        <w:t>The interim evaluation is a first asses</w:t>
                      </w:r>
                      <w:r>
                        <w:t xml:space="preserve">sment of the </w:t>
                      </w:r>
                      <w:r w:rsidRPr="00BE7B2E">
                        <w:t>emerging legacy from the 2012 Games</w:t>
                      </w:r>
                      <w:r>
                        <w:t xml:space="preserve">, setting out </w:t>
                      </w:r>
                      <w:r w:rsidRPr="00BE7B2E">
                        <w:t>what has already been achieved and deliver</w:t>
                      </w:r>
                      <w:r>
                        <w:t xml:space="preserve">ed. </w:t>
                      </w:r>
                      <w:r w:rsidRPr="00BE7B2E">
                        <w:rPr>
                          <w:szCs w:val="22"/>
                        </w:rPr>
                        <w:t xml:space="preserve">The next phase of the meta-evaluation </w:t>
                      </w:r>
                      <w:r>
                        <w:rPr>
                          <w:szCs w:val="22"/>
                        </w:rPr>
                        <w:t xml:space="preserve">to </w:t>
                      </w:r>
                      <w:proofErr w:type="gramStart"/>
                      <w:r>
                        <w:rPr>
                          <w:szCs w:val="22"/>
                        </w:rPr>
                        <w:t>Summer</w:t>
                      </w:r>
                      <w:proofErr w:type="gramEnd"/>
                      <w:r>
                        <w:rPr>
                          <w:szCs w:val="22"/>
                        </w:rPr>
                        <w:t xml:space="preserve"> 2013 will involve evaluating and synthesising the evidence available from many different data sources and evaluations expected to be completed. This should provide </w:t>
                      </w:r>
                      <w:r w:rsidRPr="00BE7B2E">
                        <w:rPr>
                          <w:szCs w:val="22"/>
                        </w:rPr>
                        <w:t>a more complete picture</w:t>
                      </w:r>
                      <w:r>
                        <w:rPr>
                          <w:szCs w:val="22"/>
                        </w:rPr>
                        <w:t xml:space="preserve"> of the outputs, outcomes, impacts and lessons learnt</w:t>
                      </w:r>
                      <w:r w:rsidRPr="00BE7B2E">
                        <w:rPr>
                          <w:szCs w:val="22"/>
                        </w:rPr>
                        <w:t>.</w:t>
                      </w:r>
                    </w:p>
                  </w:txbxContent>
                </v:textbox>
                <w10:anchorlock/>
              </v:shape>
            </w:pict>
          </mc:Fallback>
        </mc:AlternateContent>
      </w:r>
    </w:p>
    <w:p w14:paraId="76EC662E" w14:textId="77777777" w:rsidR="00582FBB" w:rsidRDefault="00B43479" w:rsidP="00446902">
      <w:pPr>
        <w:pStyle w:val="Heading1"/>
      </w:pPr>
      <w:bookmarkStart w:id="10" w:name="_Toc338746874"/>
      <w:r>
        <w:lastRenderedPageBreak/>
        <w:t>Introduction</w:t>
      </w:r>
      <w:bookmarkEnd w:id="8"/>
      <w:bookmarkEnd w:id="10"/>
      <w:r w:rsidR="00A14E08">
        <w:t xml:space="preserve"> </w:t>
      </w:r>
      <w:bookmarkEnd w:id="9"/>
    </w:p>
    <w:p w14:paraId="76EC662F" w14:textId="77777777" w:rsidR="00021EB5" w:rsidRDefault="00021EB5">
      <w:pPr>
        <w:pStyle w:val="Heading2"/>
      </w:pPr>
      <w:bookmarkStart w:id="11" w:name="_Toc332901255"/>
      <w:r>
        <w:t>The 2012 Games</w:t>
      </w:r>
      <w:bookmarkEnd w:id="11"/>
      <w:r>
        <w:t xml:space="preserve"> </w:t>
      </w:r>
    </w:p>
    <w:p w14:paraId="76EC6630" w14:textId="77777777" w:rsidR="00021EB5" w:rsidRDefault="009321A3" w:rsidP="00E207C1">
      <w:r>
        <w:t>Between</w:t>
      </w:r>
      <w:r w:rsidR="00AA2951">
        <w:t xml:space="preserve"> July </w:t>
      </w:r>
      <w:r>
        <w:t>and</w:t>
      </w:r>
      <w:r w:rsidR="00AA2951">
        <w:t xml:space="preserve"> September 2012, </w:t>
      </w:r>
      <w:r w:rsidR="00021EB5">
        <w:t>the UK host</w:t>
      </w:r>
      <w:r>
        <w:t>ed</w:t>
      </w:r>
      <w:r w:rsidR="00AE5F3A">
        <w:t xml:space="preserve"> </w:t>
      </w:r>
      <w:r w:rsidR="00021EB5">
        <w:t xml:space="preserve">the Olympic and Paralympic Games ('2012 Games' or 'the Games'). One of the key elements of London's bid for the Games was the commitment that they would result in a lasting legacy for the whole of the UK. </w:t>
      </w:r>
    </w:p>
    <w:p w14:paraId="76EC6631" w14:textId="77777777" w:rsidR="00021EB5" w:rsidRDefault="000766FD" w:rsidP="00CD5E12">
      <w:r>
        <w:t xml:space="preserve">The vision for the 2012 </w:t>
      </w:r>
      <w:r w:rsidR="00021EB5">
        <w:t xml:space="preserve">Games </w:t>
      </w:r>
      <w:r w:rsidR="009321A3">
        <w:t>wa</w:t>
      </w:r>
      <w:r>
        <w:t xml:space="preserve">s </w:t>
      </w:r>
      <w:r w:rsidR="00CB62ED">
        <w:t xml:space="preserve">for them </w:t>
      </w:r>
      <w:r>
        <w:t xml:space="preserve">to be both </w:t>
      </w:r>
      <w:r w:rsidR="00021EB5">
        <w:t xml:space="preserve">a successful sporting event </w:t>
      </w:r>
      <w:r>
        <w:t xml:space="preserve">and also a </w:t>
      </w:r>
      <w:r w:rsidR="00021EB5">
        <w:t>catalyst for lasting change,</w:t>
      </w:r>
      <w:r w:rsidR="00021EB5" w:rsidRPr="00495246">
        <w:t xml:space="preserve"> </w:t>
      </w:r>
      <w:r w:rsidR="00021EB5">
        <w:t xml:space="preserve">before, during and after the event. </w:t>
      </w:r>
      <w:r>
        <w:t>T</w:t>
      </w:r>
      <w:r w:rsidR="00021EB5">
        <w:t xml:space="preserve">he legacy </w:t>
      </w:r>
      <w:r>
        <w:t xml:space="preserve">plans for the </w:t>
      </w:r>
      <w:r w:rsidR="00021EB5">
        <w:t>Games focus on four areas</w:t>
      </w:r>
      <w:r w:rsidR="00B57D0E">
        <w:t xml:space="preserve"> –</w:t>
      </w:r>
      <w:r w:rsidR="00021EB5">
        <w:t xml:space="preserve"> sport</w:t>
      </w:r>
      <w:r w:rsidR="000756DF">
        <w:t xml:space="preserve">, </w:t>
      </w:r>
      <w:r w:rsidR="00021EB5">
        <w:t>the economy</w:t>
      </w:r>
      <w:r w:rsidR="000756DF">
        <w:t xml:space="preserve">, </w:t>
      </w:r>
      <w:r w:rsidR="00021EB5">
        <w:t>community engagement and the regeneration of East London</w:t>
      </w:r>
      <w:r w:rsidR="007D1ADC">
        <w:t xml:space="preserve"> </w:t>
      </w:r>
      <w:r w:rsidR="00B57D0E">
        <w:t xml:space="preserve">– as well as the </w:t>
      </w:r>
      <w:r w:rsidR="007D1ADC">
        <w:t xml:space="preserve">cross-cutting themes of </w:t>
      </w:r>
      <w:r w:rsidR="00021EB5" w:rsidRPr="00ED26D2">
        <w:t>sustainability</w:t>
      </w:r>
      <w:r w:rsidR="00021EB5">
        <w:t xml:space="preserve"> and </w:t>
      </w:r>
      <w:r w:rsidR="00021EB5" w:rsidRPr="00ED26D2">
        <w:t>disability.</w:t>
      </w:r>
    </w:p>
    <w:p w14:paraId="76EC6632" w14:textId="77777777" w:rsidR="00137DEE" w:rsidRDefault="00137DEE" w:rsidP="00CD5E12">
      <w:r>
        <w:t xml:space="preserve">In pursuit of the legacy objectives, a large number of policies and initiatives have been – and continue to be – developed and implemented by a diverse </w:t>
      </w:r>
      <w:r w:rsidRPr="001105B6">
        <w:t xml:space="preserve">range of organisations </w:t>
      </w:r>
      <w:r>
        <w:t xml:space="preserve">across </w:t>
      </w:r>
      <w:r w:rsidRPr="001105B6">
        <w:t>the public, private and third sectors.</w:t>
      </w:r>
      <w:r>
        <w:t xml:space="preserve"> </w:t>
      </w:r>
    </w:p>
    <w:p w14:paraId="76EC6633" w14:textId="77777777" w:rsidR="00137DEE" w:rsidRDefault="00137DEE" w:rsidP="00137DEE">
      <w:pPr>
        <w:pStyle w:val="Heading2"/>
      </w:pPr>
      <w:bookmarkStart w:id="12" w:name="_Toc332901256"/>
      <w:r>
        <w:t>The meta-evaluation</w:t>
      </w:r>
      <w:bookmarkEnd w:id="12"/>
      <w:r>
        <w:t xml:space="preserve"> </w:t>
      </w:r>
    </w:p>
    <w:p w14:paraId="76EC6634" w14:textId="77777777" w:rsidR="007D1ADC" w:rsidRDefault="00021EB5" w:rsidP="00E207C1">
      <w:r w:rsidRPr="00021EB5">
        <w:t xml:space="preserve">The </w:t>
      </w:r>
      <w:r>
        <w:t xml:space="preserve">purpose of the </w:t>
      </w:r>
      <w:r w:rsidRPr="00021EB5">
        <w:t xml:space="preserve">meta-evaluation </w:t>
      </w:r>
      <w:r>
        <w:t xml:space="preserve">is to assess the impact and </w:t>
      </w:r>
      <w:r w:rsidRPr="00021EB5">
        <w:t>legacy of the 2012 Games</w:t>
      </w:r>
      <w:r w:rsidR="00137DEE">
        <w:t xml:space="preserve"> and the various legacy projects</w:t>
      </w:r>
      <w:r w:rsidRPr="00021EB5">
        <w:t>, setting out impacts across the nations and regions, the host boroughs</w:t>
      </w:r>
      <w:r w:rsidR="00461073">
        <w:rPr>
          <w:rStyle w:val="FootnoteReference"/>
        </w:rPr>
        <w:footnoteReference w:id="1"/>
      </w:r>
      <w:r w:rsidRPr="00021EB5">
        <w:t xml:space="preserve"> and on specific groups.</w:t>
      </w:r>
      <w:r w:rsidR="007D1ADC">
        <w:t xml:space="preserve"> </w:t>
      </w:r>
    </w:p>
    <w:p w14:paraId="76EC6635" w14:textId="77777777" w:rsidR="00137DEE" w:rsidRDefault="00CB62ED" w:rsidP="00E207C1">
      <w:r>
        <w:t>The</w:t>
      </w:r>
      <w:r w:rsidR="008F4623" w:rsidRPr="008F4623">
        <w:t xml:space="preserve"> meta-evaluation </w:t>
      </w:r>
      <w:r>
        <w:t xml:space="preserve">was </w:t>
      </w:r>
      <w:r w:rsidR="008F4623" w:rsidRPr="008F4623">
        <w:t>commissioned by the Department for Culture, Media and Sport (DCMS)</w:t>
      </w:r>
      <w:r w:rsidR="008F4623">
        <w:t xml:space="preserve"> but will report </w:t>
      </w:r>
      <w:r w:rsidR="008F4623" w:rsidRPr="008F4623">
        <w:t xml:space="preserve">on impacts of </w:t>
      </w:r>
      <w:r w:rsidR="00137DEE">
        <w:t xml:space="preserve">legacy </w:t>
      </w:r>
      <w:r w:rsidR="008F4623" w:rsidRPr="008F4623">
        <w:t>activity being driven by a wide range of organisations, communities and individuals</w:t>
      </w:r>
      <w:r w:rsidR="008F4623">
        <w:t>.</w:t>
      </w:r>
      <w:r w:rsidR="007D1ADC" w:rsidRPr="007D1ADC">
        <w:t xml:space="preserve"> </w:t>
      </w:r>
    </w:p>
    <w:p w14:paraId="76EC6636" w14:textId="77777777" w:rsidR="00021EB5" w:rsidRPr="006C0E95" w:rsidRDefault="00021EB5" w:rsidP="00E207C1">
      <w:pPr>
        <w:rPr>
          <w:rFonts w:cs="MPFLD G+ Bliss"/>
          <w:color w:val="000000"/>
          <w:szCs w:val="22"/>
        </w:rPr>
      </w:pPr>
      <w:r>
        <w:t>Reports 1 and 2</w:t>
      </w:r>
      <w:r w:rsidR="000756DF">
        <w:t xml:space="preserve"> of the meta-evaluation</w:t>
      </w:r>
      <w:r w:rsidR="008F4623">
        <w:t xml:space="preserve">, published in </w:t>
      </w:r>
      <w:proofErr w:type="gramStart"/>
      <w:r>
        <w:t>Summer</w:t>
      </w:r>
      <w:proofErr w:type="gramEnd"/>
      <w:r>
        <w:t xml:space="preserve"> 2011</w:t>
      </w:r>
      <w:r w:rsidR="008F4623">
        <w:t xml:space="preserve">, </w:t>
      </w:r>
      <w:r>
        <w:t xml:space="preserve">set out the </w:t>
      </w:r>
      <w:r w:rsidRPr="00021EB5">
        <w:t xml:space="preserve">research questions, method and analytical framework </w:t>
      </w:r>
      <w:r>
        <w:t xml:space="preserve">to be used </w:t>
      </w:r>
      <w:r w:rsidR="007D1ADC">
        <w:t xml:space="preserve">by the </w:t>
      </w:r>
      <w:r>
        <w:t>meta-evaluation.</w:t>
      </w:r>
      <w:r w:rsidR="001B3790">
        <w:t xml:space="preserve"> </w:t>
      </w:r>
      <w:r w:rsidR="00446902">
        <w:t xml:space="preserve">Report 3, published in </w:t>
      </w:r>
      <w:r w:rsidR="009B2546">
        <w:t>January</w:t>
      </w:r>
      <w:r w:rsidR="00446902">
        <w:t xml:space="preserve"> 2012, established the baseline </w:t>
      </w:r>
      <w:r w:rsidR="006C0E95">
        <w:rPr>
          <w:rFonts w:cs="MPFLD G+ Bliss"/>
          <w:color w:val="000000"/>
          <w:szCs w:val="22"/>
        </w:rPr>
        <w:t>and counterfactuals for the meta-evaluation to answer the question "</w:t>
      </w:r>
      <w:r w:rsidR="006C0E95" w:rsidRPr="00657D47">
        <w:rPr>
          <w:rFonts w:cs="MPFLD G+ Bliss"/>
          <w:i/>
          <w:color w:val="000000"/>
          <w:szCs w:val="22"/>
        </w:rPr>
        <w:t>what would have been expected in the absence of the Games and/or legacy interventions?</w:t>
      </w:r>
      <w:r w:rsidR="006C0E95">
        <w:rPr>
          <w:rFonts w:cs="MPFLD G+ Bliss"/>
          <w:color w:val="000000"/>
          <w:szCs w:val="22"/>
        </w:rPr>
        <w:t xml:space="preserve">" </w:t>
      </w:r>
    </w:p>
    <w:p w14:paraId="76EC6637" w14:textId="77777777" w:rsidR="00500ED5" w:rsidRDefault="006C6FC6" w:rsidP="00500ED5">
      <w:pPr>
        <w:pStyle w:val="Heading2"/>
      </w:pPr>
      <w:bookmarkStart w:id="13" w:name="_Toc332901257"/>
      <w:r>
        <w:t xml:space="preserve">The </w:t>
      </w:r>
      <w:r w:rsidR="00DB6D75">
        <w:t>interim evaluation</w:t>
      </w:r>
      <w:bookmarkEnd w:id="13"/>
      <w:r w:rsidR="00DB6D75">
        <w:t xml:space="preserve"> </w:t>
      </w:r>
    </w:p>
    <w:p w14:paraId="76EC6638" w14:textId="13DC8B8C" w:rsidR="00DB6D75" w:rsidRDefault="009423CD" w:rsidP="00CD5E12">
      <w:r>
        <w:t xml:space="preserve">This summary of Report 4 sets out the findings of the interim evaluation. </w:t>
      </w:r>
      <w:r w:rsidR="00DB6D75">
        <w:t>Th</w:t>
      </w:r>
      <w:r w:rsidR="000756DF">
        <w:t>e interim evaluation</w:t>
      </w:r>
      <w:r w:rsidR="00DB6D75">
        <w:t xml:space="preserve"> examines available evidence of the impacts and legacy that has emerged from activity taking place</w:t>
      </w:r>
      <w:r w:rsidR="000756DF">
        <w:t xml:space="preserve"> primarily</w:t>
      </w:r>
      <w:r w:rsidR="00DB6D75">
        <w:t xml:space="preserve"> in the pre-Games period. It draws on a wide range of available sources of evidence including monitoring and output data</w:t>
      </w:r>
      <w:r w:rsidR="00F34592">
        <w:t xml:space="preserve">, </w:t>
      </w:r>
      <w:r w:rsidR="00DB6D75">
        <w:t>evaluations and research undertaken by other organisations and individuals</w:t>
      </w:r>
      <w:r w:rsidR="00F34592">
        <w:t xml:space="preserve">, </w:t>
      </w:r>
      <w:r w:rsidR="00DB6D75">
        <w:t xml:space="preserve">and primary research commissioned or undertaken directly by the meta-evaluation team. Chapter </w:t>
      </w:r>
      <w:r w:rsidR="00572883">
        <w:t>3</w:t>
      </w:r>
      <w:r w:rsidR="00DB6D75">
        <w:t xml:space="preserve"> provides more detail on the evidence base, in particular how it was developed and how it has been used. </w:t>
      </w:r>
    </w:p>
    <w:p w14:paraId="76EC6639" w14:textId="0EE2422B" w:rsidR="00DB6D75" w:rsidRDefault="009321A3" w:rsidP="00CD5E12">
      <w:r>
        <w:t>T</w:t>
      </w:r>
      <w:r w:rsidR="00DB6D75">
        <w:t>h</w:t>
      </w:r>
      <w:r w:rsidR="00F34592">
        <w:t xml:space="preserve">e interim evaluation </w:t>
      </w:r>
      <w:r w:rsidR="00DB6D75">
        <w:t xml:space="preserve">focuses on the impact and legacy of pre-Games activity and does not, in the main, cover the impact and legacy of Games-time </w:t>
      </w:r>
      <w:r w:rsidR="00A057B1">
        <w:t>activity.</w:t>
      </w:r>
      <w:r w:rsidR="00E31CB6">
        <w:t xml:space="preserve"> </w:t>
      </w:r>
      <w:r w:rsidR="00DB6D75">
        <w:t>The cut off point for the inclusion of data was June 2012 (with a few exceptions) and therefore</w:t>
      </w:r>
      <w:r w:rsidR="00572883">
        <w:t xml:space="preserve"> this report only provides a partial </w:t>
      </w:r>
      <w:r w:rsidR="00DB6D75">
        <w:t>assessment of impacts and legacy of pre-Games activity – largely due t</w:t>
      </w:r>
      <w:r w:rsidR="00E31CB6">
        <w:t xml:space="preserve">o time-lags in available data. </w:t>
      </w:r>
      <w:r w:rsidR="00DB6D75">
        <w:t>Report 5</w:t>
      </w:r>
      <w:r w:rsidR="00CB62ED">
        <w:t xml:space="preserve"> wi</w:t>
      </w:r>
      <w:r w:rsidR="00DB6D75">
        <w:t>ll provide a more complete picture</w:t>
      </w:r>
      <w:r w:rsidR="00CB62ED">
        <w:t xml:space="preserve"> when published in </w:t>
      </w:r>
      <w:proofErr w:type="gramStart"/>
      <w:r w:rsidR="00CB62ED">
        <w:t>Summer</w:t>
      </w:r>
      <w:proofErr w:type="gramEnd"/>
      <w:r w:rsidR="00CB62ED">
        <w:t xml:space="preserve"> 2013</w:t>
      </w:r>
      <w:r w:rsidR="00DB6D75">
        <w:t>.</w:t>
      </w:r>
    </w:p>
    <w:p w14:paraId="76EC663A" w14:textId="4283A100" w:rsidR="00500ED5" w:rsidRDefault="00DB6D75" w:rsidP="00CD5E12">
      <w:r>
        <w:t>Th</w:t>
      </w:r>
      <w:r w:rsidR="00F34592">
        <w:t>e</w:t>
      </w:r>
      <w:r>
        <w:t xml:space="preserve"> </w:t>
      </w:r>
      <w:r w:rsidR="00F34592">
        <w:t xml:space="preserve">interim evaluation </w:t>
      </w:r>
      <w:r>
        <w:t>is therefore a</w:t>
      </w:r>
      <w:r w:rsidR="00572883">
        <w:t xml:space="preserve">n initial assessment of </w:t>
      </w:r>
      <w:r>
        <w:t>the emerging legacy from the 2012 Games for each of the four legacy themes</w:t>
      </w:r>
      <w:r w:rsidR="00CB62ED">
        <w:t xml:space="preserve">, providing </w:t>
      </w:r>
      <w:r>
        <w:t>insight into what has already been achieved and delivered.</w:t>
      </w:r>
      <w:r w:rsidR="00B73D10">
        <w:t xml:space="preserve"> </w:t>
      </w:r>
      <w:r>
        <w:t xml:space="preserve">Where possible it also provides a sense of direction and scale in terms of what can be expected post-Games in both the medium and longer term. </w:t>
      </w:r>
    </w:p>
    <w:p w14:paraId="76EC663B" w14:textId="77777777" w:rsidR="00500ED5" w:rsidRDefault="00500ED5" w:rsidP="00F95170"/>
    <w:p w14:paraId="76EC663C" w14:textId="77777777" w:rsidR="00B53A57" w:rsidRDefault="00500ED5" w:rsidP="00B53A57">
      <w:pPr>
        <w:pStyle w:val="Heading1"/>
      </w:pPr>
      <w:bookmarkStart w:id="14" w:name="_Toc332901258"/>
      <w:bookmarkStart w:id="15" w:name="_Toc338746875"/>
      <w:r>
        <w:lastRenderedPageBreak/>
        <w:t>Methodological overview</w:t>
      </w:r>
      <w:bookmarkEnd w:id="14"/>
      <w:bookmarkEnd w:id="15"/>
      <w:r>
        <w:t xml:space="preserve"> </w:t>
      </w:r>
    </w:p>
    <w:p w14:paraId="76EC663D" w14:textId="22F60096" w:rsidR="00E76FBC" w:rsidRDefault="00DB6D75" w:rsidP="000329C9">
      <w:r w:rsidRPr="00DB6D75">
        <w:t>Th</w:t>
      </w:r>
      <w:r w:rsidR="00817224">
        <w:t>e</w:t>
      </w:r>
      <w:r w:rsidRPr="00DB6D75">
        <w:t xml:space="preserve"> methodological approach taken in synthesising the evidence</w:t>
      </w:r>
      <w:r w:rsidR="00856630">
        <w:t xml:space="preserve"> for </w:t>
      </w:r>
      <w:r w:rsidR="00817224">
        <w:t>Report 4</w:t>
      </w:r>
      <w:r w:rsidR="009735BF">
        <w:t xml:space="preserve"> along with the process involved in gathering the evidence</w:t>
      </w:r>
      <w:r w:rsidR="00817224">
        <w:t xml:space="preserve"> is summarised </w:t>
      </w:r>
      <w:r w:rsidR="00572883">
        <w:t>in this section</w:t>
      </w:r>
      <w:r w:rsidRPr="00DB6D75">
        <w:t xml:space="preserve">. The overarching methodological approach taken to the meta-evaluation is set out in </w:t>
      </w:r>
      <w:r w:rsidR="00572883">
        <w:t xml:space="preserve">detail in </w:t>
      </w:r>
      <w:r w:rsidRPr="00DB6D75">
        <w:t>Reports 1 and 2.</w:t>
      </w:r>
    </w:p>
    <w:p w14:paraId="76EC663E" w14:textId="77777777" w:rsidR="00500ED5" w:rsidRDefault="00DB6D75" w:rsidP="00DB6D75">
      <w:pPr>
        <w:pStyle w:val="Heading2"/>
      </w:pPr>
      <w:bookmarkStart w:id="16" w:name="_Toc332901259"/>
      <w:r w:rsidRPr="00DB6D75">
        <w:t>Overview of the approach</w:t>
      </w:r>
      <w:bookmarkEnd w:id="16"/>
      <w:r w:rsidR="00500ED5">
        <w:t xml:space="preserve"> </w:t>
      </w:r>
    </w:p>
    <w:p w14:paraId="76EC663F" w14:textId="6F1B30FA" w:rsidR="00DB6D75" w:rsidRDefault="00461073" w:rsidP="00DB6D75">
      <w:r>
        <w:fldChar w:fldCharType="begin"/>
      </w:r>
      <w:r>
        <w:instrText xml:space="preserve"> REF _Ref336002274 \h </w:instrText>
      </w:r>
      <w:r>
        <w:fldChar w:fldCharType="separate"/>
      </w:r>
      <w:r w:rsidR="003D22DB">
        <w:t xml:space="preserve">Figure </w:t>
      </w:r>
      <w:r w:rsidR="003D22DB">
        <w:rPr>
          <w:noProof/>
        </w:rPr>
        <w:t>3</w:t>
      </w:r>
      <w:r w:rsidR="003D22DB">
        <w:noBreakHyphen/>
      </w:r>
      <w:r w:rsidR="003D22DB">
        <w:rPr>
          <w:noProof/>
        </w:rPr>
        <w:t>1</w:t>
      </w:r>
      <w:r>
        <w:fldChar w:fldCharType="end"/>
      </w:r>
      <w:r>
        <w:t xml:space="preserve"> </w:t>
      </w:r>
      <w:r w:rsidR="00CB62ED">
        <w:t xml:space="preserve">illustrates </w:t>
      </w:r>
      <w:r w:rsidR="00DB6D75">
        <w:t>the methodological approach adopted for th</w:t>
      </w:r>
      <w:r w:rsidR="00572883">
        <w:t>is</w:t>
      </w:r>
      <w:r w:rsidR="00CB62ED">
        <w:t xml:space="preserve"> </w:t>
      </w:r>
      <w:r w:rsidR="00DB6D75">
        <w:t>interim evaluation and shows how we have sought to structure the findings.</w:t>
      </w:r>
      <w:r w:rsidR="00CB62ED">
        <w:t xml:space="preserve"> The </w:t>
      </w:r>
      <w:r w:rsidR="00DB6D75">
        <w:t xml:space="preserve">analysis and reporting has been structured by the four legacy themes and then further broken </w:t>
      </w:r>
      <w:r w:rsidR="009735BF">
        <w:t xml:space="preserve">down by the legacy sub-themes. </w:t>
      </w:r>
      <w:r w:rsidR="00572883">
        <w:t xml:space="preserve">This </w:t>
      </w:r>
      <w:r w:rsidR="00DB6D75">
        <w:t xml:space="preserve">structure has guided </w:t>
      </w:r>
      <w:r w:rsidR="00572883">
        <w:t xml:space="preserve">all of </w:t>
      </w:r>
      <w:r w:rsidR="00CB62ED">
        <w:t>the meta-evaluat</w:t>
      </w:r>
      <w:r w:rsidR="00BA081A">
        <w:t>i</w:t>
      </w:r>
      <w:r w:rsidR="00CB62ED">
        <w:t>on work to date</w:t>
      </w:r>
      <w:r w:rsidR="00DB6D75">
        <w:t>.</w:t>
      </w:r>
    </w:p>
    <w:p w14:paraId="265E6C23" w14:textId="77777777" w:rsidR="00572883" w:rsidRDefault="00DB6D75" w:rsidP="00DB6D75">
      <w:r>
        <w:t xml:space="preserve">For each sub-theme we have sought to analyse the evidence available by 'type', with three broad types of evidence used: </w:t>
      </w:r>
    </w:p>
    <w:p w14:paraId="641C6679" w14:textId="4861E92C" w:rsidR="00572883" w:rsidRDefault="004E5533" w:rsidP="00657D47">
      <w:pPr>
        <w:pStyle w:val="BulletOne"/>
      </w:pPr>
      <w:r>
        <w:t>O</w:t>
      </w:r>
      <w:r w:rsidR="00DB6D75">
        <w:t>utput and expenditure data</w:t>
      </w:r>
      <w:r w:rsidR="00572883">
        <w:t>;</w:t>
      </w:r>
    </w:p>
    <w:p w14:paraId="3E64B973" w14:textId="6F3B1ACB" w:rsidR="00572883" w:rsidRDefault="004E5533" w:rsidP="00657D47">
      <w:pPr>
        <w:pStyle w:val="BulletOne"/>
      </w:pPr>
      <w:r>
        <w:t>E</w:t>
      </w:r>
      <w:r w:rsidR="00DB6D75">
        <w:t>valuation and other research evidence</w:t>
      </w:r>
      <w:r w:rsidR="00572883">
        <w:t>;</w:t>
      </w:r>
      <w:r w:rsidR="00DB6D75">
        <w:t xml:space="preserve"> </w:t>
      </w:r>
    </w:p>
    <w:p w14:paraId="4AF776CC" w14:textId="497FC778" w:rsidR="00572883" w:rsidRDefault="004E5533" w:rsidP="00657D47">
      <w:pPr>
        <w:pStyle w:val="BulletOne"/>
      </w:pPr>
      <w:r>
        <w:t>P</w:t>
      </w:r>
      <w:r w:rsidR="00DB6D75">
        <w:t xml:space="preserve">rimary research. </w:t>
      </w:r>
    </w:p>
    <w:p w14:paraId="0930576C" w14:textId="77777777" w:rsidR="008141EB" w:rsidRDefault="00DB6D75" w:rsidP="00085897">
      <w:r>
        <w:t xml:space="preserve">In undertaking the analysis and synthesis we were mindful of the differences between the types of </w:t>
      </w:r>
      <w:r w:rsidR="00572883">
        <w:t xml:space="preserve">evidence and </w:t>
      </w:r>
      <w:r>
        <w:t>data</w:t>
      </w:r>
      <w:r w:rsidR="00572883">
        <w:t xml:space="preserve">. Our </w:t>
      </w:r>
      <w:r>
        <w:t xml:space="preserve">approach </w:t>
      </w:r>
      <w:r w:rsidR="00572883">
        <w:t xml:space="preserve">has </w:t>
      </w:r>
      <w:r>
        <w:t xml:space="preserve">enabled us to analyse parallel forms of evidence separately and helped to avoid any confusion that may have been created by attempting to synthesise </w:t>
      </w:r>
      <w:r w:rsidR="009735BF">
        <w:t>incompatible</w:t>
      </w:r>
      <w:r>
        <w:t xml:space="preserve"> types of evidence. </w:t>
      </w:r>
      <w:r w:rsidR="00572883">
        <w:t>The amount and type of evidence available differs within themes and sub-themes.</w:t>
      </w:r>
    </w:p>
    <w:p w14:paraId="76EC6645" w14:textId="36ECCA82" w:rsidR="00DB6D75" w:rsidRDefault="00F13775" w:rsidP="00DB6D75">
      <w:pPr>
        <w:pStyle w:val="Caption"/>
      </w:pPr>
      <w:bookmarkStart w:id="17" w:name="_Ref336002274"/>
      <w:r>
        <w:t xml:space="preserve">Figure </w:t>
      </w:r>
      <w:r w:rsidR="009B7975">
        <w:fldChar w:fldCharType="begin"/>
      </w:r>
      <w:r w:rsidR="009B7975">
        <w:instrText xml:space="preserve"> STYLEREF 1 \s </w:instrText>
      </w:r>
      <w:r w:rsidR="009B7975">
        <w:fldChar w:fldCharType="separate"/>
      </w:r>
      <w:r w:rsidR="003D22DB">
        <w:rPr>
          <w:noProof/>
        </w:rPr>
        <w:t>3</w:t>
      </w:r>
      <w:r w:rsidR="009B7975">
        <w:rPr>
          <w:noProof/>
        </w:rPr>
        <w:fldChar w:fldCharType="end"/>
      </w:r>
      <w:r>
        <w:noBreakHyphen/>
      </w:r>
      <w:r w:rsidR="009B7975">
        <w:fldChar w:fldCharType="begin"/>
      </w:r>
      <w:r w:rsidR="009B7975">
        <w:instrText xml:space="preserve"> SEQ Figure \* ARABIC \s 1 </w:instrText>
      </w:r>
      <w:r w:rsidR="009B7975">
        <w:fldChar w:fldCharType="separate"/>
      </w:r>
      <w:r w:rsidR="003D22DB">
        <w:rPr>
          <w:noProof/>
        </w:rPr>
        <w:t>1</w:t>
      </w:r>
      <w:r w:rsidR="009B7975">
        <w:rPr>
          <w:noProof/>
        </w:rPr>
        <w:fldChar w:fldCharType="end"/>
      </w:r>
      <w:bookmarkEnd w:id="17"/>
      <w:r>
        <w:t xml:space="preserve">: </w:t>
      </w:r>
      <w:r w:rsidR="00DB6D75">
        <w:t>Illustrati</w:t>
      </w:r>
      <w:r w:rsidR="005B5C28">
        <w:t xml:space="preserve">on </w:t>
      </w:r>
      <w:r w:rsidR="00DB6D75">
        <w:t>of the methodological approach adopted</w:t>
      </w:r>
    </w:p>
    <w:p w14:paraId="76EC6646" w14:textId="77777777" w:rsidR="00DB6D75" w:rsidRPr="00DB6D75" w:rsidRDefault="00DB6D75" w:rsidP="00DB6D75">
      <w:r>
        <w:rPr>
          <w:noProof/>
          <w:lang w:eastAsia="en-GB"/>
        </w:rPr>
        <w:drawing>
          <wp:inline distT="0" distB="0" distL="0" distR="0" wp14:anchorId="76EC68DC" wp14:editId="2F48DB5C">
            <wp:extent cx="4539221" cy="1857375"/>
            <wp:effectExtent l="19050" t="19050" r="139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9221" cy="1857375"/>
                    </a:xfrm>
                    <a:prstGeom prst="rect">
                      <a:avLst/>
                    </a:prstGeom>
                    <a:noFill/>
                    <a:ln>
                      <a:solidFill>
                        <a:schemeClr val="tx1"/>
                      </a:solidFill>
                    </a:ln>
                  </pic:spPr>
                </pic:pic>
              </a:graphicData>
            </a:graphic>
          </wp:inline>
        </w:drawing>
      </w:r>
    </w:p>
    <w:p w14:paraId="6EE8EEE6" w14:textId="77777777" w:rsidR="00572883" w:rsidRDefault="00572883" w:rsidP="00572883">
      <w:r>
        <w:t>With the evidence analysed separately by type, the next step was to triangulate the evidence to begin to draw some conclusions. This process was done in the following two ways:</w:t>
      </w:r>
    </w:p>
    <w:p w14:paraId="7921F313" w14:textId="77777777" w:rsidR="00572883" w:rsidRDefault="00572883" w:rsidP="00572883">
      <w:pPr>
        <w:pStyle w:val="BulletOne"/>
      </w:pPr>
      <w:r>
        <w:t xml:space="preserve">The first was to draw the different sources of evidence together and to comment on what the evidence was inferring around the outcomes for a particular sub-theme and the </w:t>
      </w:r>
      <w:proofErr w:type="spellStart"/>
      <w:r>
        <w:t>additionality</w:t>
      </w:r>
      <w:proofErr w:type="spellEnd"/>
      <w:r>
        <w:t xml:space="preserve"> of the Games in driving those outcomes.</w:t>
      </w:r>
    </w:p>
    <w:p w14:paraId="267713F8" w14:textId="77777777" w:rsidR="00572883" w:rsidRDefault="00572883" w:rsidP="00572883">
      <w:pPr>
        <w:pStyle w:val="BulletOne"/>
      </w:pPr>
      <w:r>
        <w:t xml:space="preserve">The second approach was to draw the different sources of evidence together to begin to provide answers to the various research questions (see </w:t>
      </w:r>
      <w:r>
        <w:fldChar w:fldCharType="begin"/>
      </w:r>
      <w:r>
        <w:instrText xml:space="preserve"> REF _Ref335999781 \h </w:instrText>
      </w:r>
      <w:r>
        <w:fldChar w:fldCharType="separate"/>
      </w:r>
      <w:r w:rsidR="003D22DB">
        <w:t xml:space="preserve">Figure </w:t>
      </w:r>
      <w:r w:rsidR="003D22DB">
        <w:rPr>
          <w:noProof/>
        </w:rPr>
        <w:t>3</w:t>
      </w:r>
      <w:r w:rsidR="003D22DB">
        <w:noBreakHyphen/>
      </w:r>
      <w:r w:rsidR="003D22DB">
        <w:rPr>
          <w:noProof/>
        </w:rPr>
        <w:t>2</w:t>
      </w:r>
      <w:r>
        <w:fldChar w:fldCharType="end"/>
      </w:r>
      <w:r>
        <w:t xml:space="preserve">) established at the outset of the meta-evaluation. </w:t>
      </w:r>
    </w:p>
    <w:p w14:paraId="76EC6647" w14:textId="77777777" w:rsidR="00DB6D75" w:rsidRDefault="00DB6D75" w:rsidP="00DB6D75">
      <w:r>
        <w:t>Having followed this approach for each theme, the final stage was then to synthesise the findings across the themes and to draw some overall conclusions with regard to the pre-Games legacy of London 2012 through answering the cr</w:t>
      </w:r>
      <w:r w:rsidR="009735BF">
        <w:t>oss-cutting research questions</w:t>
      </w:r>
      <w:r>
        <w:t xml:space="preserve">. </w:t>
      </w:r>
    </w:p>
    <w:p w14:paraId="76EC6648" w14:textId="77777777" w:rsidR="00DB6D75" w:rsidRDefault="00DB6D75" w:rsidP="00DB6D75">
      <w:pPr>
        <w:pStyle w:val="Heading2"/>
      </w:pPr>
      <w:bookmarkStart w:id="18" w:name="_Toc332901260"/>
      <w:r>
        <w:lastRenderedPageBreak/>
        <w:t>Gathering the evidence</w:t>
      </w:r>
      <w:bookmarkEnd w:id="18"/>
    </w:p>
    <w:p w14:paraId="76EC6649" w14:textId="68094AC1" w:rsidR="00DB6D75" w:rsidRDefault="00DB6D75" w:rsidP="00CD5E12">
      <w:r>
        <w:t xml:space="preserve">The intention from the outset of this study was that it would draw primarily on evaluation evidence, although some resource was allocated to help fill gaps in the available </w:t>
      </w:r>
      <w:r w:rsidR="004C17E4">
        <w:t>evidence base</w:t>
      </w:r>
      <w:r>
        <w:t xml:space="preserve">. In practice, and as expected with a meta-evaluation of this scale, the approach to gathering the evidence has been </w:t>
      </w:r>
      <w:r w:rsidR="004C17E4">
        <w:t xml:space="preserve">complex, but can </w:t>
      </w:r>
      <w:r>
        <w:t>be broadly summarised as follows:</w:t>
      </w:r>
    </w:p>
    <w:p w14:paraId="76EC664A" w14:textId="77777777" w:rsidR="00DB6D75" w:rsidRPr="000A2096" w:rsidRDefault="00DB6D75" w:rsidP="00DB6D75">
      <w:pPr>
        <w:pStyle w:val="BulletOne"/>
      </w:pPr>
      <w:r w:rsidRPr="000A2096">
        <w:t>Output and Expenditure Data: Given potential gaps in the evidence base, the decision was taken that it would be prudent to also collect output and expenditure data for key legacy projects and programmes as this</w:t>
      </w:r>
      <w:r w:rsidR="00CB62ED" w:rsidRPr="000A2096">
        <w:t xml:space="preserve">, </w:t>
      </w:r>
      <w:r w:rsidRPr="000A2096">
        <w:t>in the absence of evidence of outcomes and impacts</w:t>
      </w:r>
      <w:r w:rsidR="00CB62ED" w:rsidRPr="000A2096">
        <w:t xml:space="preserve">, </w:t>
      </w:r>
      <w:r w:rsidRPr="000A2096">
        <w:t xml:space="preserve">would at the very least provide insight into both the scale and nature of legacy activities. </w:t>
      </w:r>
    </w:p>
    <w:p w14:paraId="76EC664B" w14:textId="77777777" w:rsidR="00DB6D75" w:rsidRPr="000A2096" w:rsidRDefault="00DB6D75" w:rsidP="00DB6D75">
      <w:pPr>
        <w:pStyle w:val="BulletOne"/>
      </w:pPr>
      <w:r w:rsidRPr="000A2096">
        <w:t>Evaluation and Research Evidence: This can broadly be broken down into two types of evidence:</w:t>
      </w:r>
    </w:p>
    <w:p w14:paraId="76EC664C" w14:textId="77777777" w:rsidR="00DB6D75" w:rsidRDefault="00DB6D75" w:rsidP="00DB6D75">
      <w:pPr>
        <w:pStyle w:val="BulletTwo"/>
      </w:pPr>
      <w:r w:rsidRPr="00E31CB6">
        <w:rPr>
          <w:i/>
        </w:rPr>
        <w:t>Evaluation Evidence:</w:t>
      </w:r>
      <w:r>
        <w:t xml:space="preserve"> Throughout the lifetime of th</w:t>
      </w:r>
      <w:r w:rsidR="00E31CB6">
        <w:t>e project, evaluations of 2012 l</w:t>
      </w:r>
      <w:r>
        <w:t>egacy activities have been tracked</w:t>
      </w:r>
      <w:r w:rsidR="00E31CB6">
        <w:t xml:space="preserve">, providing </w:t>
      </w:r>
      <w:r>
        <w:t>an understanding of what is likely to be available and when</w:t>
      </w:r>
      <w:r w:rsidR="00CB62ED">
        <w:t xml:space="preserve">; </w:t>
      </w:r>
    </w:p>
    <w:p w14:paraId="76EC664D" w14:textId="77777777" w:rsidR="00DB6D75" w:rsidRDefault="00DB6D75" w:rsidP="00DB6D75">
      <w:pPr>
        <w:pStyle w:val="BulletTwo"/>
      </w:pPr>
      <w:r w:rsidRPr="00E31CB6">
        <w:rPr>
          <w:i/>
        </w:rPr>
        <w:t>Primary Research:</w:t>
      </w:r>
      <w:r>
        <w:t xml:space="preserve"> In a further attempt to close gaps in the evidence base a range of primary research was undertaken according to priorities agreed with DCMS. This generally took three forms: </w:t>
      </w:r>
      <w:r w:rsidR="00CB2E5C">
        <w:t>research</w:t>
      </w:r>
      <w:r>
        <w:t xml:space="preserve"> undertaken directly by the meta-evaluation team; DCMS commissioned survey work; or an organisation was </w:t>
      </w:r>
      <w:r w:rsidR="00CB2E5C">
        <w:t>encouraged</w:t>
      </w:r>
      <w:r>
        <w:t xml:space="preserve"> to either </w:t>
      </w:r>
      <w:r w:rsidR="00CB62ED">
        <w:t xml:space="preserve">undertake the work </w:t>
      </w:r>
      <w:r>
        <w:t xml:space="preserve">or to adapt their existing work to assist in filling the gap. </w:t>
      </w:r>
    </w:p>
    <w:p w14:paraId="76EC664E" w14:textId="77777777" w:rsidR="00C47C6B" w:rsidRDefault="00C47C6B" w:rsidP="00C47C6B">
      <w:pPr>
        <w:pStyle w:val="Heading2"/>
      </w:pPr>
      <w:bookmarkStart w:id="19" w:name="_Toc332901261"/>
      <w:r>
        <w:t>The research questions</w:t>
      </w:r>
      <w:bookmarkEnd w:id="19"/>
      <w:r>
        <w:t xml:space="preserve"> </w:t>
      </w:r>
    </w:p>
    <w:p w14:paraId="76EC664F" w14:textId="7ABEFD03" w:rsidR="00C47C6B" w:rsidRDefault="00840DDB" w:rsidP="00C47C6B">
      <w:r>
        <w:t>For each legacy th</w:t>
      </w:r>
      <w:r w:rsidR="00E31CB6">
        <w:t>eme there are a number of theme-specific</w:t>
      </w:r>
      <w:r>
        <w:t xml:space="preserve"> research questions which</w:t>
      </w:r>
      <w:r w:rsidR="00E31CB6">
        <w:t>,</w:t>
      </w:r>
      <w:r>
        <w:t xml:space="preserve"> as noted</w:t>
      </w:r>
      <w:r w:rsidR="00C241FA">
        <w:t xml:space="preserve">, </w:t>
      </w:r>
      <w:r>
        <w:t>have guided our analysis.</w:t>
      </w:r>
      <w:r w:rsidR="00E31CB6">
        <w:t xml:space="preserve"> </w:t>
      </w:r>
      <w:r>
        <w:t xml:space="preserve">These questions all sit below the </w:t>
      </w:r>
      <w:r w:rsidR="00C47C6B">
        <w:t>headline research questions (</w:t>
      </w:r>
      <w:r w:rsidR="00AE73D0">
        <w:t xml:space="preserve">see Figure </w:t>
      </w:r>
      <w:r w:rsidR="00F13775">
        <w:t>3</w:t>
      </w:r>
      <w:r w:rsidR="00AE73D0">
        <w:t>-2)</w:t>
      </w:r>
      <w:r w:rsidR="00C47C6B">
        <w:t xml:space="preserve"> </w:t>
      </w:r>
      <w:r>
        <w:t xml:space="preserve">which </w:t>
      </w:r>
      <w:r w:rsidR="00C47C6B" w:rsidRPr="00F12F9B">
        <w:t xml:space="preserve">are considered to be of most interest </w:t>
      </w:r>
      <w:r w:rsidR="00C47C6B">
        <w:t>to Government, business and the p</w:t>
      </w:r>
      <w:r w:rsidR="00E31CB6">
        <w:t xml:space="preserve">ublic </w:t>
      </w:r>
      <w:r w:rsidR="00C47C6B">
        <w:t xml:space="preserve">at large and </w:t>
      </w:r>
      <w:r w:rsidR="00E31CB6">
        <w:t xml:space="preserve">which </w:t>
      </w:r>
      <w:r w:rsidR="00C47C6B" w:rsidRPr="00F12F9B">
        <w:t xml:space="preserve">guide </w:t>
      </w:r>
      <w:r w:rsidR="00C47C6B">
        <w:t xml:space="preserve">our </w:t>
      </w:r>
      <w:r w:rsidR="004C17E4">
        <w:t xml:space="preserve">strategic </w:t>
      </w:r>
      <w:r w:rsidR="00C47C6B">
        <w:t xml:space="preserve">approach to the meta-evaluation. </w:t>
      </w:r>
    </w:p>
    <w:p w14:paraId="76EC6650" w14:textId="77777777" w:rsidR="00C47C6B" w:rsidRDefault="00C47C6B" w:rsidP="00C47C6B">
      <w:r>
        <w:t xml:space="preserve">The headline research </w:t>
      </w:r>
      <w:r w:rsidRPr="005C48A0">
        <w:t xml:space="preserve">questions that can be answered within the timeframe of this study are labelled </w:t>
      </w:r>
      <w:r>
        <w:t xml:space="preserve">as </w:t>
      </w:r>
      <w:r w:rsidRPr="005C48A0">
        <w:t xml:space="preserve">'to 2013' whilst those which require a longer term perspective are labelled </w:t>
      </w:r>
      <w:r>
        <w:t xml:space="preserve">as </w:t>
      </w:r>
      <w:r w:rsidRPr="005C48A0">
        <w:t>'post 2013</w:t>
      </w:r>
      <w:r>
        <w:t>'</w:t>
      </w:r>
      <w:r w:rsidRPr="005C48A0">
        <w:t>.</w:t>
      </w:r>
      <w:r>
        <w:t xml:space="preserve"> The </w:t>
      </w:r>
      <w:r w:rsidRPr="005C48A0">
        <w:t xml:space="preserve">spatial </w:t>
      </w:r>
      <w:r>
        <w:t>scope of each question is defined in terms of the geographical levels of the host boroughs and the wider nations and regions of the UK.</w:t>
      </w:r>
    </w:p>
    <w:p w14:paraId="76EC6652" w14:textId="77777777" w:rsidR="00C47C6B" w:rsidRDefault="00C47C6B" w:rsidP="00C47C6B"/>
    <w:p w14:paraId="76EC6653" w14:textId="77777777" w:rsidR="00C47C6B" w:rsidRDefault="00F13775" w:rsidP="00C47C6B">
      <w:pPr>
        <w:pStyle w:val="Caption"/>
      </w:pPr>
      <w:bookmarkStart w:id="20" w:name="_Ref335999781"/>
      <w:r>
        <w:lastRenderedPageBreak/>
        <w:t xml:space="preserve">Figure </w:t>
      </w:r>
      <w:r w:rsidR="009B7975">
        <w:fldChar w:fldCharType="begin"/>
      </w:r>
      <w:r w:rsidR="009B7975">
        <w:instrText xml:space="preserve"> STYLEREF 1 \s </w:instrText>
      </w:r>
      <w:r w:rsidR="009B7975">
        <w:fldChar w:fldCharType="separate"/>
      </w:r>
      <w:r w:rsidR="003D22DB">
        <w:rPr>
          <w:noProof/>
        </w:rPr>
        <w:t>3</w:t>
      </w:r>
      <w:r w:rsidR="009B7975">
        <w:rPr>
          <w:noProof/>
        </w:rPr>
        <w:fldChar w:fldCharType="end"/>
      </w:r>
      <w:r>
        <w:noBreakHyphen/>
      </w:r>
      <w:r w:rsidR="009B7975">
        <w:fldChar w:fldCharType="begin"/>
      </w:r>
      <w:r w:rsidR="009B7975">
        <w:instrText xml:space="preserve"> SEQ Figure \* ARABIC \s 1 </w:instrText>
      </w:r>
      <w:r w:rsidR="009B7975">
        <w:fldChar w:fldCharType="separate"/>
      </w:r>
      <w:r w:rsidR="003D22DB">
        <w:rPr>
          <w:noProof/>
        </w:rPr>
        <w:t>2</w:t>
      </w:r>
      <w:r w:rsidR="009B7975">
        <w:rPr>
          <w:noProof/>
        </w:rPr>
        <w:fldChar w:fldCharType="end"/>
      </w:r>
      <w:bookmarkEnd w:id="20"/>
      <w:r>
        <w:t>:</w:t>
      </w:r>
      <w:r w:rsidR="00C47C6B">
        <w:t xml:space="preserve"> Headline research questions </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2044"/>
        <w:gridCol w:w="1623"/>
      </w:tblGrid>
      <w:tr w:rsidR="00C47C6B" w:rsidRPr="00236C71" w14:paraId="76EC6659" w14:textId="77777777" w:rsidTr="00AE73D0">
        <w:tc>
          <w:tcPr>
            <w:tcW w:w="4959" w:type="dxa"/>
            <w:shd w:val="clear" w:color="auto" w:fill="F2F2F2" w:themeFill="background1" w:themeFillShade="F2"/>
            <w:tcMar>
              <w:left w:w="57" w:type="dxa"/>
              <w:right w:w="28" w:type="dxa"/>
            </w:tcMar>
          </w:tcPr>
          <w:p w14:paraId="76EC6654" w14:textId="77777777" w:rsidR="00C47C6B" w:rsidRPr="00F44699" w:rsidRDefault="00C47C6B" w:rsidP="00A6450A">
            <w:pPr>
              <w:keepNext/>
              <w:spacing w:before="0" w:after="0"/>
              <w:rPr>
                <w:b/>
                <w:szCs w:val="22"/>
              </w:rPr>
            </w:pPr>
            <w:r w:rsidRPr="00F44699">
              <w:rPr>
                <w:b/>
                <w:szCs w:val="22"/>
              </w:rPr>
              <w:t xml:space="preserve">Question </w:t>
            </w:r>
          </w:p>
        </w:tc>
        <w:tc>
          <w:tcPr>
            <w:tcW w:w="2044" w:type="dxa"/>
            <w:shd w:val="clear" w:color="auto" w:fill="F2F2F2" w:themeFill="background1" w:themeFillShade="F2"/>
            <w:tcMar>
              <w:left w:w="57" w:type="dxa"/>
              <w:right w:w="85" w:type="dxa"/>
            </w:tcMar>
          </w:tcPr>
          <w:p w14:paraId="76EC6655" w14:textId="77777777" w:rsidR="00C47C6B" w:rsidRPr="00F44699" w:rsidRDefault="00C47C6B" w:rsidP="00A6450A">
            <w:pPr>
              <w:keepNext/>
              <w:spacing w:before="0" w:after="0"/>
              <w:rPr>
                <w:b/>
                <w:szCs w:val="22"/>
              </w:rPr>
            </w:pPr>
            <w:r w:rsidRPr="00F44699">
              <w:rPr>
                <w:b/>
                <w:szCs w:val="22"/>
              </w:rPr>
              <w:t xml:space="preserve">Spatial </w:t>
            </w:r>
          </w:p>
          <w:p w14:paraId="76EC6656" w14:textId="77777777" w:rsidR="00C47C6B" w:rsidRPr="00F44699" w:rsidRDefault="00C47C6B" w:rsidP="00A6450A">
            <w:pPr>
              <w:keepNext/>
              <w:spacing w:before="0" w:after="0"/>
              <w:rPr>
                <w:b/>
                <w:szCs w:val="22"/>
              </w:rPr>
            </w:pPr>
            <w:r w:rsidRPr="00F44699">
              <w:rPr>
                <w:b/>
                <w:szCs w:val="22"/>
              </w:rPr>
              <w:t xml:space="preserve">Scope </w:t>
            </w:r>
          </w:p>
        </w:tc>
        <w:tc>
          <w:tcPr>
            <w:tcW w:w="1623" w:type="dxa"/>
            <w:shd w:val="clear" w:color="auto" w:fill="F2F2F2" w:themeFill="background1" w:themeFillShade="F2"/>
            <w:tcMar>
              <w:left w:w="57" w:type="dxa"/>
              <w:right w:w="28" w:type="dxa"/>
            </w:tcMar>
          </w:tcPr>
          <w:p w14:paraId="76EC6657" w14:textId="77777777" w:rsidR="00C47C6B" w:rsidRPr="00F44699" w:rsidRDefault="00C47C6B" w:rsidP="00A6450A">
            <w:pPr>
              <w:keepNext/>
              <w:spacing w:before="0" w:after="0"/>
              <w:rPr>
                <w:b/>
                <w:szCs w:val="22"/>
              </w:rPr>
            </w:pPr>
            <w:r w:rsidRPr="00F44699">
              <w:rPr>
                <w:b/>
                <w:szCs w:val="22"/>
              </w:rPr>
              <w:t xml:space="preserve">Temporal </w:t>
            </w:r>
          </w:p>
          <w:p w14:paraId="76EC6658" w14:textId="77777777" w:rsidR="00C47C6B" w:rsidRPr="00F44699" w:rsidRDefault="00C47C6B" w:rsidP="00A6450A">
            <w:pPr>
              <w:keepNext/>
              <w:spacing w:before="0" w:after="0"/>
              <w:rPr>
                <w:b/>
                <w:szCs w:val="22"/>
              </w:rPr>
            </w:pPr>
            <w:r w:rsidRPr="00F44699">
              <w:rPr>
                <w:b/>
                <w:szCs w:val="22"/>
              </w:rPr>
              <w:t xml:space="preserve">Scope </w:t>
            </w:r>
          </w:p>
        </w:tc>
      </w:tr>
      <w:tr w:rsidR="00C47C6B" w:rsidRPr="00236C71" w14:paraId="76EC665D" w14:textId="77777777" w:rsidTr="00A6450A">
        <w:tc>
          <w:tcPr>
            <w:tcW w:w="4959" w:type="dxa"/>
            <w:tcMar>
              <w:left w:w="57" w:type="dxa"/>
              <w:right w:w="28" w:type="dxa"/>
            </w:tcMar>
          </w:tcPr>
          <w:p w14:paraId="76EC665A" w14:textId="77777777" w:rsidR="00C47C6B" w:rsidRPr="00236C71" w:rsidRDefault="00C47C6B" w:rsidP="00A6450A">
            <w:pPr>
              <w:pStyle w:val="CommentSubject"/>
              <w:keepNext/>
              <w:spacing w:before="0" w:after="120"/>
            </w:pPr>
            <w:r w:rsidRPr="00236C71">
              <w:t xml:space="preserve">Summary questions </w:t>
            </w:r>
            <w:r>
              <w:t>f</w:t>
            </w:r>
            <w:r w:rsidRPr="00236C71">
              <w:t>o</w:t>
            </w:r>
            <w:r>
              <w:t>r</w:t>
            </w:r>
            <w:r w:rsidRPr="00236C71">
              <w:t xml:space="preserve"> each legacy theme </w:t>
            </w:r>
          </w:p>
        </w:tc>
        <w:tc>
          <w:tcPr>
            <w:tcW w:w="2044" w:type="dxa"/>
            <w:tcMar>
              <w:left w:w="57" w:type="dxa"/>
              <w:right w:w="85" w:type="dxa"/>
            </w:tcMar>
          </w:tcPr>
          <w:p w14:paraId="76EC665B" w14:textId="77777777" w:rsidR="00C47C6B" w:rsidRPr="00236C71" w:rsidRDefault="00C47C6B" w:rsidP="00A6450A">
            <w:pPr>
              <w:keepNext/>
              <w:spacing w:before="0" w:after="0"/>
              <w:rPr>
                <w:sz w:val="20"/>
                <w:szCs w:val="20"/>
              </w:rPr>
            </w:pPr>
          </w:p>
        </w:tc>
        <w:tc>
          <w:tcPr>
            <w:tcW w:w="1623" w:type="dxa"/>
            <w:tcMar>
              <w:left w:w="57" w:type="dxa"/>
              <w:right w:w="28" w:type="dxa"/>
            </w:tcMar>
          </w:tcPr>
          <w:p w14:paraId="76EC665C" w14:textId="77777777" w:rsidR="00C47C6B" w:rsidRPr="00236C71" w:rsidRDefault="00C47C6B" w:rsidP="00A6450A">
            <w:pPr>
              <w:keepNext/>
              <w:spacing w:before="0" w:after="0"/>
              <w:rPr>
                <w:sz w:val="20"/>
                <w:szCs w:val="20"/>
              </w:rPr>
            </w:pPr>
          </w:p>
        </w:tc>
      </w:tr>
      <w:tr w:rsidR="00C47C6B" w:rsidRPr="00236C71" w14:paraId="76EC6669" w14:textId="77777777" w:rsidTr="006230BE">
        <w:tc>
          <w:tcPr>
            <w:tcW w:w="4959" w:type="dxa"/>
            <w:tcMar>
              <w:left w:w="57" w:type="dxa"/>
              <w:right w:w="28" w:type="dxa"/>
            </w:tcMar>
          </w:tcPr>
          <w:p w14:paraId="76EC665E" w14:textId="77777777" w:rsidR="00C47C6B" w:rsidRDefault="00C47C6B" w:rsidP="00A6450A">
            <w:pPr>
              <w:keepNext/>
              <w:spacing w:before="0" w:after="0"/>
              <w:rPr>
                <w:sz w:val="20"/>
                <w:szCs w:val="20"/>
              </w:rPr>
            </w:pPr>
            <w:r>
              <w:rPr>
                <w:sz w:val="20"/>
                <w:szCs w:val="20"/>
              </w:rPr>
              <w:t xml:space="preserve">1. </w:t>
            </w:r>
            <w:r w:rsidRPr="00BD6594">
              <w:rPr>
                <w:sz w:val="20"/>
                <w:szCs w:val="20"/>
              </w:rPr>
              <w:t xml:space="preserve">What </w:t>
            </w:r>
            <w:r>
              <w:rPr>
                <w:sz w:val="20"/>
                <w:szCs w:val="20"/>
              </w:rPr>
              <w:t xml:space="preserve">have been the </w:t>
            </w:r>
            <w:r w:rsidRPr="00BD6594">
              <w:rPr>
                <w:sz w:val="20"/>
                <w:szCs w:val="20"/>
              </w:rPr>
              <w:t xml:space="preserve">impacts </w:t>
            </w:r>
            <w:r>
              <w:rPr>
                <w:sz w:val="20"/>
                <w:szCs w:val="20"/>
              </w:rPr>
              <w:t xml:space="preserve">of </w:t>
            </w:r>
            <w:r w:rsidRPr="00BD6594">
              <w:rPr>
                <w:sz w:val="20"/>
                <w:szCs w:val="20"/>
              </w:rPr>
              <w:t>the Games</w:t>
            </w:r>
            <w:r>
              <w:rPr>
                <w:rStyle w:val="FootnoteReference"/>
                <w:sz w:val="20"/>
                <w:szCs w:val="20"/>
              </w:rPr>
              <w:footnoteReference w:id="2"/>
            </w:r>
            <w:r>
              <w:rPr>
                <w:sz w:val="20"/>
                <w:szCs w:val="20"/>
              </w:rPr>
              <w:t xml:space="preserve"> </w:t>
            </w:r>
            <w:r w:rsidRPr="00BD6594">
              <w:rPr>
                <w:sz w:val="20"/>
                <w:szCs w:val="20"/>
              </w:rPr>
              <w:t xml:space="preserve">on sport and physical activity and in particular the development of mass participation, competitive school and elite sport? </w:t>
            </w:r>
          </w:p>
        </w:tc>
        <w:tc>
          <w:tcPr>
            <w:tcW w:w="2044" w:type="dxa"/>
            <w:vMerge w:val="restart"/>
            <w:tcMar>
              <w:left w:w="57" w:type="dxa"/>
              <w:right w:w="85" w:type="dxa"/>
            </w:tcMar>
            <w:vAlign w:val="center"/>
          </w:tcPr>
          <w:p w14:paraId="76EC6662" w14:textId="77777777" w:rsidR="00C47C6B" w:rsidRPr="00236C71" w:rsidRDefault="00C47C6B" w:rsidP="00617293">
            <w:pPr>
              <w:keepNext/>
              <w:spacing w:before="0" w:after="0"/>
              <w:rPr>
                <w:sz w:val="20"/>
                <w:szCs w:val="20"/>
              </w:rPr>
            </w:pPr>
            <w:r>
              <w:rPr>
                <w:sz w:val="20"/>
                <w:szCs w:val="20"/>
              </w:rPr>
              <w:t>Nations, regions and host boroughs</w:t>
            </w:r>
          </w:p>
        </w:tc>
        <w:tc>
          <w:tcPr>
            <w:tcW w:w="1623" w:type="dxa"/>
            <w:vMerge w:val="restart"/>
            <w:tcMar>
              <w:left w:w="57" w:type="dxa"/>
              <w:right w:w="28" w:type="dxa"/>
            </w:tcMar>
            <w:vAlign w:val="center"/>
          </w:tcPr>
          <w:p w14:paraId="76EC6666" w14:textId="77777777" w:rsidR="00C47C6B" w:rsidRPr="009823E9" w:rsidRDefault="00C47C6B" w:rsidP="00617293">
            <w:pPr>
              <w:keepNext/>
              <w:spacing w:before="0" w:after="0"/>
              <w:rPr>
                <w:sz w:val="20"/>
                <w:szCs w:val="20"/>
              </w:rPr>
            </w:pPr>
            <w:r w:rsidRPr="009823E9">
              <w:rPr>
                <w:sz w:val="20"/>
                <w:szCs w:val="20"/>
              </w:rPr>
              <w:t xml:space="preserve">To 2013 and </w:t>
            </w:r>
          </w:p>
          <w:p w14:paraId="76EC6668" w14:textId="5C218448" w:rsidR="00C47C6B" w:rsidRPr="00236C71" w:rsidRDefault="00C47C6B" w:rsidP="006230BE">
            <w:pPr>
              <w:keepNext/>
              <w:spacing w:before="0" w:after="0"/>
              <w:rPr>
                <w:sz w:val="20"/>
                <w:szCs w:val="20"/>
              </w:rPr>
            </w:pPr>
            <w:r w:rsidRPr="009823E9">
              <w:rPr>
                <w:sz w:val="20"/>
                <w:szCs w:val="20"/>
              </w:rPr>
              <w:t>Post 2013</w:t>
            </w:r>
          </w:p>
        </w:tc>
      </w:tr>
      <w:tr w:rsidR="00C47C6B" w:rsidRPr="00236C71" w14:paraId="76EC666D" w14:textId="77777777" w:rsidTr="00A6450A">
        <w:tc>
          <w:tcPr>
            <w:tcW w:w="4959" w:type="dxa"/>
            <w:tcMar>
              <w:left w:w="57" w:type="dxa"/>
              <w:right w:w="28" w:type="dxa"/>
            </w:tcMar>
          </w:tcPr>
          <w:p w14:paraId="76EC666A" w14:textId="77777777" w:rsidR="00C47C6B" w:rsidRDefault="00C47C6B" w:rsidP="00A6450A">
            <w:pPr>
              <w:keepNext/>
              <w:spacing w:before="0" w:after="0"/>
              <w:rPr>
                <w:sz w:val="20"/>
                <w:szCs w:val="20"/>
              </w:rPr>
            </w:pPr>
            <w:r>
              <w:rPr>
                <w:sz w:val="20"/>
                <w:szCs w:val="20"/>
              </w:rPr>
              <w:t>2. What have been the economic impacts of the Games, particularly in terms of employment and gross value added (GVA)?</w:t>
            </w:r>
          </w:p>
        </w:tc>
        <w:tc>
          <w:tcPr>
            <w:tcW w:w="2044" w:type="dxa"/>
            <w:vMerge/>
            <w:tcMar>
              <w:left w:w="57" w:type="dxa"/>
              <w:right w:w="85" w:type="dxa"/>
            </w:tcMar>
          </w:tcPr>
          <w:p w14:paraId="76EC666B" w14:textId="77777777" w:rsidR="00C47C6B" w:rsidRPr="00236C71" w:rsidRDefault="00C47C6B" w:rsidP="00A6450A">
            <w:pPr>
              <w:rPr>
                <w:sz w:val="20"/>
                <w:szCs w:val="20"/>
              </w:rPr>
            </w:pPr>
          </w:p>
        </w:tc>
        <w:tc>
          <w:tcPr>
            <w:tcW w:w="1623" w:type="dxa"/>
            <w:vMerge/>
            <w:tcMar>
              <w:left w:w="57" w:type="dxa"/>
              <w:right w:w="28" w:type="dxa"/>
            </w:tcMar>
          </w:tcPr>
          <w:p w14:paraId="76EC666C" w14:textId="77777777" w:rsidR="00C47C6B" w:rsidRPr="00236C71" w:rsidRDefault="00C47C6B" w:rsidP="00A6450A">
            <w:pPr>
              <w:keepNext/>
              <w:rPr>
                <w:sz w:val="20"/>
                <w:szCs w:val="20"/>
              </w:rPr>
            </w:pPr>
          </w:p>
        </w:tc>
      </w:tr>
      <w:tr w:rsidR="00C47C6B" w:rsidRPr="00236C71" w14:paraId="76EC6671" w14:textId="77777777" w:rsidTr="00A6450A">
        <w:tc>
          <w:tcPr>
            <w:tcW w:w="4959" w:type="dxa"/>
            <w:tcMar>
              <w:left w:w="57" w:type="dxa"/>
              <w:right w:w="28" w:type="dxa"/>
            </w:tcMar>
          </w:tcPr>
          <w:p w14:paraId="76EC666E" w14:textId="77777777" w:rsidR="00C47C6B" w:rsidRDefault="00C47C6B" w:rsidP="00A6450A">
            <w:pPr>
              <w:keepNext/>
              <w:spacing w:before="0" w:after="0"/>
              <w:rPr>
                <w:sz w:val="20"/>
                <w:szCs w:val="20"/>
              </w:rPr>
            </w:pPr>
            <w:r>
              <w:rPr>
                <w:sz w:val="20"/>
                <w:szCs w:val="20"/>
              </w:rPr>
              <w:t xml:space="preserve">3. </w:t>
            </w:r>
            <w:r w:rsidRPr="00BD6594">
              <w:rPr>
                <w:sz w:val="20"/>
                <w:szCs w:val="20"/>
              </w:rPr>
              <w:t>What have been the social impacts</w:t>
            </w:r>
            <w:r>
              <w:rPr>
                <w:sz w:val="20"/>
                <w:szCs w:val="20"/>
              </w:rPr>
              <w:t xml:space="preserve"> of the Games</w:t>
            </w:r>
            <w:r w:rsidRPr="00BD6594">
              <w:rPr>
                <w:sz w:val="20"/>
                <w:szCs w:val="20"/>
              </w:rPr>
              <w:t>, particularly in terms of volunteering</w:t>
            </w:r>
            <w:r>
              <w:rPr>
                <w:sz w:val="20"/>
                <w:szCs w:val="20"/>
              </w:rPr>
              <w:t>, the cultural sector</w:t>
            </w:r>
            <w:r w:rsidRPr="00BD6594">
              <w:rPr>
                <w:sz w:val="20"/>
                <w:szCs w:val="20"/>
              </w:rPr>
              <w:t xml:space="preserve"> and community engagement?</w:t>
            </w:r>
          </w:p>
        </w:tc>
        <w:tc>
          <w:tcPr>
            <w:tcW w:w="2044" w:type="dxa"/>
            <w:vMerge/>
            <w:tcMar>
              <w:left w:w="57" w:type="dxa"/>
              <w:right w:w="85" w:type="dxa"/>
            </w:tcMar>
          </w:tcPr>
          <w:p w14:paraId="76EC666F" w14:textId="77777777" w:rsidR="00C47C6B" w:rsidRPr="00236C71" w:rsidRDefault="00C47C6B" w:rsidP="00A6450A">
            <w:pPr>
              <w:rPr>
                <w:sz w:val="20"/>
                <w:szCs w:val="20"/>
              </w:rPr>
            </w:pPr>
          </w:p>
        </w:tc>
        <w:tc>
          <w:tcPr>
            <w:tcW w:w="1623" w:type="dxa"/>
            <w:vMerge/>
            <w:tcMar>
              <w:left w:w="57" w:type="dxa"/>
              <w:right w:w="28" w:type="dxa"/>
            </w:tcMar>
          </w:tcPr>
          <w:p w14:paraId="76EC6670" w14:textId="77777777" w:rsidR="00C47C6B" w:rsidRPr="00236C71" w:rsidRDefault="00C47C6B" w:rsidP="00A6450A">
            <w:pPr>
              <w:keepNext/>
              <w:rPr>
                <w:sz w:val="20"/>
                <w:szCs w:val="20"/>
              </w:rPr>
            </w:pPr>
          </w:p>
        </w:tc>
      </w:tr>
      <w:tr w:rsidR="00C47C6B" w:rsidRPr="00236C71" w14:paraId="76EC6676" w14:textId="77777777" w:rsidTr="00A6450A">
        <w:tc>
          <w:tcPr>
            <w:tcW w:w="4959" w:type="dxa"/>
            <w:tcMar>
              <w:left w:w="57" w:type="dxa"/>
              <w:right w:w="28" w:type="dxa"/>
            </w:tcMar>
          </w:tcPr>
          <w:p w14:paraId="76EC6672" w14:textId="77777777" w:rsidR="00C47C6B" w:rsidRPr="00A60E2F" w:rsidRDefault="00C47C6B" w:rsidP="00A6450A">
            <w:pPr>
              <w:pStyle w:val="CommentSubject"/>
              <w:keepNext/>
              <w:spacing w:before="0" w:after="0"/>
              <w:rPr>
                <w:b w:val="0"/>
              </w:rPr>
            </w:pPr>
            <w:r w:rsidRPr="00A60E2F">
              <w:rPr>
                <w:b w:val="0"/>
              </w:rPr>
              <w:t xml:space="preserve">4. What have been the impacts of the Games on East London, and in particular socio-economic and organisational change? </w:t>
            </w:r>
          </w:p>
        </w:tc>
        <w:tc>
          <w:tcPr>
            <w:tcW w:w="2044" w:type="dxa"/>
            <w:tcMar>
              <w:left w:w="57" w:type="dxa"/>
              <w:right w:w="85" w:type="dxa"/>
            </w:tcMar>
          </w:tcPr>
          <w:p w14:paraId="76EC6673" w14:textId="77777777" w:rsidR="00C47C6B" w:rsidRPr="00236C71" w:rsidRDefault="00C47C6B" w:rsidP="00A6450A">
            <w:pPr>
              <w:keepNext/>
              <w:spacing w:before="0" w:after="0"/>
              <w:rPr>
                <w:sz w:val="20"/>
                <w:szCs w:val="20"/>
              </w:rPr>
            </w:pPr>
            <w:r>
              <w:rPr>
                <w:sz w:val="20"/>
                <w:szCs w:val="20"/>
              </w:rPr>
              <w:t>Host boroughs</w:t>
            </w:r>
          </w:p>
        </w:tc>
        <w:tc>
          <w:tcPr>
            <w:tcW w:w="1623" w:type="dxa"/>
            <w:tcMar>
              <w:left w:w="57" w:type="dxa"/>
              <w:right w:w="28" w:type="dxa"/>
            </w:tcMar>
          </w:tcPr>
          <w:p w14:paraId="76EC6674" w14:textId="77777777" w:rsidR="00C47C6B" w:rsidRPr="00236C71" w:rsidRDefault="00C47C6B" w:rsidP="00A6450A">
            <w:pPr>
              <w:keepNext/>
              <w:spacing w:before="0" w:after="0"/>
              <w:rPr>
                <w:sz w:val="20"/>
                <w:szCs w:val="20"/>
              </w:rPr>
            </w:pPr>
            <w:r w:rsidRPr="00236C71">
              <w:rPr>
                <w:sz w:val="20"/>
                <w:szCs w:val="20"/>
              </w:rPr>
              <w:t>To 2013</w:t>
            </w:r>
          </w:p>
          <w:p w14:paraId="76EC6675" w14:textId="77777777" w:rsidR="00C47C6B" w:rsidRPr="00236C71" w:rsidRDefault="00C47C6B" w:rsidP="00A6450A">
            <w:pPr>
              <w:keepNext/>
              <w:spacing w:before="0" w:after="0"/>
              <w:rPr>
                <w:sz w:val="20"/>
                <w:szCs w:val="20"/>
              </w:rPr>
            </w:pPr>
          </w:p>
        </w:tc>
      </w:tr>
      <w:tr w:rsidR="00C47C6B" w:rsidRPr="00236C71" w14:paraId="76EC667A" w14:textId="77777777" w:rsidTr="00A6450A">
        <w:tc>
          <w:tcPr>
            <w:tcW w:w="4959" w:type="dxa"/>
            <w:tcMar>
              <w:left w:w="57" w:type="dxa"/>
              <w:right w:w="28" w:type="dxa"/>
            </w:tcMar>
          </w:tcPr>
          <w:p w14:paraId="76EC6677" w14:textId="77777777" w:rsidR="00C47C6B" w:rsidRPr="003A2AC6" w:rsidRDefault="00C47C6B" w:rsidP="00A6450A">
            <w:pPr>
              <w:pStyle w:val="CommentSubject"/>
              <w:keepNext/>
              <w:spacing w:before="0" w:after="120"/>
            </w:pPr>
            <w:r w:rsidRPr="00236C71">
              <w:t xml:space="preserve">Cross-cutting questions </w:t>
            </w:r>
          </w:p>
        </w:tc>
        <w:tc>
          <w:tcPr>
            <w:tcW w:w="2044" w:type="dxa"/>
            <w:tcMar>
              <w:left w:w="57" w:type="dxa"/>
              <w:right w:w="85" w:type="dxa"/>
            </w:tcMar>
          </w:tcPr>
          <w:p w14:paraId="76EC6678" w14:textId="77777777" w:rsidR="00C47C6B" w:rsidRPr="00236C71" w:rsidRDefault="00C47C6B" w:rsidP="00A6450A">
            <w:pPr>
              <w:keepNext/>
              <w:spacing w:before="0" w:after="0"/>
              <w:rPr>
                <w:sz w:val="20"/>
                <w:szCs w:val="20"/>
              </w:rPr>
            </w:pPr>
          </w:p>
        </w:tc>
        <w:tc>
          <w:tcPr>
            <w:tcW w:w="1623" w:type="dxa"/>
            <w:tcMar>
              <w:left w:w="57" w:type="dxa"/>
              <w:right w:w="28" w:type="dxa"/>
            </w:tcMar>
          </w:tcPr>
          <w:p w14:paraId="76EC6679" w14:textId="77777777" w:rsidR="00C47C6B" w:rsidRPr="00236C71" w:rsidRDefault="00C47C6B" w:rsidP="00A6450A">
            <w:pPr>
              <w:keepNext/>
              <w:spacing w:before="0" w:after="0"/>
              <w:rPr>
                <w:sz w:val="20"/>
                <w:szCs w:val="20"/>
              </w:rPr>
            </w:pPr>
          </w:p>
        </w:tc>
      </w:tr>
      <w:tr w:rsidR="00C47C6B" w:rsidRPr="00236C71" w14:paraId="76EC667E" w14:textId="77777777" w:rsidTr="00A6450A">
        <w:tc>
          <w:tcPr>
            <w:tcW w:w="4959" w:type="dxa"/>
            <w:tcMar>
              <w:left w:w="57" w:type="dxa"/>
              <w:right w:w="28" w:type="dxa"/>
            </w:tcMar>
          </w:tcPr>
          <w:p w14:paraId="76EC667B" w14:textId="77777777" w:rsidR="00C47C6B" w:rsidRDefault="00C47C6B" w:rsidP="00A6450A">
            <w:pPr>
              <w:keepNext/>
              <w:spacing w:before="0" w:after="0"/>
              <w:rPr>
                <w:sz w:val="20"/>
                <w:szCs w:val="20"/>
              </w:rPr>
            </w:pPr>
            <w:r>
              <w:rPr>
                <w:sz w:val="20"/>
                <w:szCs w:val="20"/>
              </w:rPr>
              <w:t xml:space="preserve">5. How far have the beneficial impacts so far accrued to their intended target groups/communities (including across measures of </w:t>
            </w:r>
            <w:r w:rsidRPr="00ED26D2">
              <w:rPr>
                <w:sz w:val="20"/>
                <w:szCs w:val="20"/>
              </w:rPr>
              <w:t>equality, inclusion and diversity</w:t>
            </w:r>
            <w:r>
              <w:rPr>
                <w:sz w:val="20"/>
                <w:szCs w:val="20"/>
              </w:rPr>
              <w:t>)?</w:t>
            </w:r>
          </w:p>
        </w:tc>
        <w:tc>
          <w:tcPr>
            <w:tcW w:w="2044" w:type="dxa"/>
            <w:tcMar>
              <w:left w:w="57" w:type="dxa"/>
              <w:right w:w="85" w:type="dxa"/>
            </w:tcMar>
          </w:tcPr>
          <w:p w14:paraId="76EC667C" w14:textId="77777777" w:rsidR="00C47C6B" w:rsidRPr="00236C71" w:rsidRDefault="00C47C6B" w:rsidP="00A6450A">
            <w:pPr>
              <w:keepNext/>
              <w:spacing w:before="0" w:after="0"/>
              <w:rPr>
                <w:sz w:val="20"/>
                <w:szCs w:val="20"/>
              </w:rPr>
            </w:pPr>
            <w:r w:rsidRPr="00236C71">
              <w:rPr>
                <w:sz w:val="20"/>
                <w:szCs w:val="20"/>
              </w:rPr>
              <w:t>As defined by legacy theme</w:t>
            </w:r>
          </w:p>
        </w:tc>
        <w:tc>
          <w:tcPr>
            <w:tcW w:w="1623" w:type="dxa"/>
            <w:tcMar>
              <w:left w:w="57" w:type="dxa"/>
              <w:right w:w="28" w:type="dxa"/>
            </w:tcMar>
          </w:tcPr>
          <w:p w14:paraId="76EC667D" w14:textId="77777777" w:rsidR="00C47C6B" w:rsidRPr="00236C71" w:rsidRDefault="00C47C6B" w:rsidP="00A6450A">
            <w:pPr>
              <w:keepNext/>
              <w:spacing w:before="0" w:after="0"/>
              <w:rPr>
                <w:sz w:val="20"/>
                <w:szCs w:val="20"/>
              </w:rPr>
            </w:pPr>
            <w:r w:rsidRPr="00236C71">
              <w:rPr>
                <w:sz w:val="20"/>
                <w:szCs w:val="20"/>
              </w:rPr>
              <w:t>To 2013</w:t>
            </w:r>
          </w:p>
        </w:tc>
      </w:tr>
      <w:tr w:rsidR="00C47C6B" w:rsidRPr="00236C71" w14:paraId="76EC6688" w14:textId="77777777" w:rsidTr="006230BE">
        <w:tc>
          <w:tcPr>
            <w:tcW w:w="4959" w:type="dxa"/>
            <w:tcMar>
              <w:left w:w="57" w:type="dxa"/>
              <w:right w:w="28" w:type="dxa"/>
            </w:tcMar>
          </w:tcPr>
          <w:p w14:paraId="76EC667F" w14:textId="77777777" w:rsidR="00C47C6B" w:rsidRDefault="00C47C6B" w:rsidP="00A6450A">
            <w:pPr>
              <w:keepNext/>
              <w:spacing w:before="0" w:after="0"/>
              <w:rPr>
                <w:sz w:val="20"/>
                <w:szCs w:val="20"/>
              </w:rPr>
            </w:pPr>
            <w:r>
              <w:rPr>
                <w:sz w:val="20"/>
                <w:szCs w:val="20"/>
              </w:rPr>
              <w:t xml:space="preserve">6. How far have the Games changed attitudes to disability, and increased the participation of disabled people in sport, the economy, </w:t>
            </w:r>
            <w:r w:rsidRPr="00BD6594">
              <w:rPr>
                <w:sz w:val="20"/>
                <w:szCs w:val="20"/>
              </w:rPr>
              <w:t>volunteering and culture</w:t>
            </w:r>
            <w:r>
              <w:rPr>
                <w:sz w:val="20"/>
                <w:szCs w:val="20"/>
              </w:rPr>
              <w:t>?</w:t>
            </w:r>
          </w:p>
        </w:tc>
        <w:tc>
          <w:tcPr>
            <w:tcW w:w="2044" w:type="dxa"/>
            <w:vMerge w:val="restart"/>
            <w:tcMar>
              <w:left w:w="57" w:type="dxa"/>
              <w:right w:w="85" w:type="dxa"/>
            </w:tcMar>
            <w:vAlign w:val="center"/>
          </w:tcPr>
          <w:p w14:paraId="76EC6683" w14:textId="011FAAD1" w:rsidR="00C47C6B" w:rsidRPr="00236C71" w:rsidRDefault="00C47C6B" w:rsidP="00B73D10">
            <w:pPr>
              <w:keepNext/>
              <w:spacing w:before="0" w:after="0"/>
              <w:rPr>
                <w:sz w:val="20"/>
                <w:szCs w:val="20"/>
              </w:rPr>
            </w:pPr>
            <w:r>
              <w:rPr>
                <w:sz w:val="20"/>
                <w:szCs w:val="20"/>
              </w:rPr>
              <w:t>Nations, regions and host boroughs</w:t>
            </w:r>
          </w:p>
        </w:tc>
        <w:tc>
          <w:tcPr>
            <w:tcW w:w="1623" w:type="dxa"/>
            <w:vMerge w:val="restart"/>
            <w:tcMar>
              <w:left w:w="57" w:type="dxa"/>
              <w:right w:w="28" w:type="dxa"/>
            </w:tcMar>
            <w:vAlign w:val="center"/>
          </w:tcPr>
          <w:p w14:paraId="76EC6687" w14:textId="77777777" w:rsidR="00C47C6B" w:rsidRPr="00236C71" w:rsidRDefault="00C47C6B" w:rsidP="00617293">
            <w:pPr>
              <w:keepNext/>
              <w:rPr>
                <w:sz w:val="20"/>
                <w:szCs w:val="20"/>
              </w:rPr>
            </w:pPr>
            <w:r w:rsidRPr="00236C71">
              <w:rPr>
                <w:sz w:val="20"/>
                <w:szCs w:val="20"/>
              </w:rPr>
              <w:t>To 2013</w:t>
            </w:r>
          </w:p>
        </w:tc>
      </w:tr>
      <w:tr w:rsidR="00C47C6B" w:rsidRPr="00236C71" w14:paraId="76EC668C" w14:textId="77777777" w:rsidTr="00A6450A">
        <w:trPr>
          <w:trHeight w:val="522"/>
        </w:trPr>
        <w:tc>
          <w:tcPr>
            <w:tcW w:w="4959" w:type="dxa"/>
            <w:tcMar>
              <w:left w:w="57" w:type="dxa"/>
              <w:right w:w="28" w:type="dxa"/>
            </w:tcMar>
          </w:tcPr>
          <w:p w14:paraId="76EC6689" w14:textId="77777777" w:rsidR="00C47C6B" w:rsidRDefault="00C47C6B" w:rsidP="00A6450A">
            <w:pPr>
              <w:keepNext/>
              <w:spacing w:before="0" w:after="0"/>
              <w:rPr>
                <w:sz w:val="20"/>
                <w:szCs w:val="20"/>
              </w:rPr>
            </w:pPr>
            <w:r>
              <w:rPr>
                <w:sz w:val="20"/>
                <w:szCs w:val="20"/>
              </w:rPr>
              <w:t>7. How far have the Games contributed to sustainable development, in particular through demonstration effects and the encouragement of behavioural change?</w:t>
            </w:r>
          </w:p>
        </w:tc>
        <w:tc>
          <w:tcPr>
            <w:tcW w:w="2044" w:type="dxa"/>
            <w:vMerge/>
            <w:tcMar>
              <w:left w:w="57" w:type="dxa"/>
              <w:right w:w="85" w:type="dxa"/>
            </w:tcMar>
          </w:tcPr>
          <w:p w14:paraId="76EC668A" w14:textId="77777777" w:rsidR="00C47C6B" w:rsidRPr="00236C71" w:rsidRDefault="00C47C6B" w:rsidP="00A6450A">
            <w:pPr>
              <w:keepNext/>
              <w:spacing w:before="0" w:after="0"/>
              <w:rPr>
                <w:sz w:val="20"/>
                <w:szCs w:val="20"/>
              </w:rPr>
            </w:pPr>
          </w:p>
        </w:tc>
        <w:tc>
          <w:tcPr>
            <w:tcW w:w="1623" w:type="dxa"/>
            <w:vMerge/>
            <w:tcMar>
              <w:left w:w="57" w:type="dxa"/>
              <w:right w:w="28" w:type="dxa"/>
            </w:tcMar>
          </w:tcPr>
          <w:p w14:paraId="76EC668B" w14:textId="77777777" w:rsidR="00C47C6B" w:rsidRPr="00236C71" w:rsidRDefault="00C47C6B" w:rsidP="00A6450A">
            <w:pPr>
              <w:keepNext/>
              <w:rPr>
                <w:sz w:val="20"/>
                <w:szCs w:val="20"/>
              </w:rPr>
            </w:pPr>
          </w:p>
        </w:tc>
      </w:tr>
      <w:tr w:rsidR="00C47C6B" w:rsidRPr="00236C71" w14:paraId="76EC6691" w14:textId="77777777" w:rsidTr="00A6450A">
        <w:tc>
          <w:tcPr>
            <w:tcW w:w="4959" w:type="dxa"/>
            <w:tcMar>
              <w:left w:w="57" w:type="dxa"/>
              <w:right w:w="28" w:type="dxa"/>
            </w:tcMar>
          </w:tcPr>
          <w:p w14:paraId="76EC668D" w14:textId="77777777" w:rsidR="00C47C6B" w:rsidRDefault="00C47C6B" w:rsidP="00A6450A">
            <w:pPr>
              <w:pStyle w:val="CommentSubject"/>
              <w:keepNext/>
              <w:spacing w:before="0" w:after="0"/>
              <w:rPr>
                <w:b w:val="0"/>
              </w:rPr>
            </w:pPr>
            <w:r w:rsidRPr="00721D0E">
              <w:rPr>
                <w:b w:val="0"/>
              </w:rPr>
              <w:t>8. In what ways have the 2012 Games and associated activity contributed to well-being?</w:t>
            </w:r>
          </w:p>
        </w:tc>
        <w:tc>
          <w:tcPr>
            <w:tcW w:w="2044" w:type="dxa"/>
            <w:vMerge/>
            <w:tcMar>
              <w:left w:w="57" w:type="dxa"/>
              <w:right w:w="85" w:type="dxa"/>
            </w:tcMar>
          </w:tcPr>
          <w:p w14:paraId="76EC668E" w14:textId="77777777" w:rsidR="00C47C6B" w:rsidRPr="009823E9" w:rsidRDefault="00C47C6B" w:rsidP="00A6450A">
            <w:pPr>
              <w:keepNext/>
              <w:spacing w:before="0" w:after="0"/>
              <w:rPr>
                <w:sz w:val="20"/>
                <w:szCs w:val="20"/>
              </w:rPr>
            </w:pPr>
          </w:p>
        </w:tc>
        <w:tc>
          <w:tcPr>
            <w:tcW w:w="1623" w:type="dxa"/>
            <w:tcMar>
              <w:left w:w="57" w:type="dxa"/>
              <w:right w:w="28" w:type="dxa"/>
            </w:tcMar>
          </w:tcPr>
          <w:p w14:paraId="76EC668F" w14:textId="77777777" w:rsidR="00C47C6B" w:rsidRPr="003B73D7" w:rsidRDefault="00C47C6B" w:rsidP="00A6450A">
            <w:pPr>
              <w:keepNext/>
              <w:spacing w:before="0" w:after="0"/>
              <w:rPr>
                <w:sz w:val="20"/>
                <w:szCs w:val="20"/>
              </w:rPr>
            </w:pPr>
            <w:r w:rsidRPr="003B73D7">
              <w:rPr>
                <w:sz w:val="20"/>
                <w:szCs w:val="20"/>
              </w:rPr>
              <w:t xml:space="preserve">To 2013 and </w:t>
            </w:r>
          </w:p>
          <w:p w14:paraId="76EC6690" w14:textId="77777777" w:rsidR="00C47C6B" w:rsidRPr="00236C71" w:rsidRDefault="00C47C6B" w:rsidP="00A6450A">
            <w:pPr>
              <w:keepNext/>
              <w:spacing w:before="0" w:after="0"/>
              <w:rPr>
                <w:sz w:val="20"/>
                <w:szCs w:val="20"/>
              </w:rPr>
            </w:pPr>
            <w:r w:rsidRPr="003B73D7">
              <w:rPr>
                <w:sz w:val="20"/>
                <w:szCs w:val="20"/>
              </w:rPr>
              <w:t>Post 2013</w:t>
            </w:r>
          </w:p>
        </w:tc>
      </w:tr>
      <w:tr w:rsidR="00C47C6B" w:rsidRPr="00236C71" w14:paraId="76EC6696" w14:textId="77777777" w:rsidTr="00A6450A">
        <w:tc>
          <w:tcPr>
            <w:tcW w:w="4959" w:type="dxa"/>
            <w:tcMar>
              <w:left w:w="57" w:type="dxa"/>
              <w:right w:w="28" w:type="dxa"/>
            </w:tcMar>
          </w:tcPr>
          <w:p w14:paraId="76EC6692" w14:textId="77777777" w:rsidR="00C47C6B" w:rsidRPr="00236C71" w:rsidRDefault="00C47C6B" w:rsidP="00A6450A">
            <w:pPr>
              <w:pStyle w:val="CommentSubject"/>
              <w:keepNext/>
              <w:spacing w:before="0" w:after="120"/>
            </w:pPr>
            <w:r w:rsidRPr="00721D0E">
              <w:rPr>
                <w:b w:val="0"/>
              </w:rPr>
              <w:t>9. What have been the impacts of the staging of the Games on the international profile and reputation of the UK, London and East London?</w:t>
            </w:r>
          </w:p>
        </w:tc>
        <w:tc>
          <w:tcPr>
            <w:tcW w:w="2044" w:type="dxa"/>
            <w:tcMar>
              <w:left w:w="57" w:type="dxa"/>
              <w:right w:w="85" w:type="dxa"/>
            </w:tcMar>
          </w:tcPr>
          <w:p w14:paraId="76EC6693" w14:textId="77777777" w:rsidR="00C47C6B" w:rsidRPr="00236C71" w:rsidRDefault="00C47C6B" w:rsidP="00A6450A">
            <w:pPr>
              <w:keepNext/>
              <w:spacing w:before="0" w:after="0"/>
              <w:rPr>
                <w:sz w:val="20"/>
                <w:szCs w:val="20"/>
              </w:rPr>
            </w:pPr>
            <w:r w:rsidRPr="009823E9">
              <w:rPr>
                <w:sz w:val="20"/>
                <w:szCs w:val="20"/>
              </w:rPr>
              <w:t>Nation</w:t>
            </w:r>
            <w:r>
              <w:rPr>
                <w:sz w:val="20"/>
                <w:szCs w:val="20"/>
              </w:rPr>
              <w:t>s</w:t>
            </w:r>
            <w:r w:rsidRPr="009823E9">
              <w:rPr>
                <w:sz w:val="20"/>
                <w:szCs w:val="20"/>
              </w:rPr>
              <w:t xml:space="preserve">, </w:t>
            </w:r>
            <w:r>
              <w:rPr>
                <w:sz w:val="20"/>
                <w:szCs w:val="20"/>
              </w:rPr>
              <w:t>r</w:t>
            </w:r>
            <w:r w:rsidRPr="009823E9">
              <w:rPr>
                <w:sz w:val="20"/>
                <w:szCs w:val="20"/>
              </w:rPr>
              <w:t>egion</w:t>
            </w:r>
            <w:r>
              <w:rPr>
                <w:sz w:val="20"/>
                <w:szCs w:val="20"/>
              </w:rPr>
              <w:t>s, h</w:t>
            </w:r>
            <w:r w:rsidRPr="009823E9">
              <w:rPr>
                <w:sz w:val="20"/>
                <w:szCs w:val="20"/>
              </w:rPr>
              <w:t xml:space="preserve">ost </w:t>
            </w:r>
            <w:r>
              <w:rPr>
                <w:sz w:val="20"/>
                <w:szCs w:val="20"/>
              </w:rPr>
              <w:t>b</w:t>
            </w:r>
            <w:r w:rsidRPr="009823E9">
              <w:rPr>
                <w:sz w:val="20"/>
                <w:szCs w:val="20"/>
              </w:rPr>
              <w:t xml:space="preserve">oroughs </w:t>
            </w:r>
            <w:r>
              <w:rPr>
                <w:sz w:val="20"/>
                <w:szCs w:val="20"/>
              </w:rPr>
              <w:t>and o</w:t>
            </w:r>
            <w:r w:rsidRPr="009823E9">
              <w:rPr>
                <w:sz w:val="20"/>
                <w:szCs w:val="20"/>
              </w:rPr>
              <w:t xml:space="preserve">verseas </w:t>
            </w:r>
          </w:p>
        </w:tc>
        <w:tc>
          <w:tcPr>
            <w:tcW w:w="1623" w:type="dxa"/>
            <w:tcMar>
              <w:left w:w="57" w:type="dxa"/>
              <w:right w:w="28" w:type="dxa"/>
            </w:tcMar>
          </w:tcPr>
          <w:p w14:paraId="76EC6694" w14:textId="77777777" w:rsidR="00C47C6B" w:rsidRDefault="00C47C6B" w:rsidP="00A6450A">
            <w:pPr>
              <w:keepNext/>
              <w:spacing w:before="0" w:after="0"/>
              <w:rPr>
                <w:sz w:val="20"/>
                <w:szCs w:val="20"/>
              </w:rPr>
            </w:pPr>
            <w:r w:rsidRPr="00236C71">
              <w:rPr>
                <w:sz w:val="20"/>
                <w:szCs w:val="20"/>
              </w:rPr>
              <w:t xml:space="preserve">To </w:t>
            </w:r>
            <w:r>
              <w:rPr>
                <w:sz w:val="20"/>
                <w:szCs w:val="20"/>
              </w:rPr>
              <w:t xml:space="preserve">2013 and </w:t>
            </w:r>
          </w:p>
          <w:p w14:paraId="76EC6695" w14:textId="46142BD2" w:rsidR="00C47C6B" w:rsidRPr="00236C71" w:rsidRDefault="000E22A8" w:rsidP="00A6450A">
            <w:pPr>
              <w:keepNext/>
              <w:spacing w:before="0" w:after="0"/>
              <w:rPr>
                <w:sz w:val="20"/>
                <w:szCs w:val="20"/>
              </w:rPr>
            </w:pPr>
            <w:r>
              <w:rPr>
                <w:sz w:val="20"/>
                <w:szCs w:val="20"/>
              </w:rPr>
              <w:t>P</w:t>
            </w:r>
            <w:r w:rsidR="00C47C6B">
              <w:rPr>
                <w:sz w:val="20"/>
                <w:szCs w:val="20"/>
              </w:rPr>
              <w:t xml:space="preserve">ost </w:t>
            </w:r>
            <w:r w:rsidR="00C47C6B" w:rsidRPr="00236C71">
              <w:rPr>
                <w:sz w:val="20"/>
                <w:szCs w:val="20"/>
              </w:rPr>
              <w:t>2013</w:t>
            </w:r>
          </w:p>
        </w:tc>
      </w:tr>
      <w:tr w:rsidR="00C47C6B" w:rsidRPr="00236C71" w14:paraId="76EC669A" w14:textId="77777777" w:rsidTr="00A6450A">
        <w:tc>
          <w:tcPr>
            <w:tcW w:w="4959" w:type="dxa"/>
            <w:tcMar>
              <w:left w:w="57" w:type="dxa"/>
              <w:right w:w="28" w:type="dxa"/>
            </w:tcMar>
          </w:tcPr>
          <w:p w14:paraId="76EC6697" w14:textId="77777777" w:rsidR="00C47C6B" w:rsidRPr="00236C71" w:rsidRDefault="00C47C6B" w:rsidP="00A6450A">
            <w:pPr>
              <w:pStyle w:val="CommentSubject"/>
              <w:keepNext/>
              <w:spacing w:before="0" w:after="120"/>
            </w:pPr>
            <w:r w:rsidRPr="00236C71">
              <w:t xml:space="preserve">Study conclusions </w:t>
            </w:r>
          </w:p>
        </w:tc>
        <w:tc>
          <w:tcPr>
            <w:tcW w:w="2044" w:type="dxa"/>
            <w:tcMar>
              <w:left w:w="57" w:type="dxa"/>
              <w:right w:w="85" w:type="dxa"/>
            </w:tcMar>
          </w:tcPr>
          <w:p w14:paraId="76EC6698" w14:textId="77777777" w:rsidR="00C47C6B" w:rsidRPr="00236C71" w:rsidRDefault="00C47C6B" w:rsidP="00A6450A">
            <w:pPr>
              <w:keepNext/>
              <w:spacing w:before="0" w:after="0"/>
              <w:rPr>
                <w:sz w:val="20"/>
                <w:szCs w:val="20"/>
              </w:rPr>
            </w:pPr>
          </w:p>
        </w:tc>
        <w:tc>
          <w:tcPr>
            <w:tcW w:w="1623" w:type="dxa"/>
            <w:tcMar>
              <w:left w:w="57" w:type="dxa"/>
              <w:right w:w="28" w:type="dxa"/>
            </w:tcMar>
          </w:tcPr>
          <w:p w14:paraId="76EC6699" w14:textId="77777777" w:rsidR="00C47C6B" w:rsidRPr="00236C71" w:rsidRDefault="00C47C6B" w:rsidP="00A6450A">
            <w:pPr>
              <w:keepNext/>
              <w:spacing w:before="0" w:after="0"/>
              <w:rPr>
                <w:sz w:val="20"/>
                <w:szCs w:val="20"/>
              </w:rPr>
            </w:pPr>
          </w:p>
        </w:tc>
      </w:tr>
      <w:tr w:rsidR="00C47C6B" w:rsidRPr="00236C71" w14:paraId="76EC66A3" w14:textId="77777777" w:rsidTr="006230BE">
        <w:tc>
          <w:tcPr>
            <w:tcW w:w="4959" w:type="dxa"/>
            <w:tcMar>
              <w:left w:w="57" w:type="dxa"/>
              <w:right w:w="28" w:type="dxa"/>
            </w:tcMar>
          </w:tcPr>
          <w:p w14:paraId="76EC669B" w14:textId="77777777" w:rsidR="00C47C6B" w:rsidRDefault="00C47C6B" w:rsidP="00A6450A">
            <w:pPr>
              <w:keepNext/>
              <w:spacing w:before="0" w:after="0"/>
              <w:rPr>
                <w:sz w:val="20"/>
                <w:szCs w:val="20"/>
              </w:rPr>
            </w:pPr>
            <w:r>
              <w:rPr>
                <w:sz w:val="20"/>
                <w:szCs w:val="20"/>
              </w:rPr>
              <w:t>10 (a). How far have the investments in legacy initiatives represented value for money? (b). Up to 2020, how far has the overall investment in the Games represented value for money?</w:t>
            </w:r>
          </w:p>
        </w:tc>
        <w:tc>
          <w:tcPr>
            <w:tcW w:w="2044" w:type="dxa"/>
            <w:vMerge w:val="restart"/>
            <w:tcMar>
              <w:left w:w="57" w:type="dxa"/>
              <w:right w:w="85" w:type="dxa"/>
            </w:tcMar>
            <w:vAlign w:val="center"/>
          </w:tcPr>
          <w:p w14:paraId="76EC669F" w14:textId="7096EA22" w:rsidR="00C47C6B" w:rsidRPr="00236C71" w:rsidRDefault="00C47C6B" w:rsidP="005152F7">
            <w:pPr>
              <w:keepNext/>
              <w:spacing w:before="0" w:after="0"/>
              <w:rPr>
                <w:sz w:val="20"/>
                <w:szCs w:val="20"/>
              </w:rPr>
            </w:pPr>
            <w:r w:rsidRPr="00236C71">
              <w:rPr>
                <w:sz w:val="20"/>
                <w:szCs w:val="20"/>
              </w:rPr>
              <w:t>Nation</w:t>
            </w:r>
            <w:r>
              <w:rPr>
                <w:sz w:val="20"/>
                <w:szCs w:val="20"/>
              </w:rPr>
              <w:t>s</w:t>
            </w:r>
            <w:r w:rsidRPr="00236C71">
              <w:rPr>
                <w:sz w:val="20"/>
                <w:szCs w:val="20"/>
              </w:rPr>
              <w:t xml:space="preserve">, </w:t>
            </w:r>
            <w:r>
              <w:rPr>
                <w:sz w:val="20"/>
                <w:szCs w:val="20"/>
              </w:rPr>
              <w:t>r</w:t>
            </w:r>
            <w:r w:rsidRPr="00236C71">
              <w:rPr>
                <w:sz w:val="20"/>
                <w:szCs w:val="20"/>
              </w:rPr>
              <w:t>egion</w:t>
            </w:r>
            <w:r>
              <w:rPr>
                <w:sz w:val="20"/>
                <w:szCs w:val="20"/>
              </w:rPr>
              <w:t>s</w:t>
            </w:r>
            <w:r w:rsidRPr="00236C71">
              <w:rPr>
                <w:sz w:val="20"/>
                <w:szCs w:val="20"/>
              </w:rPr>
              <w:t xml:space="preserve"> and </w:t>
            </w:r>
            <w:r>
              <w:rPr>
                <w:sz w:val="20"/>
                <w:szCs w:val="20"/>
              </w:rPr>
              <w:t>h</w:t>
            </w:r>
            <w:r w:rsidRPr="00236C71">
              <w:rPr>
                <w:sz w:val="20"/>
                <w:szCs w:val="20"/>
              </w:rPr>
              <w:t xml:space="preserve">ost </w:t>
            </w:r>
            <w:r>
              <w:rPr>
                <w:sz w:val="20"/>
                <w:szCs w:val="20"/>
              </w:rPr>
              <w:t>b</w:t>
            </w:r>
            <w:r w:rsidRPr="00236C71">
              <w:rPr>
                <w:sz w:val="20"/>
                <w:szCs w:val="20"/>
              </w:rPr>
              <w:t>oroughs</w:t>
            </w:r>
          </w:p>
        </w:tc>
        <w:tc>
          <w:tcPr>
            <w:tcW w:w="1623" w:type="dxa"/>
            <w:tcMar>
              <w:left w:w="57" w:type="dxa"/>
              <w:right w:w="28" w:type="dxa"/>
            </w:tcMar>
          </w:tcPr>
          <w:p w14:paraId="76EC66A0" w14:textId="77777777" w:rsidR="00C47C6B" w:rsidRPr="00236C71" w:rsidRDefault="00C47C6B" w:rsidP="00A6450A">
            <w:pPr>
              <w:keepNext/>
              <w:spacing w:before="0" w:after="0"/>
              <w:rPr>
                <w:sz w:val="20"/>
                <w:szCs w:val="20"/>
              </w:rPr>
            </w:pPr>
            <w:r w:rsidRPr="00236C71">
              <w:rPr>
                <w:sz w:val="20"/>
                <w:szCs w:val="20"/>
              </w:rPr>
              <w:t>(a)To 2013</w:t>
            </w:r>
          </w:p>
          <w:p w14:paraId="76EC66A1" w14:textId="77777777" w:rsidR="00C47C6B" w:rsidRPr="00236C71" w:rsidRDefault="00C47C6B" w:rsidP="00A6450A">
            <w:pPr>
              <w:keepNext/>
              <w:spacing w:before="0" w:after="0"/>
              <w:rPr>
                <w:sz w:val="20"/>
                <w:szCs w:val="20"/>
              </w:rPr>
            </w:pPr>
            <w:r w:rsidRPr="00236C71">
              <w:rPr>
                <w:sz w:val="20"/>
                <w:szCs w:val="20"/>
              </w:rPr>
              <w:t>(b) Post 2013</w:t>
            </w:r>
          </w:p>
          <w:p w14:paraId="76EC66A2" w14:textId="77777777" w:rsidR="00C47C6B" w:rsidRPr="00236C71" w:rsidRDefault="00C47C6B" w:rsidP="00A6450A">
            <w:pPr>
              <w:keepNext/>
              <w:spacing w:before="0" w:after="0"/>
              <w:rPr>
                <w:sz w:val="20"/>
                <w:szCs w:val="20"/>
              </w:rPr>
            </w:pPr>
          </w:p>
        </w:tc>
      </w:tr>
      <w:tr w:rsidR="00C47C6B" w:rsidRPr="00236C71" w14:paraId="76EC66A7" w14:textId="77777777" w:rsidTr="00A6450A">
        <w:tc>
          <w:tcPr>
            <w:tcW w:w="4959" w:type="dxa"/>
            <w:tcMar>
              <w:left w:w="57" w:type="dxa"/>
              <w:right w:w="28" w:type="dxa"/>
            </w:tcMar>
          </w:tcPr>
          <w:p w14:paraId="76EC66A4" w14:textId="77777777" w:rsidR="00C47C6B" w:rsidRDefault="00C47C6B" w:rsidP="00A6450A">
            <w:pPr>
              <w:keepNext/>
              <w:spacing w:before="0" w:after="0"/>
              <w:rPr>
                <w:sz w:val="20"/>
                <w:szCs w:val="20"/>
              </w:rPr>
            </w:pPr>
            <w:r>
              <w:rPr>
                <w:sz w:val="20"/>
                <w:szCs w:val="20"/>
              </w:rPr>
              <w:t>11. How far have the impacts of the Games been sustained in practice – and what, if any, further/consequential impacts have emerged (for example, on health)?</w:t>
            </w:r>
          </w:p>
        </w:tc>
        <w:tc>
          <w:tcPr>
            <w:tcW w:w="2044" w:type="dxa"/>
            <w:vMerge/>
            <w:tcMar>
              <w:left w:w="57" w:type="dxa"/>
              <w:right w:w="85" w:type="dxa"/>
            </w:tcMar>
          </w:tcPr>
          <w:p w14:paraId="76EC66A5" w14:textId="77777777" w:rsidR="00C47C6B" w:rsidRPr="00236C71" w:rsidRDefault="00C47C6B" w:rsidP="00A6450A">
            <w:pPr>
              <w:keepNext/>
              <w:rPr>
                <w:sz w:val="20"/>
                <w:szCs w:val="20"/>
              </w:rPr>
            </w:pPr>
          </w:p>
        </w:tc>
        <w:tc>
          <w:tcPr>
            <w:tcW w:w="1623" w:type="dxa"/>
            <w:tcMar>
              <w:left w:w="57" w:type="dxa"/>
              <w:right w:w="28" w:type="dxa"/>
            </w:tcMar>
          </w:tcPr>
          <w:p w14:paraId="76EC66A6" w14:textId="77777777" w:rsidR="00C47C6B" w:rsidRPr="00236C71" w:rsidRDefault="00C47C6B" w:rsidP="00A6450A">
            <w:pPr>
              <w:keepNext/>
              <w:spacing w:before="0" w:after="0"/>
              <w:rPr>
                <w:sz w:val="20"/>
                <w:szCs w:val="20"/>
              </w:rPr>
            </w:pPr>
            <w:r w:rsidRPr="00236C71">
              <w:rPr>
                <w:sz w:val="20"/>
                <w:szCs w:val="20"/>
              </w:rPr>
              <w:t>Post 2013</w:t>
            </w:r>
          </w:p>
        </w:tc>
      </w:tr>
      <w:tr w:rsidR="00C47C6B" w:rsidRPr="00236C71" w14:paraId="76EC66AB" w14:textId="77777777" w:rsidTr="00A6450A">
        <w:tc>
          <w:tcPr>
            <w:tcW w:w="4959" w:type="dxa"/>
            <w:tcMar>
              <w:left w:w="57" w:type="dxa"/>
              <w:right w:w="28" w:type="dxa"/>
            </w:tcMar>
          </w:tcPr>
          <w:p w14:paraId="76EC66A8" w14:textId="77777777" w:rsidR="00C47C6B" w:rsidRDefault="00C47C6B" w:rsidP="00A6450A">
            <w:pPr>
              <w:keepNext/>
              <w:spacing w:before="0" w:after="0"/>
              <w:rPr>
                <w:sz w:val="20"/>
                <w:szCs w:val="20"/>
              </w:rPr>
            </w:pPr>
            <w:r>
              <w:rPr>
                <w:sz w:val="20"/>
                <w:szCs w:val="20"/>
              </w:rPr>
              <w:t xml:space="preserve">12. What lessons can be learned about how to maximise the benefits to the host country and city from the staging of mega-events, </w:t>
            </w:r>
            <w:r w:rsidRPr="00FD490C">
              <w:rPr>
                <w:sz w:val="20"/>
                <w:szCs w:val="20"/>
              </w:rPr>
              <w:t>particularly in terms of organisational lessons and change</w:t>
            </w:r>
            <w:r>
              <w:rPr>
                <w:sz w:val="20"/>
                <w:szCs w:val="20"/>
              </w:rPr>
              <w:t>?</w:t>
            </w:r>
          </w:p>
        </w:tc>
        <w:tc>
          <w:tcPr>
            <w:tcW w:w="2044" w:type="dxa"/>
            <w:vMerge/>
            <w:tcMar>
              <w:left w:w="57" w:type="dxa"/>
              <w:right w:w="85" w:type="dxa"/>
            </w:tcMar>
          </w:tcPr>
          <w:p w14:paraId="76EC66A9" w14:textId="77777777" w:rsidR="00C47C6B" w:rsidRPr="00236C71" w:rsidRDefault="00C47C6B" w:rsidP="00A6450A">
            <w:pPr>
              <w:keepNext/>
              <w:spacing w:before="0" w:after="0"/>
              <w:rPr>
                <w:sz w:val="20"/>
                <w:szCs w:val="20"/>
              </w:rPr>
            </w:pPr>
          </w:p>
        </w:tc>
        <w:tc>
          <w:tcPr>
            <w:tcW w:w="1623" w:type="dxa"/>
            <w:tcMar>
              <w:left w:w="57" w:type="dxa"/>
              <w:right w:w="28" w:type="dxa"/>
            </w:tcMar>
          </w:tcPr>
          <w:p w14:paraId="76EC66AA" w14:textId="77777777" w:rsidR="00C47C6B" w:rsidRPr="00236C71" w:rsidRDefault="00C47C6B" w:rsidP="00A6450A">
            <w:pPr>
              <w:keepNext/>
              <w:spacing w:before="0" w:after="0"/>
              <w:rPr>
                <w:sz w:val="20"/>
                <w:szCs w:val="20"/>
              </w:rPr>
            </w:pPr>
            <w:r w:rsidRPr="00236C71">
              <w:rPr>
                <w:sz w:val="20"/>
                <w:szCs w:val="20"/>
              </w:rPr>
              <w:t>To 2013</w:t>
            </w:r>
          </w:p>
        </w:tc>
      </w:tr>
    </w:tbl>
    <w:p w14:paraId="76EC66AC" w14:textId="77777777" w:rsidR="00C47C6B" w:rsidRDefault="00C47C6B" w:rsidP="00C47C6B">
      <w:pPr>
        <w:spacing w:before="0" w:after="0"/>
      </w:pPr>
    </w:p>
    <w:p w14:paraId="76EC66AD" w14:textId="77777777" w:rsidR="00C47C6B" w:rsidRDefault="00C47C6B" w:rsidP="00E80169"/>
    <w:p w14:paraId="76EC66AE" w14:textId="77777777" w:rsidR="006C7824" w:rsidRDefault="006C7824" w:rsidP="00500ED5"/>
    <w:p w14:paraId="76EC66AF" w14:textId="77777777" w:rsidR="00500ED5" w:rsidRDefault="00500ED5" w:rsidP="00F95170"/>
    <w:p w14:paraId="76EC66B0" w14:textId="77777777" w:rsidR="002C7D43" w:rsidRDefault="002C7D43" w:rsidP="002C7D43">
      <w:pPr>
        <w:pStyle w:val="Heading1"/>
      </w:pPr>
      <w:bookmarkStart w:id="21" w:name="_Toc338746876"/>
      <w:bookmarkStart w:id="22" w:name="_Toc331150769"/>
      <w:bookmarkStart w:id="23" w:name="_Toc332901262"/>
      <w:r w:rsidRPr="00DB6D75">
        <w:lastRenderedPageBreak/>
        <w:t>Harnessing the UK's passion for sport</w:t>
      </w:r>
      <w:bookmarkEnd w:id="21"/>
      <w:r w:rsidRPr="00DB6D75">
        <w:t xml:space="preserve"> </w:t>
      </w:r>
      <w:bookmarkEnd w:id="22"/>
    </w:p>
    <w:p w14:paraId="76EC66B1" w14:textId="77777777" w:rsidR="002C7D43" w:rsidRPr="002670A4" w:rsidRDefault="002C7D43" w:rsidP="002C7D43">
      <w:pPr>
        <w:pBdr>
          <w:top w:val="single" w:sz="4" w:space="1" w:color="auto"/>
          <w:left w:val="single" w:sz="4" w:space="0" w:color="auto"/>
          <w:bottom w:val="single" w:sz="4" w:space="1" w:color="auto"/>
          <w:right w:val="single" w:sz="4" w:space="4" w:color="auto"/>
        </w:pBdr>
        <w:shd w:val="clear" w:color="auto" w:fill="CC99FF"/>
        <w:rPr>
          <w:i/>
        </w:rPr>
      </w:pPr>
      <w:r w:rsidRPr="00F64BA5">
        <w:rPr>
          <w:i/>
        </w:rPr>
        <w:t xml:space="preserve">Headline </w:t>
      </w:r>
      <w:r>
        <w:rPr>
          <w:i/>
        </w:rPr>
        <w:t xml:space="preserve">research question: </w:t>
      </w:r>
      <w:r w:rsidRPr="00DB6D75">
        <w:rPr>
          <w:i/>
        </w:rPr>
        <w:t xml:space="preserve">What have been the impacts of the Games on sport and physical activity, and in particular the development of mass participation, competitive school and elite sport? </w:t>
      </w:r>
    </w:p>
    <w:p w14:paraId="76EC66B2" w14:textId="77777777" w:rsidR="002C7D43" w:rsidRDefault="005C5328" w:rsidP="002C7D43">
      <w:r w:rsidRPr="005539C2">
        <w:rPr>
          <w:noProof/>
          <w:lang w:eastAsia="en-GB"/>
        </w:rPr>
        <mc:AlternateContent>
          <mc:Choice Requires="wps">
            <w:drawing>
              <wp:inline distT="0" distB="0" distL="0" distR="0" wp14:anchorId="76EC68DE" wp14:editId="07ABD2C6">
                <wp:extent cx="5075555" cy="4546121"/>
                <wp:effectExtent l="0" t="0" r="10795" b="26035"/>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4546121"/>
                        </a:xfrm>
                        <a:prstGeom prst="rect">
                          <a:avLst/>
                        </a:prstGeom>
                        <a:solidFill>
                          <a:schemeClr val="bg1">
                            <a:lumMod val="95000"/>
                          </a:schemeClr>
                        </a:solidFill>
                        <a:ln w="9525">
                          <a:solidFill>
                            <a:srgbClr val="000000"/>
                          </a:solidFill>
                          <a:miter lim="800000"/>
                          <a:headEnd/>
                          <a:tailEnd/>
                        </a:ln>
                      </wps:spPr>
                      <wps:txbx>
                        <w:txbxContent>
                          <w:p w14:paraId="76EC694D" w14:textId="77777777" w:rsidR="00CA062D" w:rsidRPr="00CB4E50" w:rsidRDefault="00CA062D" w:rsidP="005C5328">
                            <w:pPr>
                              <w:spacing w:before="0" w:after="120"/>
                              <w:rPr>
                                <w:szCs w:val="22"/>
                              </w:rPr>
                            </w:pPr>
                            <w:r>
                              <w:rPr>
                                <w:b/>
                                <w:szCs w:val="22"/>
                              </w:rPr>
                              <w:t>Key findi</w:t>
                            </w:r>
                            <w:r w:rsidRPr="00CB4E50">
                              <w:rPr>
                                <w:b/>
                                <w:szCs w:val="22"/>
                              </w:rPr>
                              <w:t>ngs:</w:t>
                            </w:r>
                          </w:p>
                          <w:p w14:paraId="240C7315" w14:textId="021D1A13" w:rsidR="00CA062D" w:rsidRPr="00CB4E50" w:rsidRDefault="00CA062D" w:rsidP="00A71237">
                            <w:pPr>
                              <w:pStyle w:val="BulletOne"/>
                              <w:numPr>
                                <w:ilvl w:val="0"/>
                                <w:numId w:val="47"/>
                              </w:numPr>
                              <w:spacing w:before="40"/>
                            </w:pPr>
                            <w:r w:rsidRPr="00CB4E50">
                              <w:t xml:space="preserve">The proportion of people taking part in sport regularly in England (at least one 30 minute session of moderate intensity sport in the last week) increased from 41.2% in 2005/06 to 43.8% in 2011/12. </w:t>
                            </w:r>
                          </w:p>
                          <w:p w14:paraId="76EC694E" w14:textId="09159B8E" w:rsidR="00CA062D" w:rsidRPr="00CB4E50" w:rsidRDefault="00CA062D" w:rsidP="005C5328">
                            <w:pPr>
                              <w:pStyle w:val="BulletOne"/>
                              <w:numPr>
                                <w:ilvl w:val="0"/>
                                <w:numId w:val="47"/>
                              </w:numPr>
                              <w:spacing w:before="40"/>
                              <w:rPr>
                                <w:szCs w:val="22"/>
                              </w:rPr>
                            </w:pPr>
                            <w:r w:rsidRPr="00CB4E50">
                              <w:rPr>
                                <w:szCs w:val="22"/>
                              </w:rPr>
                              <w:t>Key outputs by June 2012 from Sports legacy programmes include:</w:t>
                            </w:r>
                          </w:p>
                          <w:p w14:paraId="76EC694F" w14:textId="2F7CCEE9" w:rsidR="00CA062D" w:rsidRPr="00CB4E50" w:rsidRDefault="00CA062D" w:rsidP="005C5328">
                            <w:pPr>
                              <w:pStyle w:val="BulletTwo"/>
                            </w:pPr>
                            <w:r w:rsidRPr="00CB4E50">
                              <w:t xml:space="preserve">Sportivate and Gold Challenge have each provided participation opportunities to 100,000 people. </w:t>
                            </w:r>
                          </w:p>
                          <w:p w14:paraId="76EC6950" w14:textId="561C2449" w:rsidR="00CA062D" w:rsidRPr="00CB4E50" w:rsidRDefault="00CA062D" w:rsidP="001343D3">
                            <w:pPr>
                              <w:pStyle w:val="BulletTwo"/>
                            </w:pPr>
                            <w:r w:rsidRPr="00CB4E50">
                              <w:t>Iconic Facilities, Inspired Facilities and Protecting Playing Fields have provided awards to almost 900 facilities.</w:t>
                            </w:r>
                          </w:p>
                          <w:p w14:paraId="76EC6951" w14:textId="082EA7A3" w:rsidR="00CA062D" w:rsidRPr="00CB4E50" w:rsidRDefault="00CA062D" w:rsidP="005C5328">
                            <w:pPr>
                              <w:pStyle w:val="BulletTwo"/>
                            </w:pPr>
                            <w:r w:rsidRPr="00CB4E50">
                              <w:t>School Games has over 1</w:t>
                            </w:r>
                            <w:r>
                              <w:t>3</w:t>
                            </w:r>
                            <w:r w:rsidRPr="00CB4E50">
                              <w:t>,</w:t>
                            </w:r>
                            <w:r>
                              <w:t>600</w:t>
                            </w:r>
                            <w:r w:rsidRPr="00CB4E50">
                              <w:t xml:space="preserve"> schools registered and 31 competition formats at intra-school and inter-school level developed.</w:t>
                            </w:r>
                          </w:p>
                          <w:p w14:paraId="76EC6952" w14:textId="77777777" w:rsidR="00CA062D" w:rsidRPr="00CB4E50" w:rsidRDefault="00CA062D" w:rsidP="005C5328">
                            <w:pPr>
                              <w:pStyle w:val="BulletTwo"/>
                              <w:rPr>
                                <w:rFonts w:cstheme="minorHAnsi"/>
                                <w:lang w:val="en-US"/>
                              </w:rPr>
                            </w:pPr>
                            <w:r w:rsidRPr="00CB4E50">
                              <w:rPr>
                                <w:rFonts w:cstheme="minorHAnsi"/>
                                <w:lang w:val="en-US"/>
                              </w:rPr>
                              <w:t>Change4Life Sports Clubs has reported over 61,000 young people participating with 90% of these choosing to play sport every week at the end of the first year.</w:t>
                            </w:r>
                          </w:p>
                          <w:p w14:paraId="76EC6953" w14:textId="00E1D775" w:rsidR="00CA062D" w:rsidRPr="00CB4E50" w:rsidRDefault="00CA062D" w:rsidP="00F75B51">
                            <w:pPr>
                              <w:pStyle w:val="BulletTwo"/>
                              <w:spacing w:after="120"/>
                            </w:pPr>
                            <w:r w:rsidRPr="00CB4E50">
                              <w:t xml:space="preserve">Sport Makers has registered approximately </w:t>
                            </w:r>
                            <w:r>
                              <w:t>33</w:t>
                            </w:r>
                            <w:r w:rsidRPr="00CB4E50">
                              <w:t>,000 volunteers throughout England.</w:t>
                            </w:r>
                          </w:p>
                          <w:p w14:paraId="76EC6954" w14:textId="17F93205" w:rsidR="00CA062D" w:rsidRPr="00CB4E50" w:rsidRDefault="00CA062D" w:rsidP="005C5328">
                            <w:pPr>
                              <w:pStyle w:val="BulletOne"/>
                              <w:numPr>
                                <w:ilvl w:val="0"/>
                                <w:numId w:val="47"/>
                              </w:numPr>
                              <w:spacing w:before="40"/>
                              <w:rPr>
                                <w:szCs w:val="22"/>
                              </w:rPr>
                            </w:pPr>
                            <w:r w:rsidRPr="00CB4E50">
                              <w:rPr>
                                <w:szCs w:val="22"/>
                              </w:rPr>
                              <w:t xml:space="preserve">There has been significant investment in facilities both for staging the Games themselves and for hosting Pre-Games Training Camps (PGTCs) around the country. </w:t>
                            </w:r>
                          </w:p>
                          <w:p w14:paraId="76EC6955" w14:textId="77777777" w:rsidR="00CA062D" w:rsidRPr="00CB4E50" w:rsidRDefault="00CA062D" w:rsidP="00657D47">
                            <w:pPr>
                              <w:pStyle w:val="BulletOne"/>
                              <w:numPr>
                                <w:ilvl w:val="0"/>
                                <w:numId w:val="47"/>
                              </w:numPr>
                              <w:spacing w:before="40"/>
                              <w:ind w:left="341" w:hanging="341"/>
                              <w:rPr>
                                <w:szCs w:val="22"/>
                              </w:rPr>
                            </w:pPr>
                            <w:r w:rsidRPr="00CB4E50">
                              <w:rPr>
                                <w:szCs w:val="22"/>
                              </w:rPr>
                              <w:t>Team GB and Paralympics GB both finished in 3</w:t>
                            </w:r>
                            <w:r w:rsidRPr="00CB4E50">
                              <w:rPr>
                                <w:szCs w:val="22"/>
                                <w:vertAlign w:val="superscript"/>
                              </w:rPr>
                              <w:t>rd</w:t>
                            </w:r>
                            <w:r w:rsidRPr="00CB4E50">
                              <w:rPr>
                                <w:szCs w:val="22"/>
                              </w:rPr>
                              <w:t xml:space="preserve"> place in the medals table at London 2012 for the Olympic and Paralympic Games respectively, both </w:t>
                            </w:r>
                            <w:r w:rsidRPr="00CB4E50">
                              <w:rPr>
                                <w:szCs w:val="22"/>
                                <w:lang w:eastAsia="en-GB"/>
                              </w:rPr>
                              <w:t>exceeding their medal targets</w:t>
                            </w:r>
                            <w:r w:rsidRPr="00CB4E50">
                              <w:rPr>
                                <w:szCs w:val="22"/>
                              </w:rPr>
                              <w:t>.</w:t>
                            </w:r>
                          </w:p>
                          <w:p w14:paraId="76EC6956" w14:textId="52D1AEB6" w:rsidR="00CA062D" w:rsidRPr="00CB4E50" w:rsidRDefault="00CA062D" w:rsidP="005C5328">
                            <w:pPr>
                              <w:pStyle w:val="BulletOne"/>
                              <w:numPr>
                                <w:ilvl w:val="0"/>
                                <w:numId w:val="47"/>
                              </w:numPr>
                              <w:spacing w:before="40"/>
                              <w:rPr>
                                <w:szCs w:val="22"/>
                              </w:rPr>
                            </w:pPr>
                            <w:r w:rsidRPr="00CB4E50">
                              <w:rPr>
                                <w:szCs w:val="22"/>
                              </w:rPr>
                              <w:t>International Inspiration reached 12 million children by July 2011, with a range of participation and other opportunities provided to these children in 20 countries. Over 270 UK schools were linked to partner schools around the world.</w:t>
                            </w:r>
                          </w:p>
                          <w:p w14:paraId="76EC6957" w14:textId="77777777" w:rsidR="00CA062D" w:rsidRPr="000B3FB0" w:rsidRDefault="00CA062D" w:rsidP="005C5328">
                            <w:pPr>
                              <w:pStyle w:val="BulletOne"/>
                              <w:numPr>
                                <w:ilvl w:val="0"/>
                                <w:numId w:val="0"/>
                              </w:numPr>
                              <w:ind w:left="340"/>
                              <w:rPr>
                                <w:color w:val="FF0000"/>
                                <w:szCs w:val="22"/>
                              </w:rPr>
                            </w:pPr>
                          </w:p>
                        </w:txbxContent>
                      </wps:txbx>
                      <wps:bodyPr rot="0" vert="horz" wrap="square" lIns="91440" tIns="45720" rIns="91440" bIns="45720" anchor="t" anchorCtr="0" upright="1">
                        <a:noAutofit/>
                      </wps:bodyPr>
                    </wps:wsp>
                  </a:graphicData>
                </a:graphic>
              </wp:inline>
            </w:drawing>
          </mc:Choice>
          <mc:Fallback>
            <w:pict>
              <v:shape id="Text Box 155" o:spid="_x0000_s1027" type="#_x0000_t202" style="width:399.65pt;height:3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" fillcolor="#f2f2f2 [3052]">
                <v:textbox>
                  <w:txbxContent>
                    <w:p w14:paraId="76EC694D" w14:textId="77777777" w:rsidR="00CA062D" w:rsidRPr="00CB4E50" w:rsidRDefault="00CA062D" w:rsidP="005C5328">
                      <w:pPr>
                        <w:spacing w:before="0" w:after="120"/>
                        <w:rPr>
                          <w:szCs w:val="22"/>
                        </w:rPr>
                      </w:pPr>
                      <w:r>
                        <w:rPr>
                          <w:b/>
                          <w:szCs w:val="22"/>
                        </w:rPr>
                        <w:t>Key findi</w:t>
                      </w:r>
                      <w:r w:rsidRPr="00CB4E50">
                        <w:rPr>
                          <w:b/>
                          <w:szCs w:val="22"/>
                        </w:rPr>
                        <w:t>ngs:</w:t>
                      </w:r>
                    </w:p>
                    <w:p w14:paraId="240C7315" w14:textId="021D1A13" w:rsidR="00CA062D" w:rsidRPr="00CB4E50" w:rsidRDefault="00CA062D" w:rsidP="00A71237">
                      <w:pPr>
                        <w:pStyle w:val="BulletOne"/>
                        <w:numPr>
                          <w:ilvl w:val="0"/>
                          <w:numId w:val="47"/>
                        </w:numPr>
                        <w:spacing w:before="40"/>
                      </w:pPr>
                      <w:r w:rsidRPr="00CB4E50">
                        <w:t xml:space="preserve">The proportion of people taking part in sport regularly in England (at least one 30 minute session of moderate intensity sport in the last week) increased from 41.2% in 2005/06 to 43.8% in 2011/12. </w:t>
                      </w:r>
                    </w:p>
                    <w:p w14:paraId="76EC694E" w14:textId="09159B8E" w:rsidR="00CA062D" w:rsidRPr="00CB4E50" w:rsidRDefault="00CA062D" w:rsidP="005C5328">
                      <w:pPr>
                        <w:pStyle w:val="BulletOne"/>
                        <w:numPr>
                          <w:ilvl w:val="0"/>
                          <w:numId w:val="47"/>
                        </w:numPr>
                        <w:spacing w:before="40"/>
                        <w:rPr>
                          <w:szCs w:val="22"/>
                        </w:rPr>
                      </w:pPr>
                      <w:r w:rsidRPr="00CB4E50">
                        <w:rPr>
                          <w:szCs w:val="22"/>
                        </w:rPr>
                        <w:t>Key outputs by June 2012 from Sports legacy programmes include:</w:t>
                      </w:r>
                    </w:p>
                    <w:p w14:paraId="76EC694F" w14:textId="2F7CCEE9" w:rsidR="00CA062D" w:rsidRPr="00CB4E50" w:rsidRDefault="00CA062D" w:rsidP="005C5328">
                      <w:pPr>
                        <w:pStyle w:val="BulletTwo"/>
                      </w:pPr>
                      <w:r w:rsidRPr="00CB4E50">
                        <w:t xml:space="preserve">Sportivate and Gold Challenge have each provided participation opportunities to 100,000 people. </w:t>
                      </w:r>
                    </w:p>
                    <w:p w14:paraId="76EC6950" w14:textId="561C2449" w:rsidR="00CA062D" w:rsidRPr="00CB4E50" w:rsidRDefault="00CA062D" w:rsidP="001343D3">
                      <w:pPr>
                        <w:pStyle w:val="BulletTwo"/>
                      </w:pPr>
                      <w:r w:rsidRPr="00CB4E50">
                        <w:t>Iconic Facilities, Inspired Facilities and Protecting Playing Fields have provided awards to almost 900 facilities.</w:t>
                      </w:r>
                    </w:p>
                    <w:p w14:paraId="76EC6951" w14:textId="082EA7A3" w:rsidR="00CA062D" w:rsidRPr="00CB4E50" w:rsidRDefault="00CA062D" w:rsidP="005C5328">
                      <w:pPr>
                        <w:pStyle w:val="BulletTwo"/>
                      </w:pPr>
                      <w:r w:rsidRPr="00CB4E50">
                        <w:t>School Games has over 1</w:t>
                      </w:r>
                      <w:r>
                        <w:t>3</w:t>
                      </w:r>
                      <w:r w:rsidRPr="00CB4E50">
                        <w:t>,</w:t>
                      </w:r>
                      <w:r>
                        <w:t>600</w:t>
                      </w:r>
                      <w:r w:rsidRPr="00CB4E50">
                        <w:t xml:space="preserve"> schools registered and 31 competition formats at intra-school and inter-school level developed.</w:t>
                      </w:r>
                    </w:p>
                    <w:p w14:paraId="76EC6952" w14:textId="77777777" w:rsidR="00CA062D" w:rsidRPr="00CB4E50" w:rsidRDefault="00CA062D" w:rsidP="005C5328">
                      <w:pPr>
                        <w:pStyle w:val="BulletTwo"/>
                        <w:rPr>
                          <w:rFonts w:cstheme="minorHAnsi"/>
                          <w:lang w:val="en-US"/>
                        </w:rPr>
                      </w:pPr>
                      <w:r w:rsidRPr="00CB4E50">
                        <w:rPr>
                          <w:rFonts w:cstheme="minorHAnsi"/>
                          <w:lang w:val="en-US"/>
                        </w:rPr>
                        <w:t>Change4Life Sports Clubs has reported over 61,000 young people participating with 90% of these choosing to play sport every week at the end of the first year.</w:t>
                      </w:r>
                    </w:p>
                    <w:p w14:paraId="76EC6953" w14:textId="00E1D775" w:rsidR="00CA062D" w:rsidRPr="00CB4E50" w:rsidRDefault="00CA062D" w:rsidP="00F75B51">
                      <w:pPr>
                        <w:pStyle w:val="BulletTwo"/>
                        <w:spacing w:after="120"/>
                      </w:pPr>
                      <w:r w:rsidRPr="00CB4E50">
                        <w:t xml:space="preserve">Sport Makers has registered approximately </w:t>
                      </w:r>
                      <w:r>
                        <w:t>33</w:t>
                      </w:r>
                      <w:r w:rsidRPr="00CB4E50">
                        <w:t>,000 volunteers throughout England.</w:t>
                      </w:r>
                    </w:p>
                    <w:p w14:paraId="76EC6954" w14:textId="17F93205" w:rsidR="00CA062D" w:rsidRPr="00CB4E50" w:rsidRDefault="00CA062D" w:rsidP="005C5328">
                      <w:pPr>
                        <w:pStyle w:val="BulletOne"/>
                        <w:numPr>
                          <w:ilvl w:val="0"/>
                          <w:numId w:val="47"/>
                        </w:numPr>
                        <w:spacing w:before="40"/>
                        <w:rPr>
                          <w:szCs w:val="22"/>
                        </w:rPr>
                      </w:pPr>
                      <w:r w:rsidRPr="00CB4E50">
                        <w:rPr>
                          <w:szCs w:val="22"/>
                        </w:rPr>
                        <w:t xml:space="preserve">There has been significant investment in facilities both for staging the Games themselves and for hosting Pre-Games Training Camps (PGTCs) around the country. </w:t>
                      </w:r>
                    </w:p>
                    <w:p w14:paraId="76EC6955" w14:textId="77777777" w:rsidR="00CA062D" w:rsidRPr="00CB4E50" w:rsidRDefault="00CA062D" w:rsidP="00657D47">
                      <w:pPr>
                        <w:pStyle w:val="BulletOne"/>
                        <w:numPr>
                          <w:ilvl w:val="0"/>
                          <w:numId w:val="47"/>
                        </w:numPr>
                        <w:spacing w:before="40"/>
                        <w:ind w:left="341" w:hanging="341"/>
                        <w:rPr>
                          <w:szCs w:val="22"/>
                        </w:rPr>
                      </w:pPr>
                      <w:r w:rsidRPr="00CB4E50">
                        <w:rPr>
                          <w:szCs w:val="22"/>
                        </w:rPr>
                        <w:t>Team GB and Paralympics GB both finished in 3</w:t>
                      </w:r>
                      <w:r w:rsidRPr="00CB4E50">
                        <w:rPr>
                          <w:szCs w:val="22"/>
                          <w:vertAlign w:val="superscript"/>
                        </w:rPr>
                        <w:t>rd</w:t>
                      </w:r>
                      <w:r w:rsidRPr="00CB4E50">
                        <w:rPr>
                          <w:szCs w:val="22"/>
                        </w:rPr>
                        <w:t xml:space="preserve"> place in the medals table at London 2012 for the Olympic and Paralympic Games respectively, both </w:t>
                      </w:r>
                      <w:r w:rsidRPr="00CB4E50">
                        <w:rPr>
                          <w:szCs w:val="22"/>
                          <w:lang w:eastAsia="en-GB"/>
                        </w:rPr>
                        <w:t>exceeding their medal targets</w:t>
                      </w:r>
                      <w:r w:rsidRPr="00CB4E50">
                        <w:rPr>
                          <w:szCs w:val="22"/>
                        </w:rPr>
                        <w:t>.</w:t>
                      </w:r>
                    </w:p>
                    <w:p w14:paraId="76EC6956" w14:textId="52D1AEB6" w:rsidR="00CA062D" w:rsidRPr="00CB4E50" w:rsidRDefault="00CA062D" w:rsidP="005C5328">
                      <w:pPr>
                        <w:pStyle w:val="BulletOne"/>
                        <w:numPr>
                          <w:ilvl w:val="0"/>
                          <w:numId w:val="47"/>
                        </w:numPr>
                        <w:spacing w:before="40"/>
                        <w:rPr>
                          <w:szCs w:val="22"/>
                        </w:rPr>
                      </w:pPr>
                      <w:r w:rsidRPr="00CB4E50">
                        <w:rPr>
                          <w:szCs w:val="22"/>
                        </w:rPr>
                        <w:t>International Inspiration reached 12 million children by July 2011, with a range of participation and other opportunities provided to these children in 20 countries. Over 270 UK schools were linked to partner schools around the world.</w:t>
                      </w:r>
                    </w:p>
                    <w:p w14:paraId="76EC6957" w14:textId="77777777" w:rsidR="00CA062D" w:rsidRPr="000B3FB0" w:rsidRDefault="00CA062D" w:rsidP="005C5328">
                      <w:pPr>
                        <w:pStyle w:val="BulletOne"/>
                        <w:numPr>
                          <w:ilvl w:val="0"/>
                          <w:numId w:val="0"/>
                        </w:numPr>
                        <w:ind w:left="340"/>
                        <w:rPr>
                          <w:color w:val="FF0000"/>
                          <w:szCs w:val="22"/>
                        </w:rPr>
                      </w:pPr>
                    </w:p>
                  </w:txbxContent>
                </v:textbox>
                <w10:anchorlock/>
              </v:shape>
            </w:pict>
          </mc:Fallback>
        </mc:AlternateContent>
      </w:r>
    </w:p>
    <w:p w14:paraId="76EC66B3" w14:textId="77777777" w:rsidR="0068495A" w:rsidRDefault="0068495A" w:rsidP="002C7D43">
      <w:r w:rsidRPr="006C7824">
        <w:t>The legacy plans in the sport theme centre on harnessing the UK's passion for sport and</w:t>
      </w:r>
      <w:r>
        <w:t xml:space="preserve"> encouraging physical activity. Early evidence suggests that the Games </w:t>
      </w:r>
      <w:proofErr w:type="gramStart"/>
      <w:r>
        <w:t>has</w:t>
      </w:r>
      <w:proofErr w:type="gramEnd"/>
      <w:r>
        <w:t xml:space="preserve"> had a positive impact on sports participation and elite performance.</w:t>
      </w:r>
    </w:p>
    <w:p w14:paraId="76EC66B4" w14:textId="77777777" w:rsidR="002C7D43" w:rsidRDefault="002C7D43" w:rsidP="00D9469D">
      <w:pPr>
        <w:pStyle w:val="Heading2"/>
      </w:pPr>
      <w:r w:rsidRPr="00DB6D75">
        <w:t>Participation</w:t>
      </w:r>
    </w:p>
    <w:p w14:paraId="76EC66B5" w14:textId="77777777" w:rsidR="002C7D43" w:rsidRDefault="002C7D43" w:rsidP="002C7D43">
      <w:r w:rsidRPr="005539C2">
        <w:t xml:space="preserve">The key legacy promises in relation to </w:t>
      </w:r>
      <w:r>
        <w:t>participation</w:t>
      </w:r>
      <w:r w:rsidRPr="005539C2">
        <w:t xml:space="preserve"> are to increase grassroots participation, particularly amongst young people, and to encourage the whole population to be more physically active.</w:t>
      </w:r>
      <w:r w:rsidRPr="005539C2">
        <w:rPr>
          <w:rStyle w:val="FootnoteReference"/>
        </w:rPr>
        <w:footnoteReference w:id="3"/>
      </w:r>
      <w:r>
        <w:t xml:space="preserve"> T</w:t>
      </w:r>
      <w:r w:rsidRPr="005539C2">
        <w:t xml:space="preserve">he share of lottery funding into community sport </w:t>
      </w:r>
      <w:r>
        <w:t>h</w:t>
      </w:r>
      <w:r w:rsidRPr="005539C2">
        <w:t xml:space="preserve">as </w:t>
      </w:r>
      <w:r>
        <w:t xml:space="preserve">been increased to support achievement of these objectives, with </w:t>
      </w:r>
      <w:r w:rsidRPr="005539C2">
        <w:t xml:space="preserve">specific legacy programmes and initiatives funded. </w:t>
      </w:r>
    </w:p>
    <w:p w14:paraId="76EC66B6" w14:textId="4CEFAA2C" w:rsidR="002C7D43" w:rsidRPr="005539C2" w:rsidRDefault="002C7D43" w:rsidP="002C7D43">
      <w:r w:rsidRPr="005539C2">
        <w:t>Key participation legacy programmes include</w:t>
      </w:r>
      <w:r>
        <w:t xml:space="preserve"> </w:t>
      </w:r>
      <w:r w:rsidR="009B4D86">
        <w:t>Places People Play and the School Games.</w:t>
      </w:r>
      <w:r w:rsidR="00AD6D18">
        <w:t xml:space="preserve"> </w:t>
      </w:r>
      <w:r w:rsidR="00A71237">
        <w:t>T</w:t>
      </w:r>
      <w:r>
        <w:t>he £15</w:t>
      </w:r>
      <w:r w:rsidR="00AD6D18">
        <w:t>0</w:t>
      </w:r>
      <w:r>
        <w:t xml:space="preserve"> million Lottery-funded </w:t>
      </w:r>
      <w:r w:rsidR="00A71237">
        <w:t xml:space="preserve">initiative </w:t>
      </w:r>
      <w:r w:rsidR="009B4D86">
        <w:t xml:space="preserve">Places </w:t>
      </w:r>
      <w:r w:rsidR="009907C8">
        <w:t xml:space="preserve">People </w:t>
      </w:r>
      <w:r w:rsidR="009B4D86">
        <w:t>Play</w:t>
      </w:r>
      <w:r w:rsidR="009B4D86">
        <w:rPr>
          <w:rStyle w:val="FootnoteReference"/>
        </w:rPr>
        <w:footnoteReference w:id="4"/>
      </w:r>
      <w:r w:rsidR="009B4D86">
        <w:t xml:space="preserve"> </w:t>
      </w:r>
      <w:r w:rsidR="00A71237">
        <w:t>was launched in November 2010</w:t>
      </w:r>
      <w:r w:rsidR="009B4D86">
        <w:t xml:space="preserve"> and</w:t>
      </w:r>
      <w:r w:rsidR="00AD6D18">
        <w:t xml:space="preserve"> </w:t>
      </w:r>
      <w:r w:rsidR="004E640F">
        <w:t xml:space="preserve">was </w:t>
      </w:r>
      <w:r>
        <w:t xml:space="preserve">designed to increase participation through a range of initiatives such as </w:t>
      </w:r>
      <w:proofErr w:type="spellStart"/>
      <w:r>
        <w:t>Sportivate</w:t>
      </w:r>
      <w:proofErr w:type="spellEnd"/>
      <w:r w:rsidR="000B52D0">
        <w:t>, a programme to provide 14-25 year olds with coaching in a sport of their choice,</w:t>
      </w:r>
      <w:r>
        <w:t xml:space="preserve"> and Gold Challenge</w:t>
      </w:r>
      <w:r w:rsidR="00963092">
        <w:t>,</w:t>
      </w:r>
      <w:r w:rsidR="000B52D0">
        <w:t xml:space="preserve"> an initiative to motivate people to get involved in Olympic and Paralympic sports </w:t>
      </w:r>
      <w:r w:rsidR="000B52D0">
        <w:lastRenderedPageBreak/>
        <w:t>and raise money for charity,</w:t>
      </w:r>
      <w:r w:rsidR="00963092">
        <w:t xml:space="preserve"> whilst </w:t>
      </w:r>
      <w:r w:rsidR="00AD6D18">
        <w:t>the</w:t>
      </w:r>
      <w:r w:rsidR="009B4D86">
        <w:t xml:space="preserve"> </w:t>
      </w:r>
      <w:r>
        <w:t>School Games</w:t>
      </w:r>
      <w:r w:rsidR="00963092">
        <w:t xml:space="preserve"> aims to increase competition </w:t>
      </w:r>
      <w:r w:rsidR="002974A2">
        <w:t xml:space="preserve">across </w:t>
      </w:r>
      <w:r w:rsidR="00963092">
        <w:t>four levels.</w:t>
      </w:r>
      <w:r w:rsidR="009B4D86">
        <w:rPr>
          <w:rStyle w:val="FootnoteReference"/>
        </w:rPr>
        <w:footnoteReference w:id="5"/>
      </w:r>
      <w:r>
        <w:t xml:space="preserve"> </w:t>
      </w:r>
    </w:p>
    <w:p w14:paraId="4B73AED8" w14:textId="43EEEF1D" w:rsidR="009B4D86" w:rsidRDefault="009B4D86" w:rsidP="00ED0A12">
      <w:r>
        <w:t>Before being discontinued, the Physical Education and Sport Strategy for Young People (PESSYP), which was jointly led by DCMS and the Department for Education, contributed to participation, elite sport and (soft) infrastructure objectives.</w:t>
      </w:r>
      <w:r w:rsidR="00B73D10">
        <w:t xml:space="preserve"> </w:t>
      </w:r>
      <w:r w:rsidRPr="00B26827">
        <w:t xml:space="preserve">PESSYP began as a national initiative in 2002 but was subsequently harnessed to meet 2012 Games objectives with additional funding of £100 million </w:t>
      </w:r>
      <w:r>
        <w:t xml:space="preserve">over the </w:t>
      </w:r>
      <w:r w:rsidRPr="00B26827">
        <w:t>2008/9 to 2010/11</w:t>
      </w:r>
      <w:r>
        <w:t xml:space="preserve"> period</w:t>
      </w:r>
      <w:r w:rsidRPr="00B26827">
        <w:t>.</w:t>
      </w:r>
    </w:p>
    <w:p w14:paraId="37C041CB" w14:textId="677AF64C" w:rsidR="004E71DD" w:rsidRDefault="002C7D43" w:rsidP="005152F7">
      <w:r>
        <w:t xml:space="preserve">Places People Play (through </w:t>
      </w:r>
      <w:proofErr w:type="spellStart"/>
      <w:r>
        <w:t>Sportivate</w:t>
      </w:r>
      <w:proofErr w:type="spellEnd"/>
      <w:r>
        <w:t>) has provided participation opportunities to almost 100,000 young people and is on target to achieve the milestones set</w:t>
      </w:r>
      <w:r w:rsidR="00ED0A12">
        <w:t>.</w:t>
      </w:r>
      <w:r>
        <w:t xml:space="preserve"> </w:t>
      </w:r>
      <w:r w:rsidR="004E71DD">
        <w:t xml:space="preserve">The first year </w:t>
      </w:r>
      <w:r w:rsidR="006B5862">
        <w:t xml:space="preserve">of the </w:t>
      </w:r>
      <w:proofErr w:type="spellStart"/>
      <w:r w:rsidR="004E71DD">
        <w:t>Sportivate</w:t>
      </w:r>
      <w:proofErr w:type="spellEnd"/>
      <w:r w:rsidR="004E71DD">
        <w:t xml:space="preserve"> </w:t>
      </w:r>
      <w:r w:rsidR="00073AFC">
        <w:t xml:space="preserve">evaluation </w:t>
      </w:r>
      <w:r w:rsidR="004E71DD">
        <w:t xml:space="preserve">(to March 2012) indicates </w:t>
      </w:r>
      <w:r w:rsidR="004E71DD" w:rsidRPr="004E71DD">
        <w:t>that</w:t>
      </w:r>
      <w:r w:rsidR="00CB4E50">
        <w:t>,</w:t>
      </w:r>
      <w:r w:rsidR="004E71DD" w:rsidRPr="004E71DD">
        <w:t xml:space="preserve"> </w:t>
      </w:r>
      <w:r w:rsidR="00116A75">
        <w:t xml:space="preserve">by providing opportunities to nearly 100,000 young people, </w:t>
      </w:r>
      <w:proofErr w:type="spellStart"/>
      <w:r w:rsidR="00CB4E50" w:rsidRPr="004E71DD">
        <w:t>Sportivate</w:t>
      </w:r>
      <w:proofErr w:type="spellEnd"/>
      <w:r w:rsidR="00CB4E50">
        <w:t xml:space="preserve"> </w:t>
      </w:r>
      <w:r w:rsidR="00116A75">
        <w:t xml:space="preserve">is </w:t>
      </w:r>
      <w:r w:rsidR="004E71DD" w:rsidRPr="004E71DD">
        <w:t>increasing participation levels among the young people it reaches</w:t>
      </w:r>
      <w:r w:rsidR="00116A75">
        <w:t xml:space="preserve">. </w:t>
      </w:r>
      <w:proofErr w:type="spellStart"/>
      <w:r w:rsidR="00BC4072" w:rsidRPr="004E71DD">
        <w:t>Sportivate</w:t>
      </w:r>
      <w:proofErr w:type="spellEnd"/>
      <w:r w:rsidR="00BC4072">
        <w:t xml:space="preserve"> </w:t>
      </w:r>
      <w:r w:rsidR="00116A75">
        <w:t>is</w:t>
      </w:r>
      <w:r w:rsidR="00466FAB">
        <w:t xml:space="preserve"> also</w:t>
      </w:r>
      <w:r w:rsidR="00116A75">
        <w:t>:</w:t>
      </w:r>
      <w:r w:rsidR="004E71DD" w:rsidRPr="004E71DD">
        <w:t xml:space="preserve"> </w:t>
      </w:r>
    </w:p>
    <w:p w14:paraId="0777EA7E" w14:textId="2AD04381" w:rsidR="004E71DD" w:rsidRDefault="00CB4E50" w:rsidP="00657D47">
      <w:pPr>
        <w:pStyle w:val="BulletOne"/>
      </w:pPr>
      <w:r>
        <w:t>H</w:t>
      </w:r>
      <w:r w:rsidR="004E71DD" w:rsidRPr="004E71DD">
        <w:t xml:space="preserve">elping to keep </w:t>
      </w:r>
      <w:r w:rsidR="000E22A8">
        <w:t xml:space="preserve">young </w:t>
      </w:r>
      <w:r w:rsidR="004E71DD" w:rsidRPr="004E71DD">
        <w:t>people</w:t>
      </w:r>
      <w:r w:rsidR="00116A75">
        <w:t xml:space="preserve"> </w:t>
      </w:r>
      <w:r w:rsidR="004E71DD" w:rsidRPr="004E71DD">
        <w:t>involved in sport</w:t>
      </w:r>
      <w:r w:rsidR="004E71DD">
        <w:t xml:space="preserve">: </w:t>
      </w:r>
      <w:r w:rsidR="00116A75" w:rsidRPr="00116A75">
        <w:t xml:space="preserve">81.7% </w:t>
      </w:r>
      <w:r w:rsidR="00466FAB">
        <w:t xml:space="preserve">of participants </w:t>
      </w:r>
      <w:r w:rsidR="00116A75" w:rsidRPr="00116A75">
        <w:t xml:space="preserve">completed at least </w:t>
      </w:r>
      <w:r w:rsidR="004E5533">
        <w:t>all but one</w:t>
      </w:r>
      <w:r w:rsidR="00116A75" w:rsidRPr="00116A75">
        <w:t xml:space="preserve"> session </w:t>
      </w:r>
      <w:r w:rsidR="004E71DD">
        <w:t xml:space="preserve">and </w:t>
      </w:r>
      <w:r w:rsidR="004E71DD" w:rsidRPr="004E71DD">
        <w:t xml:space="preserve">88.9% of </w:t>
      </w:r>
      <w:r w:rsidR="00116A75">
        <w:t>those</w:t>
      </w:r>
      <w:r w:rsidR="004E71DD" w:rsidRPr="004E71DD">
        <w:t xml:space="preserve"> were still taking part in sport 90 days from the end of the </w:t>
      </w:r>
      <w:proofErr w:type="spellStart"/>
      <w:r w:rsidR="004E71DD" w:rsidRPr="004E71DD">
        <w:t>Sportivate</w:t>
      </w:r>
      <w:proofErr w:type="spellEnd"/>
      <w:r w:rsidR="004E71DD" w:rsidRPr="004E71DD">
        <w:t xml:space="preserve"> sessions</w:t>
      </w:r>
      <w:r w:rsidR="001F6371">
        <w:t>;</w:t>
      </w:r>
    </w:p>
    <w:p w14:paraId="4EEFAC61" w14:textId="3B634590" w:rsidR="004E71DD" w:rsidRPr="004E71DD" w:rsidRDefault="00CB4E50" w:rsidP="00657D47">
      <w:pPr>
        <w:pStyle w:val="BulletOne"/>
      </w:pPr>
      <w:r>
        <w:t>R</w:t>
      </w:r>
      <w:r w:rsidR="004E71DD" w:rsidRPr="004E71DD">
        <w:t xml:space="preserve">educing the number </w:t>
      </w:r>
      <w:r w:rsidR="00466FAB">
        <w:t xml:space="preserve">of young people </w:t>
      </w:r>
      <w:r w:rsidR="004E71DD" w:rsidRPr="004E71DD">
        <w:t>who do no sport at all</w:t>
      </w:r>
      <w:r w:rsidR="004E71DD">
        <w:t xml:space="preserve"> </w:t>
      </w:r>
      <w:r w:rsidR="00466FAB">
        <w:t xml:space="preserve">to 2.1% of </w:t>
      </w:r>
      <w:proofErr w:type="spellStart"/>
      <w:r w:rsidR="001F6371">
        <w:t>Sportivate</w:t>
      </w:r>
      <w:proofErr w:type="spellEnd"/>
      <w:r w:rsidR="001F6371">
        <w:t xml:space="preserve"> </w:t>
      </w:r>
      <w:r w:rsidR="00466FAB">
        <w:t xml:space="preserve">participants, down from </w:t>
      </w:r>
      <w:r w:rsidR="004E71DD" w:rsidRPr="004E71DD">
        <w:t>9.9%.</w:t>
      </w:r>
    </w:p>
    <w:p w14:paraId="76EC66B7" w14:textId="6C40DE88" w:rsidR="002C7D43" w:rsidRDefault="00BB67A2" w:rsidP="002C7D43">
      <w:r>
        <w:t>The</w:t>
      </w:r>
      <w:r w:rsidR="002C7D43">
        <w:t xml:space="preserve"> School Games ha</w:t>
      </w:r>
      <w:r w:rsidR="00A71237">
        <w:t>d</w:t>
      </w:r>
      <w:r w:rsidR="002C7D43">
        <w:t xml:space="preserve"> over 1</w:t>
      </w:r>
      <w:r w:rsidR="004E5533">
        <w:t>3</w:t>
      </w:r>
      <w:r w:rsidR="002C7D43">
        <w:t>,</w:t>
      </w:r>
      <w:r w:rsidR="004E5533">
        <w:t>6</w:t>
      </w:r>
      <w:r w:rsidR="00CA31A4">
        <w:t>00</w:t>
      </w:r>
      <w:r w:rsidR="002C7D43">
        <w:t xml:space="preserve"> schools registered</w:t>
      </w:r>
      <w:r w:rsidR="00A71237">
        <w:t xml:space="preserve"> by May 2012</w:t>
      </w:r>
      <w:r w:rsidR="002C7D43">
        <w:t>, exceeding the target of 12,000, and 31 competition formats at intra-school and inter-school level. These impacts are realised regionally, with schools from throughout England registered. Level 4 of School Games, a national multi-sport event aimed at the most talented young people</w:t>
      </w:r>
      <w:r w:rsidR="000E22A8">
        <w:t>,</w:t>
      </w:r>
      <w:r w:rsidR="002C7D43">
        <w:t xml:space="preserve"> </w:t>
      </w:r>
      <w:r>
        <w:t>involves</w:t>
      </w:r>
      <w:r w:rsidR="002C7D43">
        <w:t xml:space="preserve"> the nations as well. </w:t>
      </w:r>
    </w:p>
    <w:p w14:paraId="76EC66B8" w14:textId="0FA5F7E0" w:rsidR="002C7D43" w:rsidRDefault="002C7D43" w:rsidP="002C7D43">
      <w:r>
        <w:t>Premier League 4 Sport, a £5</w:t>
      </w:r>
      <w:r w:rsidRPr="009109C4">
        <w:t xml:space="preserve">.8 million partnership with </w:t>
      </w:r>
      <w:r w:rsidR="000E22A8">
        <w:t xml:space="preserve">the </w:t>
      </w:r>
      <w:r w:rsidRPr="009109C4">
        <w:t>Premier League working with the Youth Sport Trust and Sport England, aims to get young people to join local sports clubs</w:t>
      </w:r>
      <w:r w:rsidR="00877902">
        <w:t xml:space="preserve">. The legacy initiative </w:t>
      </w:r>
      <w:r>
        <w:t>has provided participation opportunities to young people, with 43,000 young people engaged by Premier League 4 Sport, almost double its target. The programme has been extended in duration and</w:t>
      </w:r>
      <w:r w:rsidR="004E640F">
        <w:t xml:space="preserve"> to</w:t>
      </w:r>
      <w:r>
        <w:t xml:space="preserve"> incorporate additional sports. In</w:t>
      </w:r>
      <w:r w:rsidR="00963092">
        <w:t xml:space="preserve"> terms of outputs, </w:t>
      </w:r>
      <w:r>
        <w:t xml:space="preserve">63% of young people that were engaged were then retained (at least 5 sessions per term), with 27% of young people sustained (at least 10 sessions </w:t>
      </w:r>
      <w:r w:rsidR="004E5533">
        <w:t xml:space="preserve">over two </w:t>
      </w:r>
      <w:r>
        <w:t>term</w:t>
      </w:r>
      <w:r w:rsidR="004E5533">
        <w:t>s</w:t>
      </w:r>
      <w:r>
        <w:t>).</w:t>
      </w:r>
    </w:p>
    <w:p w14:paraId="76EC66B9" w14:textId="71FACEF1" w:rsidR="002C7D43" w:rsidRDefault="002C7D43" w:rsidP="002C7D43">
      <w:r>
        <w:t>Inspire</w:t>
      </w:r>
      <w:r w:rsidR="004E640F">
        <w:t>,</w:t>
      </w:r>
      <w:r>
        <w:t xml:space="preserve"> which </w:t>
      </w:r>
      <w:r w:rsidRPr="002E7B96">
        <w:t>enables non-commercial organisations across the UK to link their events and projects to the 2012 Games in an official scope</w:t>
      </w:r>
      <w:r w:rsidR="004E640F">
        <w:t>,</w:t>
      </w:r>
      <w:r>
        <w:t xml:space="preserve"> and Legacy Trust, a charity set up to use the 2012 Games as a catalyst to fund projects which enable communities across the UK to take part in cultural and sporting activities, have also provided opportunities for increased participation.</w:t>
      </w:r>
      <w:r w:rsidR="00AE6304">
        <w:t xml:space="preserve"> Of the 2,713 Inspire projects, 43% (1,172) have been sport-related, with these projects taking place across the nations and regions of the UK.</w:t>
      </w:r>
    </w:p>
    <w:p w14:paraId="76EC66BA" w14:textId="4A4C68CB" w:rsidR="002C7D43" w:rsidRDefault="002C7D43" w:rsidP="002C7D43">
      <w:r w:rsidRPr="005B0764">
        <w:t>Other legacy programmes</w:t>
      </w:r>
      <w:r>
        <w:t>, such as Change4Life Sports Clubs</w:t>
      </w:r>
      <w:r>
        <w:rPr>
          <w:rStyle w:val="FootnoteReference"/>
        </w:rPr>
        <w:footnoteReference w:id="6"/>
      </w:r>
      <w:r>
        <w:t>, Walk4Life</w:t>
      </w:r>
      <w:r>
        <w:rPr>
          <w:rStyle w:val="FootnoteReference"/>
        </w:rPr>
        <w:footnoteReference w:id="7"/>
      </w:r>
      <w:r>
        <w:t xml:space="preserve"> and Games4Life</w:t>
      </w:r>
      <w:r>
        <w:rPr>
          <w:rStyle w:val="FootnoteReference"/>
        </w:rPr>
        <w:footnoteReference w:id="8"/>
      </w:r>
      <w:r>
        <w:t>,</w:t>
      </w:r>
      <w:r w:rsidR="00B73D10">
        <w:t xml:space="preserve"> </w:t>
      </w:r>
      <w:r w:rsidRPr="005B0764">
        <w:t xml:space="preserve">have </w:t>
      </w:r>
      <w:r>
        <w:t xml:space="preserve">also </w:t>
      </w:r>
      <w:r w:rsidRPr="005B0764">
        <w:t xml:space="preserve">facilitated participation in sport and physical activity, with </w:t>
      </w:r>
      <w:r>
        <w:t xml:space="preserve">interim evaluation evidence indicating that this </w:t>
      </w:r>
      <w:r w:rsidRPr="005B0764">
        <w:t xml:space="preserve">participation </w:t>
      </w:r>
      <w:r>
        <w:t>is</w:t>
      </w:r>
      <w:r w:rsidRPr="005B0764">
        <w:t xml:space="preserve"> </w:t>
      </w:r>
      <w:r>
        <w:t xml:space="preserve">being </w:t>
      </w:r>
      <w:r w:rsidRPr="005B0764">
        <w:t>sustained.</w:t>
      </w:r>
      <w:r>
        <w:t xml:space="preserve"> Walk4Life Miles </w:t>
      </w:r>
      <w:r w:rsidR="004E640F">
        <w:t>reports</w:t>
      </w:r>
      <w:r>
        <w:t xml:space="preserve"> </w:t>
      </w:r>
      <w:r>
        <w:rPr>
          <w:rFonts w:cstheme="minorHAnsi"/>
          <w:color w:val="000000"/>
          <w:lang w:val="en-US"/>
        </w:rPr>
        <w:t xml:space="preserve">that physical activity levels increased by </w:t>
      </w:r>
      <w:r w:rsidR="00545152">
        <w:t>0.73 days a week of moderate physical activity for more than 30 minutes for users</w:t>
      </w:r>
      <w:r>
        <w:rPr>
          <w:rFonts w:cstheme="minorHAnsi"/>
          <w:color w:val="000000"/>
          <w:lang w:val="en-US"/>
        </w:rPr>
        <w:t xml:space="preserve"> registered more than 90 days and Change4Life Sports Clubs </w:t>
      </w:r>
      <w:r w:rsidR="004E640F">
        <w:rPr>
          <w:rFonts w:cstheme="minorHAnsi"/>
          <w:color w:val="000000"/>
          <w:lang w:val="en-US"/>
        </w:rPr>
        <w:t>reports</w:t>
      </w:r>
      <w:r>
        <w:rPr>
          <w:rFonts w:cstheme="minorHAnsi"/>
          <w:color w:val="000000"/>
          <w:lang w:val="en-US"/>
        </w:rPr>
        <w:t xml:space="preserve"> over </w:t>
      </w:r>
      <w:r>
        <w:rPr>
          <w:rFonts w:cstheme="minorHAnsi"/>
          <w:color w:val="000000"/>
          <w:lang w:val="en-US"/>
        </w:rPr>
        <w:lastRenderedPageBreak/>
        <w:t>61,000 young people participating with 90% of these choosing to play sport every week at the end of the first year (an increase of 40% when compared to data obtained when joining up).</w:t>
      </w:r>
    </w:p>
    <w:p w14:paraId="76EC66BB" w14:textId="77777777" w:rsidR="002C7D43" w:rsidRDefault="002C7D43" w:rsidP="002C7D43">
      <w:r>
        <w:t>Building on PESSYP and other initiatives, and with School Games running until 2015, it seems likely on-going competitive opportunities for young people will be provided.</w:t>
      </w:r>
    </w:p>
    <w:p w14:paraId="6E7D8EDC" w14:textId="7672B530" w:rsidR="00CF75C5" w:rsidRDefault="00963092" w:rsidP="002C7D43">
      <w:r>
        <w:t>T</w:t>
      </w:r>
      <w:r w:rsidR="002C7D43">
        <w:t xml:space="preserve">hese initiatives may be impacting on general participation trends. </w:t>
      </w:r>
      <w:r w:rsidR="004A3AA3">
        <w:t>According to the Taking Part survey</w:t>
      </w:r>
      <w:r w:rsidR="004A3AA3">
        <w:rPr>
          <w:rStyle w:val="FootnoteReference"/>
        </w:rPr>
        <w:footnoteReference w:id="9"/>
      </w:r>
      <w:r w:rsidR="004A3AA3">
        <w:t xml:space="preserve">, </w:t>
      </w:r>
      <w:r w:rsidR="00925CC9">
        <w:t xml:space="preserve">adult </w:t>
      </w:r>
      <w:r w:rsidR="002C7D43">
        <w:t xml:space="preserve">participation levels </w:t>
      </w:r>
      <w:r w:rsidR="004814A1">
        <w:t>have increased</w:t>
      </w:r>
      <w:r w:rsidR="004A3AA3">
        <w:t xml:space="preserve"> over the 2005/06 to 201</w:t>
      </w:r>
      <w:r w:rsidR="004E5533">
        <w:t>1</w:t>
      </w:r>
      <w:r w:rsidR="004A3AA3">
        <w:t>/1</w:t>
      </w:r>
      <w:r w:rsidR="004E5533">
        <w:t>2</w:t>
      </w:r>
      <w:r w:rsidR="004A3AA3">
        <w:t xml:space="preserve"> period</w:t>
      </w:r>
      <w:r w:rsidR="00CF75C5">
        <w:t>, particularly over the past year</w:t>
      </w:r>
      <w:r w:rsidR="004A3AA3">
        <w:t>:</w:t>
      </w:r>
      <w:r w:rsidR="002C7D43">
        <w:t xml:space="preserve"> </w:t>
      </w:r>
    </w:p>
    <w:p w14:paraId="312D5CBD" w14:textId="046D6013" w:rsidR="00CF75C5" w:rsidRDefault="004814A1" w:rsidP="00CF75C5">
      <w:pPr>
        <w:pStyle w:val="BulletOne"/>
      </w:pPr>
      <w:r w:rsidRPr="004814A1">
        <w:t>The proportion of people taking part in sport regularly in England (at least one 30 minute session of moderate intensity sport in the last week) increased from 41.2%</w:t>
      </w:r>
      <w:r w:rsidR="004A3AA3">
        <w:t xml:space="preserve"> in 2005/06 to 43.8% in 2011/12;</w:t>
      </w:r>
    </w:p>
    <w:p w14:paraId="43A2BCBA" w14:textId="23AA8E7D" w:rsidR="00CF75C5" w:rsidRDefault="00CF75C5" w:rsidP="00CF75C5">
      <w:pPr>
        <w:pStyle w:val="BulletOne"/>
      </w:pPr>
      <w:r>
        <w:t>A</w:t>
      </w:r>
      <w:r w:rsidR="00563F7D">
        <w:t xml:space="preserve">ctive sport </w:t>
      </w:r>
      <w:r w:rsidR="002C7D43">
        <w:t>participation</w:t>
      </w:r>
      <w:r w:rsidR="00563F7D">
        <w:t xml:space="preserve"> in the last 4 weeks</w:t>
      </w:r>
      <w:r>
        <w:t xml:space="preserve"> increased from 53.0% in 2010/11 to 55.2% in 2011/12, compared to a static trend over the 2005/6 to 2010/11 period</w:t>
      </w:r>
      <w:r w:rsidR="00963092">
        <w:t xml:space="preserve">. </w:t>
      </w:r>
    </w:p>
    <w:p w14:paraId="76EC66BC" w14:textId="552F112C" w:rsidR="002C7D43" w:rsidRDefault="00CF75C5" w:rsidP="00CF75C5">
      <w:r>
        <w:t xml:space="preserve">Taking Part </w:t>
      </w:r>
      <w:r w:rsidR="00563F7D">
        <w:t xml:space="preserve">also indicates </w:t>
      </w:r>
      <w:r w:rsidR="00F01DC6">
        <w:t>that 7.3%</w:t>
      </w:r>
      <w:r w:rsidR="00A25DDE">
        <w:t xml:space="preserve"> of those</w:t>
      </w:r>
      <w:r w:rsidR="00F01DC6">
        <w:t xml:space="preserve"> </w:t>
      </w:r>
      <w:r w:rsidR="00A25DDE">
        <w:t xml:space="preserve">participating in sport or recreational physical activity </w:t>
      </w:r>
      <w:r w:rsidR="00F01DC6">
        <w:t>have been motivated by the Games to do more</w:t>
      </w:r>
      <w:r w:rsidR="004814A1">
        <w:t>.</w:t>
      </w:r>
      <w:r w:rsidR="002C7D43">
        <w:t xml:space="preserve"> </w:t>
      </w:r>
    </w:p>
    <w:p w14:paraId="76EC66BD" w14:textId="4DAA8B3C" w:rsidR="002C7D43" w:rsidRDefault="00F13775" w:rsidP="002C7D43">
      <w:pPr>
        <w:pStyle w:val="Caption"/>
      </w:pPr>
      <w:r>
        <w:t xml:space="preserve">Figure </w:t>
      </w:r>
      <w:r w:rsidR="009B7975">
        <w:fldChar w:fldCharType="begin"/>
      </w:r>
      <w:r w:rsidR="009B7975">
        <w:instrText xml:space="preserve"> STYLEREF 1 \s </w:instrText>
      </w:r>
      <w:r w:rsidR="009B7975">
        <w:fldChar w:fldCharType="separate"/>
      </w:r>
      <w:r w:rsidR="003D22DB">
        <w:rPr>
          <w:noProof/>
        </w:rPr>
        <w:t>4</w:t>
      </w:r>
      <w:r w:rsidR="009B7975">
        <w:rPr>
          <w:noProof/>
        </w:rPr>
        <w:fldChar w:fldCharType="end"/>
      </w:r>
      <w:r>
        <w:noBreakHyphen/>
      </w:r>
      <w:r w:rsidR="009B7975">
        <w:fldChar w:fldCharType="begin"/>
      </w:r>
      <w:r w:rsidR="009B7975">
        <w:instrText xml:space="preserve"> SEQ Figure \* ARABIC \s 1 </w:instrText>
      </w:r>
      <w:r w:rsidR="009B7975">
        <w:fldChar w:fldCharType="separate"/>
      </w:r>
      <w:r w:rsidR="003D22DB">
        <w:rPr>
          <w:noProof/>
        </w:rPr>
        <w:t>1</w:t>
      </w:r>
      <w:r w:rsidR="009B7975">
        <w:rPr>
          <w:noProof/>
        </w:rPr>
        <w:fldChar w:fldCharType="end"/>
      </w:r>
      <w:r>
        <w:t>:</w:t>
      </w:r>
      <w:r w:rsidR="002C7D43">
        <w:t xml:space="preserve"> </w:t>
      </w:r>
      <w:r w:rsidR="00925CC9">
        <w:t>Adult s</w:t>
      </w:r>
      <w:r w:rsidR="002C7D43" w:rsidRPr="00F61E03">
        <w:t>port and physical activity participation (in England)</w:t>
      </w:r>
      <w:r w:rsidR="002C7D43" w:rsidRPr="005539C2">
        <w:t xml:space="preserve"> </w:t>
      </w:r>
    </w:p>
    <w:p w14:paraId="76EC66BE" w14:textId="3738455A" w:rsidR="002C7D43" w:rsidRPr="00762D09" w:rsidRDefault="00253D93" w:rsidP="00657D47">
      <w:pPr>
        <w:spacing w:after="0"/>
      </w:pPr>
      <w:r w:rsidRPr="00253D93">
        <w:rPr>
          <w:noProof/>
          <w:lang w:eastAsia="en-GB"/>
        </w:rPr>
        <w:drawing>
          <wp:inline distT="0" distB="0" distL="0" distR="0" wp14:anchorId="1FF78119" wp14:editId="5516D0E4">
            <wp:extent cx="4320000" cy="2520000"/>
            <wp:effectExtent l="0" t="0" r="444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2520000"/>
                    </a:xfrm>
                    <a:prstGeom prst="rect">
                      <a:avLst/>
                    </a:prstGeom>
                    <a:noFill/>
                    <a:ln>
                      <a:noFill/>
                    </a:ln>
                  </pic:spPr>
                </pic:pic>
              </a:graphicData>
            </a:graphic>
          </wp:inline>
        </w:drawing>
      </w:r>
    </w:p>
    <w:p w14:paraId="16A2A3F1" w14:textId="167C89D7" w:rsidR="00157588" w:rsidRPr="006230BE" w:rsidRDefault="002C7D43" w:rsidP="00085897">
      <w:pPr>
        <w:spacing w:before="0" w:after="0"/>
        <w:rPr>
          <w:i/>
          <w:sz w:val="18"/>
          <w:szCs w:val="18"/>
        </w:rPr>
      </w:pPr>
      <w:r w:rsidRPr="006230BE">
        <w:rPr>
          <w:i/>
          <w:sz w:val="18"/>
          <w:szCs w:val="18"/>
        </w:rPr>
        <w:t xml:space="preserve">Note: </w:t>
      </w:r>
      <w:r w:rsidR="00467529" w:rsidRPr="00467529">
        <w:rPr>
          <w:i/>
          <w:sz w:val="18"/>
          <w:szCs w:val="18"/>
        </w:rPr>
        <w:t>Active sport excludes recreational walking and cycling, which</w:t>
      </w:r>
      <w:r w:rsidR="002A073A">
        <w:rPr>
          <w:i/>
          <w:sz w:val="18"/>
          <w:szCs w:val="18"/>
        </w:rPr>
        <w:t xml:space="preserve"> are included in the 'intensity'</w:t>
      </w:r>
      <w:r w:rsidR="00467529" w:rsidRPr="00467529">
        <w:rPr>
          <w:i/>
          <w:sz w:val="18"/>
          <w:szCs w:val="18"/>
        </w:rPr>
        <w:t xml:space="preserve"> measures. There are also minor differences in the sports and recreational activities within the active sport and </w:t>
      </w:r>
      <w:r w:rsidR="002A073A">
        <w:rPr>
          <w:i/>
          <w:sz w:val="18"/>
          <w:szCs w:val="18"/>
        </w:rPr>
        <w:t>'</w:t>
      </w:r>
      <w:r w:rsidR="00467529" w:rsidRPr="00467529">
        <w:rPr>
          <w:i/>
          <w:sz w:val="18"/>
          <w:szCs w:val="18"/>
        </w:rPr>
        <w:t>intensity</w:t>
      </w:r>
      <w:r w:rsidR="002A073A">
        <w:rPr>
          <w:i/>
          <w:sz w:val="18"/>
          <w:szCs w:val="18"/>
        </w:rPr>
        <w:t>'</w:t>
      </w:r>
      <w:r w:rsidR="00467529" w:rsidRPr="00467529">
        <w:rPr>
          <w:i/>
          <w:sz w:val="18"/>
          <w:szCs w:val="18"/>
        </w:rPr>
        <w:t xml:space="preserve"> measures. Moderate intensity sport must b</w:t>
      </w:r>
      <w:r w:rsidR="002A073A">
        <w:rPr>
          <w:i/>
          <w:sz w:val="18"/>
          <w:szCs w:val="18"/>
        </w:rPr>
        <w:t>e continuous and raise a person'</w:t>
      </w:r>
      <w:r w:rsidR="00467529" w:rsidRPr="00467529">
        <w:rPr>
          <w:i/>
          <w:sz w:val="18"/>
          <w:szCs w:val="18"/>
        </w:rPr>
        <w:t>s heartbeat and breathing rate.</w:t>
      </w:r>
    </w:p>
    <w:p w14:paraId="65244EF0" w14:textId="1D8F23D9" w:rsidR="004814A1" w:rsidRDefault="002C7D43" w:rsidP="00085897">
      <w:pPr>
        <w:spacing w:before="0" w:after="0"/>
      </w:pPr>
      <w:r w:rsidRPr="006230BE">
        <w:rPr>
          <w:i/>
          <w:sz w:val="18"/>
          <w:szCs w:val="18"/>
        </w:rPr>
        <w:t xml:space="preserve">Source: Taking Part </w:t>
      </w:r>
      <w:r w:rsidR="008B124B">
        <w:rPr>
          <w:i/>
          <w:sz w:val="18"/>
          <w:szCs w:val="18"/>
        </w:rPr>
        <w:t>s</w:t>
      </w:r>
      <w:r w:rsidRPr="006230BE">
        <w:rPr>
          <w:i/>
          <w:sz w:val="18"/>
          <w:szCs w:val="18"/>
        </w:rPr>
        <w:t>urvey</w:t>
      </w:r>
      <w:r w:rsidR="009A43FF">
        <w:rPr>
          <w:i/>
          <w:sz w:val="18"/>
          <w:szCs w:val="18"/>
        </w:rPr>
        <w:t>.</w:t>
      </w:r>
    </w:p>
    <w:p w14:paraId="6ACAE46E" w14:textId="77777777" w:rsidR="004814A1" w:rsidRDefault="004814A1" w:rsidP="006230BE">
      <w:pPr>
        <w:spacing w:after="0"/>
      </w:pPr>
    </w:p>
    <w:p w14:paraId="76EC66C2" w14:textId="2CFE18C4" w:rsidR="002C7D43" w:rsidRDefault="00963092" w:rsidP="002C7D43">
      <w:r>
        <w:t>E</w:t>
      </w:r>
      <w:r w:rsidR="002C7D43">
        <w:t>valuations</w:t>
      </w:r>
      <w:r>
        <w:t xml:space="preserve"> </w:t>
      </w:r>
      <w:r w:rsidR="002C7D43">
        <w:t>of Places People Play and School Games</w:t>
      </w:r>
      <w:r>
        <w:t>, when available,</w:t>
      </w:r>
      <w:r w:rsidR="002C7D43">
        <w:t xml:space="preserve"> will provide further insight into the impact on participation. Monitoring of the longer term trends (through Taking Part for example) will indicate the extent to which increases in participation are being sustained and </w:t>
      </w:r>
      <w:r w:rsidR="002C7D43" w:rsidRPr="00C738B2">
        <w:t xml:space="preserve">whether there is any </w:t>
      </w:r>
      <w:r w:rsidR="002A073A">
        <w:t>'</w:t>
      </w:r>
      <w:r w:rsidR="002C7D43" w:rsidRPr="00C738B2">
        <w:t>Olympics boost</w:t>
      </w:r>
      <w:r w:rsidR="002A073A">
        <w:t>'</w:t>
      </w:r>
      <w:r w:rsidR="002C7D43" w:rsidRPr="00C738B2">
        <w:t xml:space="preserve"> from Games-time itself</w:t>
      </w:r>
      <w:r w:rsidR="002C7D43">
        <w:t xml:space="preserve">. </w:t>
      </w:r>
    </w:p>
    <w:p w14:paraId="76EC66C3" w14:textId="77777777" w:rsidR="002C7D43" w:rsidRDefault="002C7D43" w:rsidP="00D9469D">
      <w:pPr>
        <w:pStyle w:val="Heading2"/>
      </w:pPr>
      <w:r>
        <w:t>Infrastructure</w:t>
      </w:r>
    </w:p>
    <w:p w14:paraId="76EC66C4" w14:textId="77777777" w:rsidR="002C7D43" w:rsidRDefault="002C7D43" w:rsidP="002C7D43">
      <w:r>
        <w:t xml:space="preserve">To support participation, investments in infrastructure which will transform the </w:t>
      </w:r>
      <w:r w:rsidRPr="005539C2">
        <w:t>places where people play sport</w:t>
      </w:r>
      <w:r>
        <w:t xml:space="preserve"> and enable sport at a local level have been made throughout the UK. Significant </w:t>
      </w:r>
      <w:r w:rsidRPr="005539C2">
        <w:t>investment</w:t>
      </w:r>
      <w:r>
        <w:t xml:space="preserve">s have been made </w:t>
      </w:r>
      <w:r w:rsidRPr="005539C2">
        <w:t xml:space="preserve">in facilities as a result of the Games, </w:t>
      </w:r>
      <w:r>
        <w:t xml:space="preserve">as well as in </w:t>
      </w:r>
      <w:r w:rsidRPr="005539C2">
        <w:t>a range of other programmes and initiatives aimed at improving facilities and increasing club membership</w:t>
      </w:r>
      <w:r>
        <w:t>. This includes '</w:t>
      </w:r>
      <w:r w:rsidRPr="005539C2">
        <w:t>soft</w:t>
      </w:r>
      <w:r>
        <w:t>'</w:t>
      </w:r>
      <w:r w:rsidRPr="005539C2">
        <w:t xml:space="preserve"> infrastructure, </w:t>
      </w:r>
      <w:r>
        <w:t xml:space="preserve">such as </w:t>
      </w:r>
      <w:r w:rsidRPr="005539C2">
        <w:t>coaching and volunteering.</w:t>
      </w:r>
    </w:p>
    <w:p w14:paraId="76EC66C5" w14:textId="2B08E581" w:rsidR="002C7D43" w:rsidRDefault="002C7D43" w:rsidP="002C7D43">
      <w:r>
        <w:lastRenderedPageBreak/>
        <w:t>Investments in t</w:t>
      </w:r>
      <w:r w:rsidRPr="005539C2">
        <w:t xml:space="preserve">he </w:t>
      </w:r>
      <w:r>
        <w:t>new sporting venues in the Olympic Park will in legacy include a range of world class sporting facilities, with 3 to 4 million visits expected to the sporting venues in 2016.</w:t>
      </w:r>
      <w:r>
        <w:rPr>
          <w:rStyle w:val="FootnoteReference"/>
        </w:rPr>
        <w:footnoteReference w:id="10"/>
      </w:r>
      <w:r>
        <w:t xml:space="preserve"> Community use of these facilities remains a core priority for the London Legacy Development Corporation (LLDC), however the venues will also cater to national and international elite athletes, with a series of international sporting events planned.</w:t>
      </w:r>
    </w:p>
    <w:p w14:paraId="76EC66C8" w14:textId="56F16F85" w:rsidR="002C7D43" w:rsidRDefault="002C7D43" w:rsidP="002C7D43">
      <w:r>
        <w:t xml:space="preserve">Investments in facilities throughout England have facilitated the creation and enhancement of </w:t>
      </w:r>
      <w:r w:rsidRPr="005A12EE">
        <w:t xml:space="preserve">sporting infrastructure outside of London. Around the UK, substantial </w:t>
      </w:r>
      <w:proofErr w:type="gramStart"/>
      <w:r w:rsidRPr="005A12EE">
        <w:t xml:space="preserve">investment in the form of </w:t>
      </w:r>
      <w:r w:rsidR="00EF7BD3">
        <w:t xml:space="preserve">upgrades to </w:t>
      </w:r>
      <w:r w:rsidRPr="005A12EE">
        <w:t>venues for PGTCs</w:t>
      </w:r>
      <w:r w:rsidR="00153B64">
        <w:t xml:space="preserve"> have</w:t>
      </w:r>
      <w:proofErr w:type="gramEnd"/>
      <w:r w:rsidR="00153B64">
        <w:t xml:space="preserve"> been made</w:t>
      </w:r>
      <w:r w:rsidR="00466FAB">
        <w:t>. In addition, m</w:t>
      </w:r>
      <w:r w:rsidRPr="005A12EE">
        <w:t>onitoring data on the investment in local facilities</w:t>
      </w:r>
      <w:r>
        <w:t xml:space="preserve"> through the Places People Play initiatives Iconic Facilities, Inspired Facilities and Protecting Playing Fields indicates that almost </w:t>
      </w:r>
      <w:r w:rsidR="00963092">
        <w:t>900</w:t>
      </w:r>
      <w:r>
        <w:t xml:space="preserve"> facilities have received </w:t>
      </w:r>
      <w:r w:rsidR="00112F96">
        <w:t xml:space="preserve">funding </w:t>
      </w:r>
      <w:r>
        <w:t xml:space="preserve">awards, with these programmes on track to meet their targets. Central to these awards is the requirement that facilities support participation. Evaluations of this programme will reveal the extent to which this has occurred. </w:t>
      </w:r>
    </w:p>
    <w:p w14:paraId="76EC66C9" w14:textId="0FCFAD02" w:rsidR="002C7D43" w:rsidRDefault="002C7D43" w:rsidP="002C7D43">
      <w:r>
        <w:t xml:space="preserve">Investment to secure the softer infrastructure – volunteers, coaches and club membership – vital to creating a sustainable sporting system is on-going. Evidence to </w:t>
      </w:r>
      <w:r w:rsidRPr="005A12EE">
        <w:t>date indicates that:</w:t>
      </w:r>
    </w:p>
    <w:p w14:paraId="3D0AD77B" w14:textId="28CBEDD9" w:rsidR="00DA743D" w:rsidRDefault="00DA743D" w:rsidP="00DA743D">
      <w:pPr>
        <w:pStyle w:val="BulletOne"/>
      </w:pPr>
      <w:r>
        <w:t>Sport Makers (part of Places People Play)</w:t>
      </w:r>
      <w:r w:rsidR="004814A1">
        <w:t xml:space="preserve"> </w:t>
      </w:r>
      <w:r>
        <w:t>register</w:t>
      </w:r>
      <w:r w:rsidR="004814A1">
        <w:t>ed</w:t>
      </w:r>
      <w:r>
        <w:t xml:space="preserve"> approximately </w:t>
      </w:r>
      <w:r w:rsidR="004E5533">
        <w:t>33</w:t>
      </w:r>
      <w:r>
        <w:t xml:space="preserve">,000 </w:t>
      </w:r>
      <w:r w:rsidR="004814A1">
        <w:t xml:space="preserve">volunteers </w:t>
      </w:r>
      <w:r>
        <w:t xml:space="preserve">throughout England, </w:t>
      </w:r>
      <w:r w:rsidR="004E5533">
        <w:t>18</w:t>
      </w:r>
      <w:r>
        <w:t>,000 of which have attended an event</w:t>
      </w:r>
      <w:r w:rsidR="004814A1">
        <w:t xml:space="preserve"> by June 2012</w:t>
      </w:r>
      <w:r>
        <w:t>;</w:t>
      </w:r>
    </w:p>
    <w:p w14:paraId="135C15F0" w14:textId="3E735DF6" w:rsidR="00DA743D" w:rsidRDefault="00DA743D" w:rsidP="00DA743D">
      <w:pPr>
        <w:pStyle w:val="BulletOne"/>
      </w:pPr>
      <w:r>
        <w:t>Premier League 4 Sport established 343 satellite clubs in 2010/11, with the Change 4 Life School Sports Clubs programme outperforming the counterfactual case as follows: almost 2,000 more school-club</w:t>
      </w:r>
      <w:r w:rsidR="00963092">
        <w:t>s</w:t>
      </w:r>
      <w:r>
        <w:t xml:space="preserve">, around 2,900 more trained coaches and around 2,100 more clubs; </w:t>
      </w:r>
    </w:p>
    <w:p w14:paraId="4568491C" w14:textId="77777777" w:rsidR="006230BE" w:rsidRDefault="002C7D43" w:rsidP="002C7D43">
      <w:pPr>
        <w:pStyle w:val="BulletOne"/>
      </w:pPr>
      <w:r>
        <w:t>PESSYP resulted in increased coaching and club membership opportunities</w:t>
      </w:r>
      <w:r w:rsidRPr="005539C2">
        <w:t>, especially amongst young people</w:t>
      </w:r>
      <w:r>
        <w:t>;</w:t>
      </w:r>
    </w:p>
    <w:p w14:paraId="76EC66CD" w14:textId="4CC9A3D1" w:rsidR="002C7D43" w:rsidRDefault="002C7D43" w:rsidP="002C7D43">
      <w:pPr>
        <w:pStyle w:val="BulletOne"/>
      </w:pPr>
      <w:r>
        <w:t>The Leadership and Volunteering and School Sport Coaching strands of PESSYP have supported young people with</w:t>
      </w:r>
      <w:r w:rsidR="00E06868">
        <w:t xml:space="preserve"> opportunities to develop skills in a range of areas,</w:t>
      </w:r>
      <w:r>
        <w:t xml:space="preserve"> including volunteering and leadership, </w:t>
      </w:r>
      <w:r w:rsidR="00E06868">
        <w:t xml:space="preserve">through </w:t>
      </w:r>
      <w:r>
        <w:t>volunteer</w:t>
      </w:r>
      <w:r w:rsidR="00E06868">
        <w:t>ing</w:t>
      </w:r>
      <w:r>
        <w:t xml:space="preserve"> at major events, officiat</w:t>
      </w:r>
      <w:r w:rsidR="00E06868">
        <w:t xml:space="preserve">ing </w:t>
      </w:r>
      <w:r>
        <w:t>and help</w:t>
      </w:r>
      <w:r w:rsidR="00E06868">
        <w:t>ing</w:t>
      </w:r>
      <w:r>
        <w:t xml:space="preserve"> to organise school competitions.</w:t>
      </w:r>
    </w:p>
    <w:p w14:paraId="76EC66CE" w14:textId="77777777" w:rsidR="002C7D43" w:rsidRPr="00DB6D75" w:rsidRDefault="002C7D43" w:rsidP="00D9469D">
      <w:pPr>
        <w:pStyle w:val="Heading2"/>
      </w:pPr>
      <w:r w:rsidRPr="00DB6D75">
        <w:t>Elite Sport</w:t>
      </w:r>
    </w:p>
    <w:p w14:paraId="76EC66CF" w14:textId="0056BEE6" w:rsidR="002C7D43" w:rsidRDefault="002C7D43" w:rsidP="002C7D43">
      <w:r w:rsidRPr="005539C2">
        <w:t>The aim of the elite sport legacy is to maintain</w:t>
      </w:r>
      <w:r w:rsidR="00A41E57">
        <w:t xml:space="preserve"> and further develop</w:t>
      </w:r>
      <w:r w:rsidRPr="005539C2">
        <w:t xml:space="preserve"> a world class high performance system in the UK.</w:t>
      </w:r>
      <w:r>
        <w:t xml:space="preserve"> The development of the elite sport system has been significantly intensified </w:t>
      </w:r>
      <w:r w:rsidR="00E06868">
        <w:t>through</w:t>
      </w:r>
      <w:r>
        <w:t xml:space="preserve"> increased funding and subsequent acceleration and refining of support activities, such as the development of elite sport coaching, sport support personnel, sport technology innovation, hosting of major international championships, talent identification and support systems. </w:t>
      </w:r>
    </w:p>
    <w:p w14:paraId="76EC66D0" w14:textId="4124A5E3" w:rsidR="002C7D43" w:rsidRDefault="002C7D43" w:rsidP="002C7D43">
      <w:r w:rsidRPr="005539C2">
        <w:t>Financial support for elite sport is channelled through UK Sport</w:t>
      </w:r>
      <w:r>
        <w:t xml:space="preserve">. </w:t>
      </w:r>
      <w:r w:rsidR="00E1657D">
        <w:t>A</w:t>
      </w:r>
      <w:r w:rsidRPr="005A12EE">
        <w:t xml:space="preserve"> significant increase in funding is evident </w:t>
      </w:r>
      <w:r w:rsidR="0089329B">
        <w:t xml:space="preserve">in </w:t>
      </w:r>
      <w:r w:rsidR="0028371A">
        <w:t>2006/07, after the UK won the bid in 2005;</w:t>
      </w:r>
      <w:r w:rsidR="00E06868">
        <w:t xml:space="preserve"> </w:t>
      </w:r>
      <w:r w:rsidR="0028371A">
        <w:t>t</w:t>
      </w:r>
      <w:r w:rsidR="0089329B">
        <w:t>he Government announced a</w:t>
      </w:r>
      <w:r w:rsidR="00E06868">
        <w:t xml:space="preserve">n </w:t>
      </w:r>
      <w:r w:rsidRPr="005A12EE">
        <w:t xml:space="preserve">additional £200 million of </w:t>
      </w:r>
      <w:r w:rsidR="0028371A">
        <w:t xml:space="preserve">Exchequer </w:t>
      </w:r>
      <w:r w:rsidRPr="005A12EE">
        <w:t xml:space="preserve">funding in </w:t>
      </w:r>
      <w:r w:rsidR="0089329B">
        <w:t xml:space="preserve">March </w:t>
      </w:r>
      <w:r w:rsidRPr="005A12EE">
        <w:t>200</w:t>
      </w:r>
      <w:r w:rsidR="00E1657D">
        <w:t>6</w:t>
      </w:r>
      <w:r>
        <w:t xml:space="preserve"> (see Figure </w:t>
      </w:r>
      <w:r w:rsidR="00F13775">
        <w:t>4</w:t>
      </w:r>
      <w:r>
        <w:t>-2)</w:t>
      </w:r>
      <w:r w:rsidR="0028371A">
        <w:t>, as well as a transfer of responsibility of functions (and funding) of the English Institute of Sport and the Talent</w:t>
      </w:r>
      <w:r w:rsidR="000E22A8">
        <w:t>ed</w:t>
      </w:r>
      <w:r w:rsidR="0028371A">
        <w:t xml:space="preserve"> Athlete Scholarship Scheme from Sport England to UK Sport.</w:t>
      </w:r>
      <w:r w:rsidRPr="005A12EE">
        <w:t xml:space="preserve"> This influx of</w:t>
      </w:r>
      <w:r w:rsidRPr="005539C2">
        <w:t xml:space="preserve"> additional funding</w:t>
      </w:r>
      <w:r>
        <w:t xml:space="preserve"> </w:t>
      </w:r>
      <w:r w:rsidR="00963092">
        <w:t>was</w:t>
      </w:r>
      <w:r>
        <w:t xml:space="preserve"> used to </w:t>
      </w:r>
      <w:r w:rsidRPr="005539C2">
        <w:t xml:space="preserve">resource increased investment in </w:t>
      </w:r>
      <w:r>
        <w:t>a range of</w:t>
      </w:r>
      <w:r w:rsidRPr="005539C2">
        <w:t xml:space="preserve"> </w:t>
      </w:r>
      <w:r>
        <w:t>programmes and initiatives.</w:t>
      </w:r>
    </w:p>
    <w:p w14:paraId="76EC66D1" w14:textId="77777777" w:rsidR="002C7D43" w:rsidRDefault="00F13775" w:rsidP="002C7D43">
      <w:pPr>
        <w:pStyle w:val="Caption"/>
        <w:rPr>
          <w:noProof/>
          <w:sz w:val="16"/>
          <w:szCs w:val="16"/>
          <w:lang w:eastAsia="en-GB"/>
        </w:rPr>
      </w:pPr>
      <w:r>
        <w:lastRenderedPageBreak/>
        <w:t xml:space="preserve">Figure </w:t>
      </w:r>
      <w:r w:rsidR="009B7975">
        <w:fldChar w:fldCharType="begin"/>
      </w:r>
      <w:r w:rsidR="009B7975">
        <w:instrText xml:space="preserve"> STYLEREF 1 \s </w:instrText>
      </w:r>
      <w:r w:rsidR="009B7975">
        <w:fldChar w:fldCharType="separate"/>
      </w:r>
      <w:r w:rsidR="003D22DB">
        <w:rPr>
          <w:noProof/>
        </w:rPr>
        <w:t>4</w:t>
      </w:r>
      <w:r w:rsidR="009B7975">
        <w:rPr>
          <w:noProof/>
        </w:rPr>
        <w:fldChar w:fldCharType="end"/>
      </w:r>
      <w:r>
        <w:noBreakHyphen/>
      </w:r>
      <w:r w:rsidR="009B7975">
        <w:fldChar w:fldCharType="begin"/>
      </w:r>
      <w:r w:rsidR="009B7975">
        <w:instrText xml:space="preserve"> SEQ Figure \* ARABIC \s 1 </w:instrText>
      </w:r>
      <w:r w:rsidR="009B7975">
        <w:fldChar w:fldCharType="separate"/>
      </w:r>
      <w:r w:rsidR="003D22DB">
        <w:rPr>
          <w:noProof/>
        </w:rPr>
        <w:t>2</w:t>
      </w:r>
      <w:r w:rsidR="009B7975">
        <w:rPr>
          <w:noProof/>
        </w:rPr>
        <w:fldChar w:fldCharType="end"/>
      </w:r>
      <w:r>
        <w:t>:</w:t>
      </w:r>
      <w:r w:rsidR="002C7D43">
        <w:t xml:space="preserve"> </w:t>
      </w:r>
      <w:r w:rsidR="002C7D43" w:rsidRPr="00D27C48">
        <w:t xml:space="preserve">UK </w:t>
      </w:r>
      <w:r w:rsidR="001113EB">
        <w:t>s</w:t>
      </w:r>
      <w:r w:rsidR="002C7D43" w:rsidRPr="00D27C48">
        <w:t xml:space="preserve">port </w:t>
      </w:r>
      <w:r w:rsidR="001113EB">
        <w:t>f</w:t>
      </w:r>
      <w:r w:rsidR="002C7D43" w:rsidRPr="00D27C48">
        <w:t>unding</w:t>
      </w:r>
    </w:p>
    <w:p w14:paraId="76EC66D2" w14:textId="6445AA9B" w:rsidR="001113EB" w:rsidRPr="001113EB" w:rsidRDefault="0061134F" w:rsidP="00795AAE">
      <w:pPr>
        <w:spacing w:before="0" w:after="0"/>
        <w:rPr>
          <w:lang w:eastAsia="en-GB"/>
        </w:rPr>
      </w:pPr>
      <w:r w:rsidRPr="0061134F">
        <w:rPr>
          <w:noProof/>
          <w:lang w:eastAsia="en-GB"/>
        </w:rPr>
        <w:drawing>
          <wp:inline distT="0" distB="0" distL="0" distR="0" wp14:anchorId="0405E02B" wp14:editId="357AF47B">
            <wp:extent cx="4320000" cy="2520000"/>
            <wp:effectExtent l="0" t="0" r="4445"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520000"/>
                    </a:xfrm>
                    <a:prstGeom prst="rect">
                      <a:avLst/>
                    </a:prstGeom>
                    <a:noFill/>
                    <a:ln>
                      <a:noFill/>
                    </a:ln>
                  </pic:spPr>
                </pic:pic>
              </a:graphicData>
            </a:graphic>
          </wp:inline>
        </w:drawing>
      </w:r>
    </w:p>
    <w:p w14:paraId="76EC66D3" w14:textId="77777777" w:rsidR="002C7D43" w:rsidRDefault="002C7D43" w:rsidP="00085897">
      <w:pPr>
        <w:spacing w:before="0" w:after="0"/>
        <w:rPr>
          <w:i/>
          <w:sz w:val="18"/>
          <w:szCs w:val="18"/>
        </w:rPr>
      </w:pPr>
      <w:r>
        <w:rPr>
          <w:i/>
          <w:sz w:val="18"/>
          <w:szCs w:val="18"/>
        </w:rPr>
        <w:t xml:space="preserve">Note: </w:t>
      </w:r>
      <w:r w:rsidRPr="00F8230B">
        <w:rPr>
          <w:i/>
          <w:sz w:val="18"/>
          <w:szCs w:val="18"/>
        </w:rPr>
        <w:t>The baseline in the meta-evaluation is defined as 2003, which is the year the Government first committed support to London's bid</w:t>
      </w:r>
    </w:p>
    <w:p w14:paraId="76EC66D4" w14:textId="175EF06F" w:rsidR="002C7D43" w:rsidRDefault="002C7D43" w:rsidP="00085897">
      <w:pPr>
        <w:spacing w:before="0" w:after="0"/>
        <w:rPr>
          <w:i/>
          <w:sz w:val="18"/>
          <w:szCs w:val="18"/>
        </w:rPr>
      </w:pPr>
      <w:r w:rsidRPr="0013601C">
        <w:rPr>
          <w:i/>
          <w:sz w:val="18"/>
          <w:szCs w:val="18"/>
        </w:rPr>
        <w:t>Source: UK Sport</w:t>
      </w:r>
      <w:r w:rsidR="009A43FF">
        <w:rPr>
          <w:i/>
          <w:sz w:val="18"/>
          <w:szCs w:val="18"/>
        </w:rPr>
        <w:t>.</w:t>
      </w:r>
    </w:p>
    <w:p w14:paraId="4E3EEF7B" w14:textId="77777777" w:rsidR="008141EB" w:rsidRPr="0013601C" w:rsidRDefault="008141EB" w:rsidP="00085897">
      <w:pPr>
        <w:spacing w:before="0" w:after="0"/>
        <w:rPr>
          <w:i/>
          <w:sz w:val="18"/>
          <w:szCs w:val="18"/>
        </w:rPr>
      </w:pPr>
    </w:p>
    <w:p w14:paraId="76EC66D5" w14:textId="60670729" w:rsidR="002C7D43" w:rsidRDefault="002C7D43" w:rsidP="002C7D43">
      <w:r>
        <w:t xml:space="preserve">Medal outcomes is one of the key indicators of elite sport performance. With the exception of the Atlanta Games, Team GB's performance in terms of medals won and place in the medals table remained relatively stable prior to </w:t>
      </w:r>
      <w:r w:rsidR="00963092">
        <w:t xml:space="preserve">the </w:t>
      </w:r>
      <w:r>
        <w:t xml:space="preserve">2003 </w:t>
      </w:r>
      <w:r w:rsidR="00545152">
        <w:t xml:space="preserve">baseline </w:t>
      </w:r>
      <w:r>
        <w:t>(</w:t>
      </w:r>
      <w:r w:rsidR="00963092">
        <w:t xml:space="preserve">including </w:t>
      </w:r>
      <w:r w:rsidR="000E22A8">
        <w:t>Athens</w:t>
      </w:r>
      <w:r w:rsidR="00963092">
        <w:rPr>
          <w:rStyle w:val="FootnoteReference"/>
        </w:rPr>
        <w:footnoteReference w:id="11"/>
      </w:r>
      <w:r w:rsidR="00963092">
        <w:t>)</w:t>
      </w:r>
      <w:r>
        <w:t>.</w:t>
      </w:r>
    </w:p>
    <w:p w14:paraId="76EC66D6" w14:textId="77777777" w:rsidR="002C7D43" w:rsidRPr="00A0428F" w:rsidRDefault="00F13775" w:rsidP="002C7D43">
      <w:pPr>
        <w:rPr>
          <w:b/>
          <w:szCs w:val="22"/>
        </w:rPr>
      </w:pPr>
      <w:r w:rsidRPr="00F13775">
        <w:rPr>
          <w:b/>
        </w:rPr>
        <w:t xml:space="preserve">Figure </w:t>
      </w:r>
      <w:r w:rsidRPr="00F13775">
        <w:rPr>
          <w:b/>
        </w:rPr>
        <w:fldChar w:fldCharType="begin"/>
      </w:r>
      <w:r w:rsidRPr="00F13775">
        <w:rPr>
          <w:b/>
        </w:rPr>
        <w:instrText xml:space="preserve"> STYLEREF 1 \s </w:instrText>
      </w:r>
      <w:r w:rsidRPr="00F13775">
        <w:rPr>
          <w:b/>
        </w:rPr>
        <w:fldChar w:fldCharType="separate"/>
      </w:r>
      <w:r w:rsidR="003D22DB">
        <w:rPr>
          <w:b/>
          <w:noProof/>
        </w:rPr>
        <w:t>4</w:t>
      </w:r>
      <w:r w:rsidRPr="00F13775">
        <w:rPr>
          <w:b/>
        </w:rPr>
        <w:fldChar w:fldCharType="end"/>
      </w:r>
      <w:r w:rsidRPr="00F13775">
        <w:rPr>
          <w:b/>
        </w:rPr>
        <w:noBreakHyphen/>
      </w:r>
      <w:r w:rsidRPr="00F13775">
        <w:rPr>
          <w:b/>
        </w:rPr>
        <w:fldChar w:fldCharType="begin"/>
      </w:r>
      <w:r w:rsidRPr="00F13775">
        <w:rPr>
          <w:b/>
        </w:rPr>
        <w:instrText xml:space="preserve"> SEQ Figure \* ARABIC \s 1 </w:instrText>
      </w:r>
      <w:r w:rsidRPr="00F13775">
        <w:rPr>
          <w:b/>
        </w:rPr>
        <w:fldChar w:fldCharType="separate"/>
      </w:r>
      <w:r w:rsidR="003D22DB">
        <w:rPr>
          <w:b/>
          <w:noProof/>
        </w:rPr>
        <w:t>3</w:t>
      </w:r>
      <w:r w:rsidRPr="00F13775">
        <w:rPr>
          <w:b/>
        </w:rPr>
        <w:fldChar w:fldCharType="end"/>
      </w:r>
      <w:r w:rsidR="002C7D43" w:rsidRPr="00F13775">
        <w:rPr>
          <w:b/>
          <w:szCs w:val="22"/>
        </w:rPr>
        <w:t>:</w:t>
      </w:r>
      <w:r w:rsidR="002C7D43" w:rsidRPr="00A0428F">
        <w:rPr>
          <w:b/>
          <w:szCs w:val="22"/>
        </w:rPr>
        <w:t xml:space="preserve"> Ranking and </w:t>
      </w:r>
      <w:r w:rsidR="001113EB">
        <w:rPr>
          <w:b/>
          <w:szCs w:val="22"/>
        </w:rPr>
        <w:t>m</w:t>
      </w:r>
      <w:r w:rsidR="002C7D43" w:rsidRPr="00A0428F">
        <w:rPr>
          <w:b/>
          <w:szCs w:val="22"/>
        </w:rPr>
        <w:t xml:space="preserve">edals </w:t>
      </w:r>
      <w:r w:rsidR="001113EB">
        <w:rPr>
          <w:b/>
          <w:szCs w:val="22"/>
        </w:rPr>
        <w:t>w</w:t>
      </w:r>
      <w:r w:rsidR="002C7D43" w:rsidRPr="00A0428F">
        <w:rPr>
          <w:b/>
          <w:szCs w:val="22"/>
        </w:rPr>
        <w:t>on (gold-silver-bronze)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929"/>
        <w:gridCol w:w="1112"/>
        <w:gridCol w:w="1020"/>
        <w:gridCol w:w="1051"/>
        <w:gridCol w:w="1030"/>
        <w:gridCol w:w="1038"/>
        <w:gridCol w:w="1116"/>
      </w:tblGrid>
      <w:tr w:rsidR="002C7D43" w:rsidRPr="00A0428F" w14:paraId="76EC66E7" w14:textId="77777777" w:rsidTr="0068495A">
        <w:tc>
          <w:tcPr>
            <w:tcW w:w="1209" w:type="dxa"/>
            <w:shd w:val="clear" w:color="auto" w:fill="F2F2F2" w:themeFill="background1" w:themeFillShade="F2"/>
          </w:tcPr>
          <w:p w14:paraId="76EC66D7" w14:textId="77777777" w:rsidR="002C7D43" w:rsidRPr="00A0428F" w:rsidRDefault="002C7D43" w:rsidP="0068495A">
            <w:pPr>
              <w:keepNext/>
              <w:spacing w:before="0" w:after="0"/>
              <w:rPr>
                <w:b/>
                <w:sz w:val="20"/>
                <w:szCs w:val="20"/>
              </w:rPr>
            </w:pPr>
          </w:p>
        </w:tc>
        <w:tc>
          <w:tcPr>
            <w:tcW w:w="929" w:type="dxa"/>
            <w:shd w:val="clear" w:color="auto" w:fill="F2F2F2" w:themeFill="background1" w:themeFillShade="F2"/>
          </w:tcPr>
          <w:p w14:paraId="76EC66D8" w14:textId="77777777" w:rsidR="002C7D43" w:rsidRDefault="002C7D43" w:rsidP="0068495A">
            <w:pPr>
              <w:keepNext/>
              <w:spacing w:before="0" w:after="0"/>
              <w:rPr>
                <w:b/>
                <w:sz w:val="20"/>
                <w:szCs w:val="20"/>
              </w:rPr>
            </w:pPr>
            <w:r>
              <w:rPr>
                <w:b/>
                <w:sz w:val="20"/>
                <w:szCs w:val="20"/>
              </w:rPr>
              <w:t>Seoul</w:t>
            </w:r>
          </w:p>
          <w:p w14:paraId="76EC66D9" w14:textId="77777777" w:rsidR="002C7D43" w:rsidRDefault="002C7D43" w:rsidP="0068495A">
            <w:pPr>
              <w:keepNext/>
              <w:spacing w:before="0" w:after="0"/>
              <w:rPr>
                <w:b/>
                <w:sz w:val="20"/>
                <w:szCs w:val="20"/>
              </w:rPr>
            </w:pPr>
            <w:r w:rsidRPr="00A0428F">
              <w:rPr>
                <w:b/>
                <w:sz w:val="20"/>
                <w:szCs w:val="20"/>
              </w:rPr>
              <w:t>1988</w:t>
            </w:r>
          </w:p>
          <w:p w14:paraId="76EC66DA" w14:textId="77777777" w:rsidR="002C7D43" w:rsidRPr="00A0428F" w:rsidRDefault="002C7D43" w:rsidP="0068495A">
            <w:pPr>
              <w:keepNext/>
              <w:spacing w:before="0" w:after="0"/>
              <w:rPr>
                <w:b/>
                <w:sz w:val="20"/>
                <w:szCs w:val="20"/>
              </w:rPr>
            </w:pPr>
          </w:p>
        </w:tc>
        <w:tc>
          <w:tcPr>
            <w:tcW w:w="1112" w:type="dxa"/>
            <w:shd w:val="clear" w:color="auto" w:fill="F2F2F2" w:themeFill="background1" w:themeFillShade="F2"/>
          </w:tcPr>
          <w:p w14:paraId="76EC66DB" w14:textId="77777777" w:rsidR="002C7D43" w:rsidRDefault="002C7D43" w:rsidP="0068495A">
            <w:pPr>
              <w:keepNext/>
              <w:spacing w:before="0" w:after="0"/>
              <w:rPr>
                <w:b/>
                <w:sz w:val="20"/>
                <w:szCs w:val="20"/>
              </w:rPr>
            </w:pPr>
            <w:r>
              <w:rPr>
                <w:b/>
                <w:sz w:val="20"/>
                <w:szCs w:val="20"/>
              </w:rPr>
              <w:t>Barcelona</w:t>
            </w:r>
          </w:p>
          <w:p w14:paraId="76EC66DC" w14:textId="77777777" w:rsidR="002C7D43" w:rsidRPr="00A0428F" w:rsidRDefault="002C7D43" w:rsidP="0068495A">
            <w:pPr>
              <w:keepNext/>
              <w:spacing w:before="0" w:after="0"/>
              <w:rPr>
                <w:b/>
                <w:sz w:val="20"/>
                <w:szCs w:val="20"/>
              </w:rPr>
            </w:pPr>
            <w:r w:rsidRPr="00A0428F">
              <w:rPr>
                <w:b/>
                <w:sz w:val="20"/>
                <w:szCs w:val="20"/>
              </w:rPr>
              <w:t>1992</w:t>
            </w:r>
          </w:p>
        </w:tc>
        <w:tc>
          <w:tcPr>
            <w:tcW w:w="1020" w:type="dxa"/>
            <w:shd w:val="clear" w:color="auto" w:fill="F2F2F2" w:themeFill="background1" w:themeFillShade="F2"/>
          </w:tcPr>
          <w:p w14:paraId="76EC66DD" w14:textId="77777777" w:rsidR="002C7D43" w:rsidRDefault="002C7D43" w:rsidP="0068495A">
            <w:pPr>
              <w:keepNext/>
              <w:spacing w:before="0" w:after="0"/>
              <w:rPr>
                <w:b/>
                <w:sz w:val="20"/>
                <w:szCs w:val="20"/>
              </w:rPr>
            </w:pPr>
            <w:r>
              <w:rPr>
                <w:b/>
                <w:sz w:val="20"/>
                <w:szCs w:val="20"/>
              </w:rPr>
              <w:t>Atlanta</w:t>
            </w:r>
          </w:p>
          <w:p w14:paraId="76EC66DE" w14:textId="77777777" w:rsidR="002C7D43" w:rsidRPr="00A0428F" w:rsidRDefault="002C7D43" w:rsidP="0068495A">
            <w:pPr>
              <w:keepNext/>
              <w:spacing w:before="0" w:after="0"/>
              <w:rPr>
                <w:b/>
                <w:sz w:val="20"/>
                <w:szCs w:val="20"/>
              </w:rPr>
            </w:pPr>
            <w:r w:rsidRPr="00A0428F">
              <w:rPr>
                <w:b/>
                <w:sz w:val="20"/>
                <w:szCs w:val="20"/>
              </w:rPr>
              <w:t>1996</w:t>
            </w:r>
          </w:p>
        </w:tc>
        <w:tc>
          <w:tcPr>
            <w:tcW w:w="1051" w:type="dxa"/>
            <w:shd w:val="clear" w:color="auto" w:fill="F2F2F2" w:themeFill="background1" w:themeFillShade="F2"/>
          </w:tcPr>
          <w:p w14:paraId="76EC66DF" w14:textId="77777777" w:rsidR="002C7D43" w:rsidRDefault="002C7D43" w:rsidP="0068495A">
            <w:pPr>
              <w:keepNext/>
              <w:spacing w:before="0" w:after="0"/>
              <w:rPr>
                <w:b/>
                <w:sz w:val="20"/>
                <w:szCs w:val="20"/>
              </w:rPr>
            </w:pPr>
            <w:r>
              <w:rPr>
                <w:b/>
                <w:sz w:val="20"/>
                <w:szCs w:val="20"/>
              </w:rPr>
              <w:t>Sydney</w:t>
            </w:r>
          </w:p>
          <w:p w14:paraId="76EC66E0" w14:textId="77777777" w:rsidR="002C7D43" w:rsidRPr="00A0428F" w:rsidRDefault="002C7D43" w:rsidP="0068495A">
            <w:pPr>
              <w:keepNext/>
              <w:spacing w:before="0" w:after="0"/>
              <w:rPr>
                <w:b/>
                <w:sz w:val="20"/>
                <w:szCs w:val="20"/>
              </w:rPr>
            </w:pPr>
            <w:r w:rsidRPr="00A0428F">
              <w:rPr>
                <w:b/>
                <w:sz w:val="20"/>
                <w:szCs w:val="20"/>
              </w:rPr>
              <w:t>2000</w:t>
            </w:r>
          </w:p>
        </w:tc>
        <w:tc>
          <w:tcPr>
            <w:tcW w:w="1030" w:type="dxa"/>
            <w:shd w:val="clear" w:color="auto" w:fill="F2F2F2" w:themeFill="background1" w:themeFillShade="F2"/>
          </w:tcPr>
          <w:p w14:paraId="76EC66E1" w14:textId="77777777" w:rsidR="002C7D43" w:rsidRDefault="002C7D43" w:rsidP="0068495A">
            <w:pPr>
              <w:keepNext/>
              <w:spacing w:before="0" w:after="0"/>
              <w:rPr>
                <w:b/>
                <w:sz w:val="20"/>
                <w:szCs w:val="20"/>
              </w:rPr>
            </w:pPr>
            <w:r>
              <w:rPr>
                <w:b/>
                <w:sz w:val="20"/>
                <w:szCs w:val="20"/>
              </w:rPr>
              <w:t>Athens</w:t>
            </w:r>
          </w:p>
          <w:p w14:paraId="76EC66E2" w14:textId="77777777" w:rsidR="002C7D43" w:rsidRPr="00A0428F" w:rsidRDefault="002C7D43" w:rsidP="0068495A">
            <w:pPr>
              <w:keepNext/>
              <w:spacing w:before="0" w:after="0"/>
              <w:rPr>
                <w:b/>
                <w:sz w:val="20"/>
                <w:szCs w:val="20"/>
              </w:rPr>
            </w:pPr>
            <w:r w:rsidRPr="00A0428F">
              <w:rPr>
                <w:b/>
                <w:sz w:val="20"/>
                <w:szCs w:val="20"/>
              </w:rPr>
              <w:t>2004</w:t>
            </w:r>
          </w:p>
        </w:tc>
        <w:tc>
          <w:tcPr>
            <w:tcW w:w="1038" w:type="dxa"/>
            <w:shd w:val="clear" w:color="auto" w:fill="F2F2F2" w:themeFill="background1" w:themeFillShade="F2"/>
          </w:tcPr>
          <w:p w14:paraId="76EC66E3" w14:textId="77777777" w:rsidR="002C7D43" w:rsidRDefault="002C7D43" w:rsidP="0068495A">
            <w:pPr>
              <w:keepNext/>
              <w:spacing w:before="0" w:after="0"/>
              <w:rPr>
                <w:b/>
                <w:sz w:val="20"/>
                <w:szCs w:val="20"/>
              </w:rPr>
            </w:pPr>
            <w:r>
              <w:rPr>
                <w:b/>
                <w:sz w:val="20"/>
                <w:szCs w:val="20"/>
              </w:rPr>
              <w:t xml:space="preserve">Beijing </w:t>
            </w:r>
          </w:p>
          <w:p w14:paraId="76EC66E4" w14:textId="77777777" w:rsidR="002C7D43" w:rsidRDefault="002C7D43" w:rsidP="0068495A">
            <w:pPr>
              <w:keepNext/>
              <w:spacing w:before="0" w:after="0"/>
              <w:rPr>
                <w:b/>
                <w:sz w:val="20"/>
                <w:szCs w:val="20"/>
              </w:rPr>
            </w:pPr>
            <w:r>
              <w:rPr>
                <w:b/>
                <w:sz w:val="20"/>
                <w:szCs w:val="20"/>
              </w:rPr>
              <w:t>2008</w:t>
            </w:r>
          </w:p>
        </w:tc>
        <w:tc>
          <w:tcPr>
            <w:tcW w:w="1116" w:type="dxa"/>
            <w:shd w:val="clear" w:color="auto" w:fill="F2F2F2" w:themeFill="background1" w:themeFillShade="F2"/>
          </w:tcPr>
          <w:p w14:paraId="76EC66E5" w14:textId="77777777" w:rsidR="002C7D43" w:rsidRDefault="002C7D43" w:rsidP="0068495A">
            <w:pPr>
              <w:keepNext/>
              <w:spacing w:before="0" w:after="0"/>
              <w:rPr>
                <w:b/>
                <w:sz w:val="20"/>
                <w:szCs w:val="20"/>
              </w:rPr>
            </w:pPr>
            <w:r>
              <w:rPr>
                <w:b/>
                <w:sz w:val="20"/>
                <w:szCs w:val="20"/>
              </w:rPr>
              <w:t>London</w:t>
            </w:r>
          </w:p>
          <w:p w14:paraId="76EC66E6" w14:textId="77777777" w:rsidR="002C7D43" w:rsidRDefault="002C7D43" w:rsidP="0068495A">
            <w:pPr>
              <w:keepNext/>
              <w:spacing w:before="0" w:after="0"/>
              <w:rPr>
                <w:b/>
                <w:sz w:val="20"/>
                <w:szCs w:val="20"/>
              </w:rPr>
            </w:pPr>
            <w:r>
              <w:rPr>
                <w:b/>
                <w:sz w:val="20"/>
                <w:szCs w:val="20"/>
              </w:rPr>
              <w:t>2012</w:t>
            </w:r>
          </w:p>
        </w:tc>
      </w:tr>
      <w:tr w:rsidR="002C7D43" w:rsidRPr="00A0428F" w14:paraId="76EC66F7" w14:textId="77777777" w:rsidTr="0068495A">
        <w:tc>
          <w:tcPr>
            <w:tcW w:w="1209" w:type="dxa"/>
          </w:tcPr>
          <w:p w14:paraId="76EC66E8" w14:textId="77777777" w:rsidR="002C7D43" w:rsidRPr="00A0428F" w:rsidRDefault="002C7D43" w:rsidP="0068495A">
            <w:pPr>
              <w:keepNext/>
              <w:spacing w:before="0" w:after="0"/>
              <w:rPr>
                <w:b/>
                <w:sz w:val="20"/>
                <w:szCs w:val="20"/>
              </w:rPr>
            </w:pPr>
            <w:r w:rsidRPr="00A0428F">
              <w:rPr>
                <w:b/>
                <w:sz w:val="20"/>
                <w:szCs w:val="20"/>
              </w:rPr>
              <w:t>Olympic Games</w:t>
            </w:r>
          </w:p>
        </w:tc>
        <w:tc>
          <w:tcPr>
            <w:tcW w:w="929" w:type="dxa"/>
          </w:tcPr>
          <w:p w14:paraId="76EC66E9" w14:textId="77777777" w:rsidR="002C7D43" w:rsidRPr="00A0428F" w:rsidRDefault="002C7D43" w:rsidP="0068495A">
            <w:pPr>
              <w:keepNext/>
              <w:spacing w:before="0" w:after="0"/>
              <w:rPr>
                <w:sz w:val="20"/>
                <w:szCs w:val="20"/>
              </w:rPr>
            </w:pPr>
            <w:r w:rsidRPr="00A0428F">
              <w:rPr>
                <w:sz w:val="20"/>
                <w:szCs w:val="20"/>
              </w:rPr>
              <w:t>12</w:t>
            </w:r>
            <w:r w:rsidRPr="00A0428F">
              <w:rPr>
                <w:sz w:val="20"/>
                <w:szCs w:val="20"/>
                <w:vertAlign w:val="superscript"/>
              </w:rPr>
              <w:t>th</w:t>
            </w:r>
          </w:p>
          <w:p w14:paraId="76EC66EA" w14:textId="77777777" w:rsidR="002C7D43" w:rsidRPr="00A0428F" w:rsidRDefault="002C7D43" w:rsidP="0068495A">
            <w:pPr>
              <w:keepNext/>
              <w:spacing w:before="0" w:after="0"/>
              <w:rPr>
                <w:sz w:val="20"/>
                <w:szCs w:val="20"/>
              </w:rPr>
            </w:pPr>
            <w:r w:rsidRPr="00A0428F">
              <w:rPr>
                <w:sz w:val="20"/>
                <w:szCs w:val="20"/>
              </w:rPr>
              <w:t>(5-10-9)</w:t>
            </w:r>
          </w:p>
        </w:tc>
        <w:tc>
          <w:tcPr>
            <w:tcW w:w="1112" w:type="dxa"/>
          </w:tcPr>
          <w:p w14:paraId="76EC66EB" w14:textId="77777777" w:rsidR="002C7D43" w:rsidRPr="00A0428F" w:rsidRDefault="002C7D43" w:rsidP="0068495A">
            <w:pPr>
              <w:keepNext/>
              <w:spacing w:before="0" w:after="0"/>
              <w:rPr>
                <w:sz w:val="20"/>
                <w:szCs w:val="20"/>
              </w:rPr>
            </w:pPr>
            <w:r w:rsidRPr="00A0428F">
              <w:rPr>
                <w:sz w:val="20"/>
                <w:szCs w:val="20"/>
              </w:rPr>
              <w:t>13</w:t>
            </w:r>
            <w:r w:rsidRPr="00A0428F">
              <w:rPr>
                <w:sz w:val="20"/>
                <w:szCs w:val="20"/>
                <w:vertAlign w:val="superscript"/>
              </w:rPr>
              <w:t>th</w:t>
            </w:r>
          </w:p>
          <w:p w14:paraId="76EC66EC" w14:textId="77777777" w:rsidR="002C7D43" w:rsidRPr="00A0428F" w:rsidRDefault="002C7D43" w:rsidP="0068495A">
            <w:pPr>
              <w:keepNext/>
              <w:spacing w:before="0" w:after="0"/>
              <w:rPr>
                <w:sz w:val="20"/>
                <w:szCs w:val="20"/>
              </w:rPr>
            </w:pPr>
            <w:r w:rsidRPr="00A0428F">
              <w:rPr>
                <w:sz w:val="20"/>
                <w:szCs w:val="20"/>
              </w:rPr>
              <w:t>(5-3-12)</w:t>
            </w:r>
          </w:p>
        </w:tc>
        <w:tc>
          <w:tcPr>
            <w:tcW w:w="1020" w:type="dxa"/>
          </w:tcPr>
          <w:p w14:paraId="76EC66ED" w14:textId="77777777" w:rsidR="002C7D43" w:rsidRPr="00A0428F" w:rsidRDefault="002C7D43" w:rsidP="0068495A">
            <w:pPr>
              <w:keepNext/>
              <w:spacing w:before="0" w:after="0"/>
              <w:rPr>
                <w:sz w:val="20"/>
                <w:szCs w:val="20"/>
              </w:rPr>
            </w:pPr>
            <w:r w:rsidRPr="00A0428F">
              <w:rPr>
                <w:sz w:val="20"/>
                <w:szCs w:val="20"/>
              </w:rPr>
              <w:t>36</w:t>
            </w:r>
            <w:r w:rsidRPr="00A0428F">
              <w:rPr>
                <w:sz w:val="20"/>
                <w:szCs w:val="20"/>
                <w:vertAlign w:val="superscript"/>
              </w:rPr>
              <w:t>th</w:t>
            </w:r>
          </w:p>
          <w:p w14:paraId="76EC66EE" w14:textId="77777777" w:rsidR="002C7D43" w:rsidRPr="00A0428F" w:rsidRDefault="002C7D43" w:rsidP="0068495A">
            <w:pPr>
              <w:keepNext/>
              <w:spacing w:before="0" w:after="0"/>
              <w:rPr>
                <w:sz w:val="20"/>
                <w:szCs w:val="20"/>
              </w:rPr>
            </w:pPr>
            <w:r w:rsidRPr="00A0428F">
              <w:rPr>
                <w:sz w:val="20"/>
                <w:szCs w:val="20"/>
              </w:rPr>
              <w:t>(1-8-6)</w:t>
            </w:r>
          </w:p>
        </w:tc>
        <w:tc>
          <w:tcPr>
            <w:tcW w:w="1051" w:type="dxa"/>
          </w:tcPr>
          <w:p w14:paraId="76EC66EF" w14:textId="77777777" w:rsidR="002C7D43" w:rsidRPr="00A0428F" w:rsidRDefault="002C7D43" w:rsidP="0068495A">
            <w:pPr>
              <w:keepNext/>
              <w:spacing w:before="0" w:after="0"/>
              <w:rPr>
                <w:sz w:val="20"/>
                <w:szCs w:val="20"/>
              </w:rPr>
            </w:pPr>
            <w:r w:rsidRPr="00A0428F">
              <w:rPr>
                <w:sz w:val="20"/>
                <w:szCs w:val="20"/>
              </w:rPr>
              <w:t>10</w:t>
            </w:r>
            <w:r w:rsidRPr="00A0428F">
              <w:rPr>
                <w:sz w:val="20"/>
                <w:szCs w:val="20"/>
                <w:vertAlign w:val="superscript"/>
              </w:rPr>
              <w:t>th</w:t>
            </w:r>
          </w:p>
          <w:p w14:paraId="76EC66F0" w14:textId="77777777" w:rsidR="002C7D43" w:rsidRPr="00A0428F" w:rsidRDefault="002C7D43" w:rsidP="0068495A">
            <w:pPr>
              <w:keepNext/>
              <w:spacing w:before="0" w:after="0"/>
              <w:rPr>
                <w:sz w:val="20"/>
                <w:szCs w:val="20"/>
              </w:rPr>
            </w:pPr>
            <w:r w:rsidRPr="00A0428F">
              <w:rPr>
                <w:sz w:val="20"/>
                <w:szCs w:val="20"/>
              </w:rPr>
              <w:t>(11-10-7)</w:t>
            </w:r>
          </w:p>
        </w:tc>
        <w:tc>
          <w:tcPr>
            <w:tcW w:w="1030" w:type="dxa"/>
          </w:tcPr>
          <w:p w14:paraId="76EC66F1" w14:textId="77777777" w:rsidR="002C7D43" w:rsidRPr="00A0428F" w:rsidRDefault="002C7D43" w:rsidP="0068495A">
            <w:pPr>
              <w:keepNext/>
              <w:spacing w:before="0" w:after="0"/>
              <w:rPr>
                <w:sz w:val="20"/>
                <w:szCs w:val="20"/>
              </w:rPr>
            </w:pPr>
            <w:r w:rsidRPr="00A0428F">
              <w:rPr>
                <w:sz w:val="20"/>
                <w:szCs w:val="20"/>
              </w:rPr>
              <w:t>10</w:t>
            </w:r>
            <w:r w:rsidRPr="00A0428F">
              <w:rPr>
                <w:sz w:val="20"/>
                <w:szCs w:val="20"/>
                <w:vertAlign w:val="superscript"/>
              </w:rPr>
              <w:t>th</w:t>
            </w:r>
          </w:p>
          <w:p w14:paraId="76EC66F2" w14:textId="77777777" w:rsidR="002C7D43" w:rsidRPr="00A0428F" w:rsidRDefault="002C7D43" w:rsidP="0068495A">
            <w:pPr>
              <w:keepNext/>
              <w:spacing w:before="0" w:after="0"/>
              <w:rPr>
                <w:sz w:val="20"/>
                <w:szCs w:val="20"/>
              </w:rPr>
            </w:pPr>
            <w:r w:rsidRPr="00A0428F">
              <w:rPr>
                <w:sz w:val="20"/>
                <w:szCs w:val="20"/>
              </w:rPr>
              <w:t>(9-9-12)</w:t>
            </w:r>
          </w:p>
        </w:tc>
        <w:tc>
          <w:tcPr>
            <w:tcW w:w="1038" w:type="dxa"/>
          </w:tcPr>
          <w:p w14:paraId="76EC66F3" w14:textId="77777777" w:rsidR="002C7D43" w:rsidRDefault="002C7D43" w:rsidP="0068495A">
            <w:pPr>
              <w:keepNext/>
              <w:spacing w:before="0" w:after="0"/>
              <w:rPr>
                <w:sz w:val="20"/>
                <w:szCs w:val="20"/>
              </w:rPr>
            </w:pPr>
            <w:r>
              <w:rPr>
                <w:sz w:val="20"/>
                <w:szCs w:val="20"/>
              </w:rPr>
              <w:t>4</w:t>
            </w:r>
            <w:r w:rsidRPr="00516D86">
              <w:rPr>
                <w:sz w:val="20"/>
                <w:szCs w:val="20"/>
                <w:vertAlign w:val="superscript"/>
              </w:rPr>
              <w:t>th</w:t>
            </w:r>
          </w:p>
          <w:p w14:paraId="76EC66F4" w14:textId="77777777" w:rsidR="002C7D43" w:rsidRPr="00A0428F" w:rsidRDefault="002C7D43" w:rsidP="0068495A">
            <w:pPr>
              <w:keepNext/>
              <w:spacing w:before="0" w:after="0"/>
              <w:rPr>
                <w:sz w:val="20"/>
                <w:szCs w:val="20"/>
              </w:rPr>
            </w:pPr>
            <w:r>
              <w:rPr>
                <w:sz w:val="20"/>
                <w:szCs w:val="20"/>
              </w:rPr>
              <w:t>(19-13-15)</w:t>
            </w:r>
          </w:p>
        </w:tc>
        <w:tc>
          <w:tcPr>
            <w:tcW w:w="1116" w:type="dxa"/>
          </w:tcPr>
          <w:p w14:paraId="76EC66F5" w14:textId="77777777" w:rsidR="002C7D43" w:rsidRDefault="002C7D43" w:rsidP="0068495A">
            <w:pPr>
              <w:keepNext/>
              <w:spacing w:before="0" w:after="0"/>
              <w:rPr>
                <w:sz w:val="20"/>
                <w:szCs w:val="20"/>
              </w:rPr>
            </w:pPr>
            <w:r>
              <w:rPr>
                <w:sz w:val="20"/>
                <w:szCs w:val="20"/>
              </w:rPr>
              <w:t>3</w:t>
            </w:r>
            <w:r w:rsidRPr="00F44A9E">
              <w:rPr>
                <w:sz w:val="20"/>
                <w:szCs w:val="20"/>
                <w:vertAlign w:val="superscript"/>
              </w:rPr>
              <w:t>rd</w:t>
            </w:r>
            <w:r>
              <w:rPr>
                <w:sz w:val="20"/>
                <w:szCs w:val="20"/>
              </w:rPr>
              <w:t xml:space="preserve"> </w:t>
            </w:r>
          </w:p>
          <w:p w14:paraId="76EC66F6" w14:textId="77777777" w:rsidR="002C7D43" w:rsidRDefault="002C7D43" w:rsidP="0068495A">
            <w:pPr>
              <w:keepNext/>
              <w:spacing w:before="0" w:after="0"/>
              <w:rPr>
                <w:sz w:val="20"/>
                <w:szCs w:val="20"/>
              </w:rPr>
            </w:pPr>
            <w:r>
              <w:rPr>
                <w:sz w:val="20"/>
                <w:szCs w:val="20"/>
              </w:rPr>
              <w:t>(29-17-19)</w:t>
            </w:r>
          </w:p>
        </w:tc>
      </w:tr>
      <w:tr w:rsidR="002C7D43" w:rsidRPr="00A0428F" w14:paraId="76EC6707" w14:textId="77777777" w:rsidTr="0068495A">
        <w:tc>
          <w:tcPr>
            <w:tcW w:w="1209" w:type="dxa"/>
          </w:tcPr>
          <w:p w14:paraId="76EC66F8" w14:textId="77777777" w:rsidR="002C7D43" w:rsidRPr="00A0428F" w:rsidRDefault="002C7D43" w:rsidP="0068495A">
            <w:pPr>
              <w:keepNext/>
              <w:spacing w:before="0" w:after="0"/>
              <w:rPr>
                <w:b/>
                <w:sz w:val="20"/>
                <w:szCs w:val="20"/>
              </w:rPr>
            </w:pPr>
            <w:r w:rsidRPr="00A0428F">
              <w:rPr>
                <w:b/>
                <w:sz w:val="20"/>
                <w:szCs w:val="20"/>
              </w:rPr>
              <w:t>Paralympic Games</w:t>
            </w:r>
          </w:p>
        </w:tc>
        <w:tc>
          <w:tcPr>
            <w:tcW w:w="929" w:type="dxa"/>
          </w:tcPr>
          <w:p w14:paraId="76EC66F9" w14:textId="77777777" w:rsidR="002C7D43" w:rsidRPr="00A0428F" w:rsidRDefault="002C7D43" w:rsidP="0068495A">
            <w:pPr>
              <w:keepNext/>
              <w:spacing w:before="0" w:after="0"/>
              <w:rPr>
                <w:sz w:val="20"/>
                <w:szCs w:val="20"/>
              </w:rPr>
            </w:pPr>
            <w:r w:rsidRPr="00A0428F">
              <w:rPr>
                <w:sz w:val="20"/>
                <w:szCs w:val="20"/>
              </w:rPr>
              <w:t>3</w:t>
            </w:r>
            <w:r w:rsidRPr="00A0428F">
              <w:rPr>
                <w:sz w:val="20"/>
                <w:szCs w:val="20"/>
                <w:vertAlign w:val="superscript"/>
              </w:rPr>
              <w:t>rd</w:t>
            </w:r>
          </w:p>
          <w:p w14:paraId="76EC66FA" w14:textId="77777777" w:rsidR="002C7D43" w:rsidRPr="00A0428F" w:rsidRDefault="002C7D43" w:rsidP="0068495A">
            <w:pPr>
              <w:keepNext/>
              <w:spacing w:before="0" w:after="0"/>
              <w:rPr>
                <w:sz w:val="20"/>
                <w:szCs w:val="20"/>
              </w:rPr>
            </w:pPr>
            <w:r w:rsidRPr="00A0428F">
              <w:rPr>
                <w:sz w:val="20"/>
                <w:szCs w:val="20"/>
              </w:rPr>
              <w:t>(64-66-63)</w:t>
            </w:r>
          </w:p>
        </w:tc>
        <w:tc>
          <w:tcPr>
            <w:tcW w:w="1112" w:type="dxa"/>
          </w:tcPr>
          <w:p w14:paraId="76EC66FB" w14:textId="77777777" w:rsidR="002C7D43" w:rsidRPr="00A0428F" w:rsidRDefault="002C7D43" w:rsidP="0068495A">
            <w:pPr>
              <w:keepNext/>
              <w:spacing w:before="0" w:after="0"/>
              <w:rPr>
                <w:sz w:val="20"/>
                <w:szCs w:val="20"/>
              </w:rPr>
            </w:pPr>
            <w:r w:rsidRPr="00A0428F">
              <w:rPr>
                <w:sz w:val="20"/>
                <w:szCs w:val="20"/>
              </w:rPr>
              <w:t>3</w:t>
            </w:r>
            <w:r w:rsidRPr="00A0428F">
              <w:rPr>
                <w:sz w:val="20"/>
                <w:szCs w:val="20"/>
                <w:vertAlign w:val="superscript"/>
              </w:rPr>
              <w:t>rd</w:t>
            </w:r>
          </w:p>
          <w:p w14:paraId="76EC66FC" w14:textId="77777777" w:rsidR="002C7D43" w:rsidRPr="00A0428F" w:rsidRDefault="002C7D43" w:rsidP="0068495A">
            <w:pPr>
              <w:keepNext/>
              <w:spacing w:before="0" w:after="0"/>
              <w:rPr>
                <w:sz w:val="20"/>
                <w:szCs w:val="20"/>
              </w:rPr>
            </w:pPr>
            <w:r w:rsidRPr="00A0428F">
              <w:rPr>
                <w:sz w:val="20"/>
                <w:szCs w:val="20"/>
              </w:rPr>
              <w:t>(40-47-41)</w:t>
            </w:r>
          </w:p>
        </w:tc>
        <w:tc>
          <w:tcPr>
            <w:tcW w:w="1020" w:type="dxa"/>
          </w:tcPr>
          <w:p w14:paraId="76EC66FD" w14:textId="77777777" w:rsidR="002C7D43" w:rsidRPr="00A0428F" w:rsidRDefault="002C7D43" w:rsidP="0068495A">
            <w:pPr>
              <w:keepNext/>
              <w:spacing w:before="0" w:after="0"/>
              <w:rPr>
                <w:sz w:val="20"/>
                <w:szCs w:val="20"/>
              </w:rPr>
            </w:pPr>
            <w:r w:rsidRPr="00A0428F">
              <w:rPr>
                <w:sz w:val="20"/>
                <w:szCs w:val="20"/>
              </w:rPr>
              <w:t>4</w:t>
            </w:r>
            <w:r w:rsidRPr="00A0428F">
              <w:rPr>
                <w:sz w:val="20"/>
                <w:szCs w:val="20"/>
                <w:vertAlign w:val="superscript"/>
              </w:rPr>
              <w:t>th</w:t>
            </w:r>
          </w:p>
          <w:p w14:paraId="76EC66FE" w14:textId="77777777" w:rsidR="002C7D43" w:rsidRPr="00A0428F" w:rsidRDefault="002C7D43" w:rsidP="0068495A">
            <w:pPr>
              <w:keepNext/>
              <w:spacing w:before="0" w:after="0"/>
              <w:rPr>
                <w:sz w:val="20"/>
                <w:szCs w:val="20"/>
              </w:rPr>
            </w:pPr>
            <w:r w:rsidRPr="00A0428F">
              <w:rPr>
                <w:sz w:val="20"/>
                <w:szCs w:val="20"/>
              </w:rPr>
              <w:t>(39-42-41)</w:t>
            </w:r>
          </w:p>
        </w:tc>
        <w:tc>
          <w:tcPr>
            <w:tcW w:w="1051" w:type="dxa"/>
          </w:tcPr>
          <w:p w14:paraId="76EC66FF" w14:textId="77777777" w:rsidR="002C7D43" w:rsidRPr="00A0428F" w:rsidRDefault="002C7D43" w:rsidP="0068495A">
            <w:pPr>
              <w:keepNext/>
              <w:spacing w:before="0" w:after="0"/>
              <w:rPr>
                <w:sz w:val="20"/>
                <w:szCs w:val="20"/>
              </w:rPr>
            </w:pPr>
            <w:r w:rsidRPr="00A0428F">
              <w:rPr>
                <w:sz w:val="20"/>
                <w:szCs w:val="20"/>
              </w:rPr>
              <w:t>2</w:t>
            </w:r>
            <w:r w:rsidRPr="00A0428F">
              <w:rPr>
                <w:sz w:val="20"/>
                <w:szCs w:val="20"/>
                <w:vertAlign w:val="superscript"/>
              </w:rPr>
              <w:t>nd</w:t>
            </w:r>
          </w:p>
          <w:p w14:paraId="76EC6700" w14:textId="77777777" w:rsidR="002C7D43" w:rsidRPr="00A0428F" w:rsidRDefault="002C7D43" w:rsidP="0068495A">
            <w:pPr>
              <w:keepNext/>
              <w:spacing w:before="0" w:after="0"/>
              <w:rPr>
                <w:sz w:val="20"/>
                <w:szCs w:val="20"/>
              </w:rPr>
            </w:pPr>
            <w:r w:rsidRPr="00A0428F">
              <w:rPr>
                <w:sz w:val="20"/>
                <w:szCs w:val="20"/>
              </w:rPr>
              <w:t>(41-43-47)</w:t>
            </w:r>
          </w:p>
        </w:tc>
        <w:tc>
          <w:tcPr>
            <w:tcW w:w="1030" w:type="dxa"/>
          </w:tcPr>
          <w:p w14:paraId="76EC6701" w14:textId="77777777" w:rsidR="002C7D43" w:rsidRPr="00A0428F" w:rsidRDefault="002C7D43" w:rsidP="0068495A">
            <w:pPr>
              <w:keepNext/>
              <w:spacing w:before="0" w:after="0"/>
              <w:rPr>
                <w:sz w:val="20"/>
                <w:szCs w:val="20"/>
              </w:rPr>
            </w:pPr>
            <w:r w:rsidRPr="00A0428F">
              <w:rPr>
                <w:sz w:val="20"/>
                <w:szCs w:val="20"/>
              </w:rPr>
              <w:t>2</w:t>
            </w:r>
            <w:r w:rsidRPr="00A0428F">
              <w:rPr>
                <w:sz w:val="20"/>
                <w:szCs w:val="20"/>
                <w:vertAlign w:val="superscript"/>
              </w:rPr>
              <w:t>nd</w:t>
            </w:r>
          </w:p>
          <w:p w14:paraId="76EC6702" w14:textId="77777777" w:rsidR="002C7D43" w:rsidRPr="00A0428F" w:rsidRDefault="002C7D43" w:rsidP="0068495A">
            <w:pPr>
              <w:keepNext/>
              <w:spacing w:before="0" w:after="0"/>
              <w:rPr>
                <w:sz w:val="20"/>
                <w:szCs w:val="20"/>
              </w:rPr>
            </w:pPr>
            <w:r w:rsidRPr="00A0428F">
              <w:rPr>
                <w:sz w:val="20"/>
                <w:szCs w:val="20"/>
              </w:rPr>
              <w:t>(35-30-29)</w:t>
            </w:r>
          </w:p>
        </w:tc>
        <w:tc>
          <w:tcPr>
            <w:tcW w:w="1038" w:type="dxa"/>
          </w:tcPr>
          <w:p w14:paraId="76EC6703" w14:textId="77777777" w:rsidR="002C7D43" w:rsidRDefault="002C7D43" w:rsidP="0068495A">
            <w:pPr>
              <w:keepNext/>
              <w:spacing w:before="0" w:after="0"/>
              <w:rPr>
                <w:sz w:val="20"/>
                <w:szCs w:val="20"/>
                <w:vertAlign w:val="superscript"/>
              </w:rPr>
            </w:pPr>
            <w:r>
              <w:rPr>
                <w:sz w:val="20"/>
                <w:szCs w:val="20"/>
              </w:rPr>
              <w:t>2</w:t>
            </w:r>
            <w:r w:rsidRPr="00516D86">
              <w:rPr>
                <w:sz w:val="20"/>
                <w:szCs w:val="20"/>
                <w:vertAlign w:val="superscript"/>
              </w:rPr>
              <w:t>nd</w:t>
            </w:r>
          </w:p>
          <w:p w14:paraId="76EC6704" w14:textId="77777777" w:rsidR="002C7D43" w:rsidRPr="00A0428F" w:rsidRDefault="002C7D43" w:rsidP="0068495A">
            <w:pPr>
              <w:keepNext/>
              <w:spacing w:before="0" w:after="0"/>
              <w:rPr>
                <w:sz w:val="20"/>
                <w:szCs w:val="20"/>
              </w:rPr>
            </w:pPr>
            <w:r w:rsidRPr="00516D86">
              <w:rPr>
                <w:sz w:val="20"/>
                <w:szCs w:val="20"/>
              </w:rPr>
              <w:t>(</w:t>
            </w:r>
            <w:r>
              <w:rPr>
                <w:sz w:val="20"/>
                <w:szCs w:val="20"/>
              </w:rPr>
              <w:t>42-29-31)</w:t>
            </w:r>
          </w:p>
        </w:tc>
        <w:tc>
          <w:tcPr>
            <w:tcW w:w="1116" w:type="dxa"/>
          </w:tcPr>
          <w:p w14:paraId="76EC6705" w14:textId="77777777" w:rsidR="002C7D43" w:rsidRDefault="002C7D43" w:rsidP="0068495A">
            <w:pPr>
              <w:keepNext/>
              <w:spacing w:before="0" w:after="0"/>
              <w:rPr>
                <w:sz w:val="20"/>
                <w:szCs w:val="20"/>
              </w:rPr>
            </w:pPr>
            <w:r>
              <w:rPr>
                <w:sz w:val="20"/>
                <w:szCs w:val="20"/>
              </w:rPr>
              <w:t>3</w:t>
            </w:r>
            <w:r w:rsidRPr="009F17AE">
              <w:rPr>
                <w:sz w:val="20"/>
                <w:szCs w:val="20"/>
                <w:vertAlign w:val="superscript"/>
              </w:rPr>
              <w:t>rd</w:t>
            </w:r>
          </w:p>
          <w:p w14:paraId="76EC6706" w14:textId="77777777" w:rsidR="002C7D43" w:rsidRDefault="002C7D43" w:rsidP="0068495A">
            <w:pPr>
              <w:keepNext/>
              <w:spacing w:before="0" w:after="0"/>
              <w:rPr>
                <w:sz w:val="20"/>
                <w:szCs w:val="20"/>
              </w:rPr>
            </w:pPr>
            <w:r>
              <w:rPr>
                <w:sz w:val="20"/>
                <w:szCs w:val="20"/>
              </w:rPr>
              <w:t>(34-43-43)</w:t>
            </w:r>
          </w:p>
        </w:tc>
      </w:tr>
    </w:tbl>
    <w:p w14:paraId="76EC6708" w14:textId="303A996F" w:rsidR="002C7D43" w:rsidRDefault="002C7D43" w:rsidP="002C7D43">
      <w:pPr>
        <w:spacing w:before="0"/>
        <w:rPr>
          <w:i/>
          <w:sz w:val="18"/>
          <w:szCs w:val="18"/>
        </w:rPr>
      </w:pPr>
      <w:r w:rsidRPr="00A0428F">
        <w:rPr>
          <w:i/>
          <w:sz w:val="18"/>
          <w:szCs w:val="18"/>
        </w:rPr>
        <w:t>Source: UK Sport</w:t>
      </w:r>
      <w:r w:rsidR="009A43FF">
        <w:rPr>
          <w:i/>
          <w:sz w:val="18"/>
          <w:szCs w:val="18"/>
        </w:rPr>
        <w:t>.</w:t>
      </w:r>
    </w:p>
    <w:p w14:paraId="76EC6709" w14:textId="35603A06" w:rsidR="002C7D43" w:rsidRDefault="002C7D43" w:rsidP="002C7D43">
      <w:r>
        <w:t xml:space="preserve">Following Team GB's performance in Atlanta in 1996, lottery funding was committed to elite sport, which helped to improve performance in 2000 and 2004 back to and </w:t>
      </w:r>
      <w:r w:rsidR="00963092">
        <w:t xml:space="preserve">above </w:t>
      </w:r>
      <w:r>
        <w:t>the pre-Atlanta levels.</w:t>
      </w:r>
    </w:p>
    <w:p w14:paraId="76EC670A" w14:textId="10F72F07" w:rsidR="002C7D43" w:rsidRDefault="002C7D43" w:rsidP="002C7D43">
      <w:r>
        <w:t>In 2008 and 2012, Team GB's performance increased significantly as compared with the pre-baseline. This s</w:t>
      </w:r>
      <w:r>
        <w:rPr>
          <w:lang w:eastAsia="en-GB"/>
        </w:rPr>
        <w:t xml:space="preserve">uccess is likely to be due to a number of factors, with the most </w:t>
      </w:r>
      <w:r w:rsidR="000E22A8">
        <w:rPr>
          <w:lang w:eastAsia="en-GB"/>
        </w:rPr>
        <w:t>notable</w:t>
      </w:r>
      <w:r>
        <w:rPr>
          <w:lang w:eastAsia="en-GB"/>
        </w:rPr>
        <w:t xml:space="preserve"> being the </w:t>
      </w:r>
      <w:r w:rsidR="00D65F30">
        <w:rPr>
          <w:lang w:eastAsia="en-GB"/>
        </w:rPr>
        <w:t>substantial</w:t>
      </w:r>
      <w:r w:rsidR="00963092">
        <w:rPr>
          <w:lang w:eastAsia="en-GB"/>
        </w:rPr>
        <w:t xml:space="preserve"> </w:t>
      </w:r>
      <w:r>
        <w:rPr>
          <w:lang w:eastAsia="en-GB"/>
        </w:rPr>
        <w:t xml:space="preserve">increase in funding since </w:t>
      </w:r>
      <w:r w:rsidR="00877902">
        <w:rPr>
          <w:lang w:eastAsia="en-GB"/>
        </w:rPr>
        <w:t xml:space="preserve">the UK </w:t>
      </w:r>
      <w:r>
        <w:rPr>
          <w:lang w:eastAsia="en-GB"/>
        </w:rPr>
        <w:t>won the bid for the 2012 Games in 2005.</w:t>
      </w:r>
      <w:r w:rsidR="00B73D10">
        <w:rPr>
          <w:lang w:eastAsia="en-GB"/>
        </w:rPr>
        <w:t xml:space="preserve"> </w:t>
      </w:r>
      <w:r>
        <w:rPr>
          <w:lang w:eastAsia="en-GB"/>
        </w:rPr>
        <w:t xml:space="preserve">Combined UK Sport funding for the 2008 and 2012 Games for Team GB was </w:t>
      </w:r>
      <w:r w:rsidR="00F24D76">
        <w:rPr>
          <w:lang w:eastAsia="en-GB"/>
        </w:rPr>
        <w:t xml:space="preserve">approximately </w:t>
      </w:r>
      <w:r>
        <w:rPr>
          <w:lang w:eastAsia="en-GB"/>
        </w:rPr>
        <w:t>£500</w:t>
      </w:r>
      <w:r w:rsidR="001B497A">
        <w:rPr>
          <w:lang w:eastAsia="en-GB"/>
        </w:rPr>
        <w:t xml:space="preserve"> million</w:t>
      </w:r>
      <w:r>
        <w:rPr>
          <w:lang w:eastAsia="en-GB"/>
        </w:rPr>
        <w:t xml:space="preserve">, an increase of </w:t>
      </w:r>
      <w:r w:rsidR="00F24D76">
        <w:rPr>
          <w:lang w:eastAsia="en-GB"/>
        </w:rPr>
        <w:t xml:space="preserve">around </w:t>
      </w:r>
      <w:r>
        <w:rPr>
          <w:lang w:eastAsia="en-GB"/>
        </w:rPr>
        <w:t>£37</w:t>
      </w:r>
      <w:r w:rsidR="00DA743D">
        <w:rPr>
          <w:lang w:eastAsia="en-GB"/>
        </w:rPr>
        <w:t>0</w:t>
      </w:r>
      <w:r w:rsidR="001B497A">
        <w:rPr>
          <w:lang w:eastAsia="en-GB"/>
        </w:rPr>
        <w:t xml:space="preserve"> million </w:t>
      </w:r>
      <w:r>
        <w:rPr>
          <w:lang w:eastAsia="en-GB"/>
        </w:rPr>
        <w:t>on the combined funding for the 2000 and 2004 Games. In addition to funding, the effect of hosting the 2012 Games is also likely to have had an impact on success.</w:t>
      </w:r>
    </w:p>
    <w:p w14:paraId="76EC670B" w14:textId="3D33C21B" w:rsidR="002C7D43" w:rsidRDefault="002C7D43" w:rsidP="002C7D43">
      <w:pPr>
        <w:rPr>
          <w:b/>
        </w:rPr>
      </w:pPr>
      <w:r>
        <w:t>P</w:t>
      </w:r>
      <w:r w:rsidRPr="005539C2">
        <w:t xml:space="preserve">erformance </w:t>
      </w:r>
      <w:r>
        <w:t xml:space="preserve">outcomes </w:t>
      </w:r>
      <w:r w:rsidRPr="005539C2">
        <w:t>in future Games will be relevant to making a judgement a</w:t>
      </w:r>
      <w:r>
        <w:t xml:space="preserve">s to </w:t>
      </w:r>
      <w:r w:rsidRPr="005539C2">
        <w:t xml:space="preserve">whether </w:t>
      </w:r>
      <w:r>
        <w:t xml:space="preserve">or not </w:t>
      </w:r>
      <w:r w:rsidRPr="005539C2">
        <w:t xml:space="preserve">a sustainable long term legacy in relation to elite sport performance </w:t>
      </w:r>
      <w:r>
        <w:t>is in place</w:t>
      </w:r>
      <w:r w:rsidRPr="005539C2">
        <w:t>.</w:t>
      </w:r>
      <w:r>
        <w:t xml:space="preserve"> It is well documented that the nation hosting the Games has a pre-hosting increase in medals success as well as a further increase in the year they host their home Games. Although there is a decrease in performance the year following a home Games</w:t>
      </w:r>
      <w:r w:rsidR="00F65B4F">
        <w:t>,</w:t>
      </w:r>
      <w:r>
        <w:t xml:space="preserve"> the </w:t>
      </w:r>
      <w:r w:rsidR="00F65B4F">
        <w:t xml:space="preserve">level </w:t>
      </w:r>
      <w:r w:rsidR="00545152">
        <w:t xml:space="preserve">of </w:t>
      </w:r>
      <w:r>
        <w:t>success is usually</w:t>
      </w:r>
      <w:r w:rsidR="00F65B4F">
        <w:t xml:space="preserve"> still</w:t>
      </w:r>
      <w:r>
        <w:t xml:space="preserve"> seen to be greater than that prior to winning the bid. </w:t>
      </w:r>
      <w:r w:rsidRPr="002974A2">
        <w:t xml:space="preserve">Team GB's performance in Rio 2016 will </w:t>
      </w:r>
      <w:r w:rsidR="00466FAB">
        <w:t xml:space="preserve">therefore </w:t>
      </w:r>
      <w:r w:rsidRPr="002974A2">
        <w:t>be important in determining the overall impact of the 2012 Games on elite sport.</w:t>
      </w:r>
    </w:p>
    <w:p w14:paraId="76EC670C" w14:textId="68F07123" w:rsidR="002C7D43" w:rsidRPr="000A7CE5" w:rsidRDefault="002C7D43" w:rsidP="002C7D43">
      <w:r>
        <w:lastRenderedPageBreak/>
        <w:t xml:space="preserve">Medal performance in 2012 does </w:t>
      </w:r>
      <w:r w:rsidR="004E5533">
        <w:t>suggest</w:t>
      </w:r>
      <w:r w:rsidR="004E5533" w:rsidRPr="005A12EE">
        <w:t xml:space="preserve"> </w:t>
      </w:r>
      <w:r w:rsidRPr="005A12EE">
        <w:t>that</w:t>
      </w:r>
      <w:r>
        <w:t xml:space="preserve"> for many sports</w:t>
      </w:r>
      <w:r w:rsidRPr="005A12EE">
        <w:t xml:space="preserve"> the Games </w:t>
      </w:r>
      <w:r>
        <w:t>have put in place</w:t>
      </w:r>
      <w:r w:rsidRPr="005A12EE">
        <w:t xml:space="preserve"> the sporting infrastructure required to sustain a world class, high performance system, to support elite sport across the UK.</w:t>
      </w:r>
      <w:r w:rsidRPr="000A7CE5">
        <w:t xml:space="preserve"> </w:t>
      </w:r>
    </w:p>
    <w:p w14:paraId="76EC670D" w14:textId="77777777" w:rsidR="002C7D43" w:rsidRDefault="002C7D43" w:rsidP="00D9469D">
      <w:pPr>
        <w:pStyle w:val="Heading2"/>
      </w:pPr>
      <w:r>
        <w:t>International</w:t>
      </w:r>
    </w:p>
    <w:p w14:paraId="76EC670E" w14:textId="77777777" w:rsidR="002C7D43" w:rsidRDefault="002C7D43" w:rsidP="00EF4A7F">
      <w:r>
        <w:t xml:space="preserve">The international sub-theme is focused on </w:t>
      </w:r>
      <w:r>
        <w:rPr>
          <w:rFonts w:cs="MPFLD G+ Bliss"/>
          <w:color w:val="000000"/>
          <w:szCs w:val="22"/>
        </w:rPr>
        <w:t xml:space="preserve">investment around sport and international development. </w:t>
      </w:r>
      <w:r w:rsidRPr="005539C2">
        <w:t>The key legac</w:t>
      </w:r>
      <w:r>
        <w:t>y programme associated with this sub</w:t>
      </w:r>
      <w:r w:rsidRPr="005539C2">
        <w:t>-theme is International Inspiration</w:t>
      </w:r>
      <w:r>
        <w:t xml:space="preserve">, although other programmes and initiatives, </w:t>
      </w:r>
      <w:r w:rsidR="00F65B4F">
        <w:t>including</w:t>
      </w:r>
      <w:r>
        <w:t xml:space="preserve"> many of the activities associated with the PGTCs</w:t>
      </w:r>
      <w:r w:rsidR="00F65B4F">
        <w:t>,</w:t>
      </w:r>
      <w:r>
        <w:t xml:space="preserve"> have also helped to drive the international agenda</w:t>
      </w:r>
      <w:r w:rsidRPr="005539C2">
        <w:t>.</w:t>
      </w:r>
    </w:p>
    <w:p w14:paraId="76EC670F" w14:textId="77777777" w:rsidR="002C7D43" w:rsidRDefault="002C7D43" w:rsidP="002C7D43">
      <w:pPr>
        <w:spacing w:before="0"/>
      </w:pPr>
      <w:r>
        <w:t>International Inspiration</w:t>
      </w:r>
      <w:r w:rsidRPr="00F35428">
        <w:t xml:space="preserve"> </w:t>
      </w:r>
      <w:r>
        <w:t xml:space="preserve">as announced by the then Prime Minister in India on 21 January 2008, </w:t>
      </w:r>
      <w:r w:rsidR="00F65B4F">
        <w:t>brought</w:t>
      </w:r>
      <w:r>
        <w:t xml:space="preserve"> into reality the 'Singapore Vision'</w:t>
      </w:r>
      <w:r w:rsidR="00F65B4F">
        <w:t xml:space="preserve"> – the </w:t>
      </w:r>
      <w:r>
        <w:t>promise made by the London 2012 bid team to "</w:t>
      </w:r>
      <w:r>
        <w:rPr>
          <w:i/>
        </w:rPr>
        <w:t>reach young people all around the world and connect them to the inspirational power of the Games so they are inspired to choose sport</w:t>
      </w:r>
      <w:r>
        <w:t>".</w:t>
      </w:r>
      <w:r>
        <w:rPr>
          <w:rStyle w:val="FootnoteReference"/>
        </w:rPr>
        <w:footnoteReference w:id="12"/>
      </w:r>
      <w:r>
        <w:t xml:space="preserve"> The aspiration is to reach 12 million children in 20 countries and the programme aims to use the power of sport to enrich the lives of millions of children and young people of all abilities, in schools and communities across the world, particularly in developing countries, through the power of high quality and inclusive physical education, sport and play. </w:t>
      </w:r>
    </w:p>
    <w:p w14:paraId="3D83AD0E" w14:textId="79F56399" w:rsidR="00CA71D9" w:rsidRDefault="002C7D43" w:rsidP="002C7D43">
      <w:r>
        <w:t xml:space="preserve">International Inspiration reached 12 million children </w:t>
      </w:r>
      <w:r w:rsidR="00CA71D9">
        <w:t xml:space="preserve">over 20 countries </w:t>
      </w:r>
      <w:r>
        <w:t>by July 2011</w:t>
      </w:r>
      <w:r w:rsidR="00CA71D9">
        <w:t xml:space="preserve">. A </w:t>
      </w:r>
      <w:r>
        <w:t xml:space="preserve">range of participation and other opportunities </w:t>
      </w:r>
      <w:r w:rsidR="00CA71D9">
        <w:t xml:space="preserve">were </w:t>
      </w:r>
      <w:r>
        <w:t>provided to these children</w:t>
      </w:r>
      <w:r w:rsidR="00CA71D9">
        <w:t xml:space="preserve"> including, for example, 1.5 million children </w:t>
      </w:r>
      <w:r w:rsidR="00EF45D8">
        <w:t xml:space="preserve">undertaking </w:t>
      </w:r>
      <w:r w:rsidR="00CA71D9">
        <w:t xml:space="preserve">sports activities in India, </w:t>
      </w:r>
      <w:r w:rsidR="000E22A8">
        <w:t>460,000</w:t>
      </w:r>
      <w:r w:rsidR="00CB6913">
        <w:t xml:space="preserve"> children involved in s</w:t>
      </w:r>
      <w:r w:rsidR="00CA71D9">
        <w:t xml:space="preserve">ports festivals in Brazil and </w:t>
      </w:r>
      <w:r w:rsidR="000E22A8">
        <w:t>200,000</w:t>
      </w:r>
      <w:r w:rsidR="00CA71D9">
        <w:t xml:space="preserve"> children </w:t>
      </w:r>
      <w:r w:rsidR="00EF45D8">
        <w:t xml:space="preserve">undertaking </w:t>
      </w:r>
      <w:r w:rsidR="00CA71D9">
        <w:t>PE classes in Mozambique.</w:t>
      </w:r>
    </w:p>
    <w:p w14:paraId="76EC6748" w14:textId="77777777" w:rsidR="002C7D43" w:rsidRPr="00657D47" w:rsidRDefault="002C7D43" w:rsidP="00EF4A7F">
      <w:r>
        <w:t xml:space="preserve">There have been a range of supporting activities and other impacts which have facilitated this participation, including </w:t>
      </w:r>
      <w:r w:rsidRPr="00657D47">
        <w:t xml:space="preserve">more coaches and PE teachers trained, changes to the PE curriculum in some countries, partnerships between schools in different countries being formed, young leaders trained, and policy changes and developments to support increased and on-going participation. </w:t>
      </w:r>
    </w:p>
    <w:p w14:paraId="76EC674A" w14:textId="4315FCF2" w:rsidR="002C7D43" w:rsidRDefault="002C7D43" w:rsidP="002C7D43">
      <w:r w:rsidRPr="00657D47">
        <w:t>Through International Inspiration</w:t>
      </w:r>
      <w:r>
        <w:t>, the UK has been able to</w:t>
      </w:r>
      <w:r w:rsidR="00877902" w:rsidRPr="00877902">
        <w:t xml:space="preserve"> support the further development of sport and participation in sport in other countries</w:t>
      </w:r>
      <w:r w:rsidR="004111C9">
        <w:t>, such as:</w:t>
      </w:r>
      <w:r w:rsidR="00935A77">
        <w:t xml:space="preserve"> </w:t>
      </w:r>
    </w:p>
    <w:p w14:paraId="76EC674B" w14:textId="2EF4E170" w:rsidR="002C7D43" w:rsidRDefault="002C7D43" w:rsidP="002C7D43">
      <w:pPr>
        <w:pStyle w:val="BulletOne"/>
        <w:tabs>
          <w:tab w:val="num" w:pos="1420"/>
        </w:tabs>
      </w:pPr>
      <w:r>
        <w:t>India</w:t>
      </w:r>
      <w:r w:rsidR="00935A77">
        <w:t xml:space="preserve">: </w:t>
      </w:r>
      <w:r>
        <w:t>where there has been a change in school curricula with sport being further and better embedded;</w:t>
      </w:r>
    </w:p>
    <w:p w14:paraId="76EC674C" w14:textId="03794A53" w:rsidR="002C7D43" w:rsidRDefault="002C7D43" w:rsidP="002C7D43">
      <w:pPr>
        <w:pStyle w:val="BulletOne"/>
        <w:tabs>
          <w:tab w:val="num" w:pos="1420"/>
        </w:tabs>
      </w:pPr>
      <w:r>
        <w:t>Azerbaijan</w:t>
      </w:r>
      <w:r w:rsidR="00935A77">
        <w:t>:</w:t>
      </w:r>
      <w:r>
        <w:t xml:space="preserve"> where two new pieces of legislation have been introduced protecting the rights of all children to play and take part in sport;</w:t>
      </w:r>
    </w:p>
    <w:p w14:paraId="76EC674D" w14:textId="5F251450" w:rsidR="002C7D43" w:rsidRDefault="002C7D43" w:rsidP="002C7D43">
      <w:pPr>
        <w:pStyle w:val="BulletOne"/>
        <w:tabs>
          <w:tab w:val="num" w:pos="1420"/>
        </w:tabs>
      </w:pPr>
      <w:r>
        <w:t>Palau</w:t>
      </w:r>
      <w:r w:rsidR="00935A77">
        <w:t>:</w:t>
      </w:r>
      <w:r>
        <w:t xml:space="preserve"> where the Ministry of Education and Palau National Olympic Committee are working to ensure sustainable systems are kept in place to support the development and delivery of PE in schools;</w:t>
      </w:r>
    </w:p>
    <w:p w14:paraId="76EC674E" w14:textId="2C8929D0" w:rsidR="002C7D43" w:rsidRDefault="002C7D43" w:rsidP="002C7D43">
      <w:pPr>
        <w:pStyle w:val="BulletOne"/>
        <w:tabs>
          <w:tab w:val="num" w:pos="1420"/>
        </w:tabs>
      </w:pPr>
      <w:r>
        <w:t>Trinidad and Tobago</w:t>
      </w:r>
      <w:r w:rsidR="00935A77">
        <w:t>: where the</w:t>
      </w:r>
      <w:r>
        <w:t xml:space="preserve"> Government and the UK Government </w:t>
      </w:r>
      <w:r w:rsidR="00935A77">
        <w:t xml:space="preserve">are </w:t>
      </w:r>
      <w:r>
        <w:t xml:space="preserve">partnering to pledge continued support for International Inspiration; </w:t>
      </w:r>
    </w:p>
    <w:p w14:paraId="76EC674F" w14:textId="32092812" w:rsidR="002C7D43" w:rsidRDefault="002C7D43" w:rsidP="002C7D43">
      <w:pPr>
        <w:pStyle w:val="BulletOne"/>
        <w:tabs>
          <w:tab w:val="num" w:pos="1420"/>
        </w:tabs>
      </w:pPr>
      <w:r>
        <w:t>Nigeria</w:t>
      </w:r>
      <w:r w:rsidR="00935A77">
        <w:t>:</w:t>
      </w:r>
      <w:r>
        <w:t xml:space="preserve"> where the development of a landmark school sports policy is underway which will protect the rights of girls and disabled children.</w:t>
      </w:r>
    </w:p>
    <w:p w14:paraId="76EC6750" w14:textId="77777777" w:rsidR="002C7D43" w:rsidRDefault="002C7D43" w:rsidP="002C7D43">
      <w:pPr>
        <w:tabs>
          <w:tab w:val="left" w:pos="6946"/>
        </w:tabs>
      </w:pPr>
      <w:r>
        <w:t xml:space="preserve">In addition, over 270 UK schools are linked to partner schools around the world, providing on-going opportunities to influence the role of sport in other countries. </w:t>
      </w:r>
    </w:p>
    <w:p w14:paraId="76EC6751" w14:textId="546C877C" w:rsidR="002C7D43" w:rsidRDefault="00F65B4F" w:rsidP="002C7D43">
      <w:pPr>
        <w:tabs>
          <w:tab w:val="left" w:pos="6946"/>
        </w:tabs>
      </w:pPr>
      <w:r>
        <w:t>F</w:t>
      </w:r>
      <w:r w:rsidR="002C7D43">
        <w:t>ive International Inspiration ambassadors are also able to influence and bring about change in policy, legislation and school curricula.</w:t>
      </w:r>
    </w:p>
    <w:p w14:paraId="76EC6752" w14:textId="77777777" w:rsidR="002C7D43" w:rsidRPr="003153B8" w:rsidRDefault="002C7D43" w:rsidP="002C7D43">
      <w:r w:rsidRPr="003153B8">
        <w:t xml:space="preserve">Having achieved its </w:t>
      </w:r>
      <w:r>
        <w:t xml:space="preserve">initial </w:t>
      </w:r>
      <w:r w:rsidRPr="003153B8">
        <w:t>vision of reaching 12 million children and young people in 20 countries</w:t>
      </w:r>
      <w:r w:rsidR="00F65B4F">
        <w:t>,</w:t>
      </w:r>
      <w:r w:rsidRPr="003153B8">
        <w:t xml:space="preserve"> International Inspiration will now focus on ensuring the programme is sustainable, leaving a lasting legacy in these countries after the final year of the programme in 2014.</w:t>
      </w:r>
    </w:p>
    <w:p w14:paraId="76EC6753" w14:textId="77777777" w:rsidR="002C7D43" w:rsidRDefault="002C7D43" w:rsidP="002C7D43">
      <w:pPr>
        <w:tabs>
          <w:tab w:val="left" w:pos="6946"/>
        </w:tabs>
      </w:pPr>
    </w:p>
    <w:p w14:paraId="76EC6754" w14:textId="77777777" w:rsidR="002C7D43" w:rsidRPr="007E3C11" w:rsidRDefault="002C7D43" w:rsidP="002C7D43">
      <w:pPr>
        <w:pStyle w:val="Heading1"/>
      </w:pPr>
      <w:bookmarkStart w:id="24" w:name="_Toc338746877"/>
      <w:bookmarkStart w:id="25" w:name="_Toc331150770"/>
      <w:r w:rsidRPr="00986328">
        <w:lastRenderedPageBreak/>
        <w:t>Exploiting opportunities for economic growth</w:t>
      </w:r>
      <w:bookmarkEnd w:id="24"/>
      <w:r w:rsidRPr="00986328">
        <w:tab/>
        <w:t xml:space="preserve"> </w:t>
      </w:r>
      <w:bookmarkEnd w:id="25"/>
    </w:p>
    <w:p w14:paraId="76EC6755" w14:textId="77777777" w:rsidR="002C7D43" w:rsidRPr="002670A4" w:rsidRDefault="002C7D43" w:rsidP="002C7D43">
      <w:pPr>
        <w:pBdr>
          <w:top w:val="single" w:sz="4" w:space="1" w:color="auto"/>
          <w:left w:val="single" w:sz="4" w:space="1" w:color="auto"/>
          <w:bottom w:val="single" w:sz="4" w:space="1" w:color="auto"/>
          <w:right w:val="single" w:sz="4" w:space="4" w:color="auto"/>
        </w:pBdr>
        <w:shd w:val="clear" w:color="auto" w:fill="CC99FF"/>
        <w:rPr>
          <w:i/>
        </w:rPr>
      </w:pPr>
      <w:r w:rsidRPr="00F64BA5">
        <w:rPr>
          <w:i/>
        </w:rPr>
        <w:t xml:space="preserve">Headline </w:t>
      </w:r>
      <w:r>
        <w:rPr>
          <w:i/>
        </w:rPr>
        <w:t xml:space="preserve">research question: </w:t>
      </w:r>
      <w:r w:rsidRPr="00DB6D75">
        <w:rPr>
          <w:i/>
        </w:rPr>
        <w:t xml:space="preserve">What have been the economic impacts of the Games, particularly in terms of employment and GVA? </w:t>
      </w:r>
    </w:p>
    <w:p w14:paraId="76EC6756" w14:textId="77777777" w:rsidR="0084780E" w:rsidRDefault="0084780E" w:rsidP="002C7D43">
      <w:r w:rsidRPr="005539C2">
        <w:rPr>
          <w:noProof/>
          <w:lang w:eastAsia="en-GB"/>
        </w:rPr>
        <mc:AlternateContent>
          <mc:Choice Requires="wps">
            <w:drawing>
              <wp:inline distT="0" distB="0" distL="0" distR="0" wp14:anchorId="76EC68E4" wp14:editId="7CBAC895">
                <wp:extent cx="5098415" cy="3183147"/>
                <wp:effectExtent l="0" t="0" r="26035" b="177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3183147"/>
                        </a:xfrm>
                        <a:prstGeom prst="rect">
                          <a:avLst/>
                        </a:prstGeom>
                        <a:solidFill>
                          <a:schemeClr val="bg1">
                            <a:lumMod val="95000"/>
                          </a:schemeClr>
                        </a:solidFill>
                        <a:ln w="9525">
                          <a:solidFill>
                            <a:srgbClr val="000000"/>
                          </a:solidFill>
                          <a:miter lim="800000"/>
                          <a:headEnd/>
                          <a:tailEnd/>
                        </a:ln>
                      </wps:spPr>
                      <wps:txbx>
                        <w:txbxContent>
                          <w:p w14:paraId="76EC6958" w14:textId="77777777" w:rsidR="00CA062D" w:rsidRPr="000B3FB0" w:rsidRDefault="00CA062D" w:rsidP="0084780E">
                            <w:pPr>
                              <w:spacing w:before="0" w:after="120"/>
                              <w:rPr>
                                <w:b/>
                                <w:szCs w:val="22"/>
                              </w:rPr>
                            </w:pPr>
                            <w:r w:rsidRPr="000B3FB0">
                              <w:rPr>
                                <w:b/>
                                <w:szCs w:val="22"/>
                              </w:rPr>
                              <w:t>Key findings:</w:t>
                            </w:r>
                          </w:p>
                          <w:p w14:paraId="76EC6959" w14:textId="6F4A09BB" w:rsidR="00CA062D" w:rsidRPr="00CB4E50" w:rsidRDefault="00CA062D" w:rsidP="000B3FB0">
                            <w:pPr>
                              <w:pStyle w:val="Bullet1"/>
                              <w:numPr>
                                <w:ilvl w:val="0"/>
                                <w:numId w:val="47"/>
                              </w:numPr>
                              <w:spacing w:after="120"/>
                              <w:rPr>
                                <w:szCs w:val="22"/>
                              </w:rPr>
                            </w:pPr>
                            <w:r w:rsidRPr="00CB4E50">
                              <w:rPr>
                                <w:szCs w:val="22"/>
                              </w:rPr>
                              <w:t xml:space="preserve">The £6.5 billion of Olympic Delivery Authority (ODA) spend on the construction of the venues and Olympic Park infrastructure </w:t>
                            </w:r>
                            <w:r w:rsidR="00EB57F2">
                              <w:rPr>
                                <w:szCs w:val="22"/>
                              </w:rPr>
                              <w:t>is estimated to have</w:t>
                            </w:r>
                            <w:r w:rsidRPr="00CB4E50">
                              <w:rPr>
                                <w:szCs w:val="22"/>
                              </w:rPr>
                              <w:t xml:space="preserve"> resulted in a </w:t>
                            </w:r>
                            <w:r w:rsidR="000B52D0">
                              <w:rPr>
                                <w:szCs w:val="22"/>
                              </w:rPr>
                              <w:t>gross</w:t>
                            </w:r>
                            <w:r w:rsidRPr="00CB4E50">
                              <w:rPr>
                                <w:szCs w:val="22"/>
                              </w:rPr>
                              <w:t xml:space="preserve"> impact of £</w:t>
                            </w:r>
                            <w:r w:rsidR="00EB57F2">
                              <w:rPr>
                                <w:szCs w:val="22"/>
                              </w:rPr>
                              <w:t>8.2</w:t>
                            </w:r>
                            <w:r w:rsidRPr="00CB4E50">
                              <w:rPr>
                                <w:szCs w:val="22"/>
                              </w:rPr>
                              <w:t xml:space="preserve"> billion of GVA and </w:t>
                            </w:r>
                            <w:r w:rsidR="00EB57F2">
                              <w:rPr>
                                <w:szCs w:val="22"/>
                              </w:rPr>
                              <w:t>approximately</w:t>
                            </w:r>
                            <w:r w:rsidRPr="00CB4E50">
                              <w:rPr>
                                <w:szCs w:val="22"/>
                              </w:rPr>
                              <w:t xml:space="preserve"> 1</w:t>
                            </w:r>
                            <w:r w:rsidR="00EB57F2">
                              <w:rPr>
                                <w:szCs w:val="22"/>
                              </w:rPr>
                              <w:t>77</w:t>
                            </w:r>
                            <w:r w:rsidRPr="00CB4E50">
                              <w:rPr>
                                <w:szCs w:val="22"/>
                              </w:rPr>
                              <w:t>,000 job years of employment in the UK over the 2007 to the end of Q1 2012 period</w:t>
                            </w:r>
                            <w:r w:rsidR="00EB57F2">
                              <w:rPr>
                                <w:szCs w:val="22"/>
                              </w:rPr>
                              <w:t xml:space="preserve">. Net impact, taking into account potential displacement of other activity, is estimated at £7.3 billion of GVA and 160,000 job years of employment. </w:t>
                            </w:r>
                            <w:r w:rsidRPr="00CB4E50">
                              <w:rPr>
                                <w:szCs w:val="22"/>
                              </w:rPr>
                              <w:t>.</w:t>
                            </w:r>
                          </w:p>
                          <w:p w14:paraId="76EC695A" w14:textId="77777777" w:rsidR="00CA062D" w:rsidRPr="00CB4E50" w:rsidRDefault="00CA062D" w:rsidP="000B3FB0">
                            <w:pPr>
                              <w:pStyle w:val="Bullet1"/>
                              <w:numPr>
                                <w:ilvl w:val="0"/>
                                <w:numId w:val="47"/>
                              </w:numPr>
                              <w:spacing w:after="120"/>
                              <w:rPr>
                                <w:szCs w:val="22"/>
                              </w:rPr>
                            </w:pPr>
                            <w:r w:rsidRPr="00CB4E50">
                              <w:rPr>
                                <w:szCs w:val="22"/>
                              </w:rPr>
                              <w:t xml:space="preserve">The CompeteFor programme has been effective at raising awareness of Games-related contract opportunities for micro-enterprises and small businesses. Over 140,000 businesses were registered on CompeteFor by the end of 2010/11. </w:t>
                            </w:r>
                          </w:p>
                          <w:p w14:paraId="76EC695B" w14:textId="4EA1DB6C" w:rsidR="00CA062D" w:rsidRPr="00CB4E50" w:rsidRDefault="00CA062D" w:rsidP="000B3FB0">
                            <w:pPr>
                              <w:pStyle w:val="Bullet1"/>
                              <w:numPr>
                                <w:ilvl w:val="0"/>
                                <w:numId w:val="47"/>
                              </w:numPr>
                              <w:spacing w:after="120"/>
                              <w:rPr>
                                <w:szCs w:val="22"/>
                              </w:rPr>
                            </w:pPr>
                            <w:r w:rsidRPr="00CB4E50">
                              <w:rPr>
                                <w:szCs w:val="22"/>
                              </w:rPr>
                              <w:t>The London Employment and Skills Taskforce for 2012 (LEST) programme of Games-related employability and skills projects in London had helped 34,500 into employment by the end of 2010/11 (against a milestone of 36,000).</w:t>
                            </w:r>
                          </w:p>
                          <w:p w14:paraId="76EC695C" w14:textId="412CB289" w:rsidR="00CA062D" w:rsidRPr="00CB4E50" w:rsidRDefault="00CA062D" w:rsidP="000B3FB0">
                            <w:pPr>
                              <w:pStyle w:val="Bullet1"/>
                              <w:numPr>
                                <w:ilvl w:val="0"/>
                                <w:numId w:val="47"/>
                              </w:numPr>
                              <w:spacing w:after="120"/>
                              <w:rPr>
                                <w:szCs w:val="22"/>
                              </w:rPr>
                            </w:pPr>
                            <w:r w:rsidRPr="00CB4E50">
                              <w:rPr>
                                <w:szCs w:val="22"/>
                              </w:rPr>
                              <w:t xml:space="preserve">Independent reviews undertaken by the Commission for a Sustainable London 2012 </w:t>
                            </w:r>
                            <w:r w:rsidR="000E22A8">
                              <w:rPr>
                                <w:szCs w:val="22"/>
                              </w:rPr>
                              <w:t xml:space="preserve">(CSL) </w:t>
                            </w:r>
                            <w:r w:rsidRPr="00CB4E50">
                              <w:rPr>
                                <w:szCs w:val="22"/>
                              </w:rPr>
                              <w:t xml:space="preserve">indicate there is considerable potential for the Games to contribute to sustainable development through demonstration effects in the areas of construction, infrastructure development and the staging of mega events. </w:t>
                            </w:r>
                          </w:p>
                          <w:p w14:paraId="76EC695D" w14:textId="77777777" w:rsidR="00CA062D" w:rsidRPr="007C7F00" w:rsidRDefault="00CA062D" w:rsidP="0084780E">
                            <w:pPr>
                              <w:pStyle w:val="BulletOne"/>
                              <w:numPr>
                                <w:ilvl w:val="0"/>
                                <w:numId w:val="0"/>
                              </w:numPr>
                              <w:ind w:left="340"/>
                              <w:rPr>
                                <w:color w:val="FF0000"/>
                                <w:sz w:val="20"/>
                                <w:szCs w:val="20"/>
                              </w:rPr>
                            </w:pP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01.45pt;height:2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" fillcolor="#f2f2f2 [3052]">
                <v:textbox>
                  <w:txbxContent>
                    <w:p w14:paraId="76EC6958" w14:textId="77777777" w:rsidR="00CA062D" w:rsidRPr="000B3FB0" w:rsidRDefault="00CA062D" w:rsidP="0084780E">
                      <w:pPr>
                        <w:spacing w:before="0" w:after="120"/>
                        <w:rPr>
                          <w:b/>
                          <w:szCs w:val="22"/>
                        </w:rPr>
                      </w:pPr>
                      <w:r w:rsidRPr="000B3FB0">
                        <w:rPr>
                          <w:b/>
                          <w:szCs w:val="22"/>
                        </w:rPr>
                        <w:t>Key findings:</w:t>
                      </w:r>
                    </w:p>
                    <w:p w14:paraId="76EC6959" w14:textId="6F4A09BB" w:rsidR="00CA062D" w:rsidRPr="00CB4E50" w:rsidRDefault="00CA062D" w:rsidP="000B3FB0">
                      <w:pPr>
                        <w:pStyle w:val="Bullet1"/>
                        <w:numPr>
                          <w:ilvl w:val="0"/>
                          <w:numId w:val="47"/>
                        </w:numPr>
                        <w:spacing w:after="120"/>
                        <w:rPr>
                          <w:szCs w:val="22"/>
                        </w:rPr>
                      </w:pPr>
                      <w:r w:rsidRPr="00CB4E50">
                        <w:rPr>
                          <w:szCs w:val="22"/>
                        </w:rPr>
                        <w:t xml:space="preserve">The £6.5 billion of Olympic Delivery Authority (ODA) spend on the construction of the venues and Olympic Park infrastructure </w:t>
                      </w:r>
                      <w:r w:rsidR="00EB57F2">
                        <w:rPr>
                          <w:szCs w:val="22"/>
                        </w:rPr>
                        <w:t>is estimated to have</w:t>
                      </w:r>
                      <w:r w:rsidRPr="00CB4E50">
                        <w:rPr>
                          <w:szCs w:val="22"/>
                        </w:rPr>
                        <w:t xml:space="preserve"> resulted in a </w:t>
                      </w:r>
                      <w:r w:rsidR="000B52D0">
                        <w:rPr>
                          <w:szCs w:val="22"/>
                        </w:rPr>
                        <w:t>gross</w:t>
                      </w:r>
                      <w:r w:rsidRPr="00CB4E50">
                        <w:rPr>
                          <w:szCs w:val="22"/>
                        </w:rPr>
                        <w:t xml:space="preserve"> impact of £</w:t>
                      </w:r>
                      <w:r w:rsidR="00EB57F2">
                        <w:rPr>
                          <w:szCs w:val="22"/>
                        </w:rPr>
                        <w:t>8.2</w:t>
                      </w:r>
                      <w:r w:rsidRPr="00CB4E50">
                        <w:rPr>
                          <w:szCs w:val="22"/>
                        </w:rPr>
                        <w:t xml:space="preserve"> billion of GVA and </w:t>
                      </w:r>
                      <w:r w:rsidR="00EB57F2">
                        <w:rPr>
                          <w:szCs w:val="22"/>
                        </w:rPr>
                        <w:t>approximately</w:t>
                      </w:r>
                      <w:r w:rsidRPr="00CB4E50">
                        <w:rPr>
                          <w:szCs w:val="22"/>
                        </w:rPr>
                        <w:t xml:space="preserve"> 1</w:t>
                      </w:r>
                      <w:r w:rsidR="00EB57F2">
                        <w:rPr>
                          <w:szCs w:val="22"/>
                        </w:rPr>
                        <w:t>77</w:t>
                      </w:r>
                      <w:r w:rsidRPr="00CB4E50">
                        <w:rPr>
                          <w:szCs w:val="22"/>
                        </w:rPr>
                        <w:t>,000 job years of employment in the UK over the 2007 to the end of Q1 2012 period</w:t>
                      </w:r>
                      <w:r w:rsidR="00EB57F2">
                        <w:rPr>
                          <w:szCs w:val="22"/>
                        </w:rPr>
                        <w:t xml:space="preserve">. Net impact, taking into account potential displacement of other activity, is estimated at £7.3 billion of GVA and 160,000 job years of employment. </w:t>
                      </w:r>
                      <w:r w:rsidRPr="00CB4E50">
                        <w:rPr>
                          <w:szCs w:val="22"/>
                        </w:rPr>
                        <w:t>.</w:t>
                      </w:r>
                    </w:p>
                    <w:p w14:paraId="76EC695A" w14:textId="77777777" w:rsidR="00CA062D" w:rsidRPr="00CB4E50" w:rsidRDefault="00CA062D" w:rsidP="000B3FB0">
                      <w:pPr>
                        <w:pStyle w:val="Bullet1"/>
                        <w:numPr>
                          <w:ilvl w:val="0"/>
                          <w:numId w:val="47"/>
                        </w:numPr>
                        <w:spacing w:after="120"/>
                        <w:rPr>
                          <w:szCs w:val="22"/>
                        </w:rPr>
                      </w:pPr>
                      <w:r w:rsidRPr="00CB4E50">
                        <w:rPr>
                          <w:szCs w:val="22"/>
                        </w:rPr>
                        <w:t xml:space="preserve">The CompeteFor programme has been effective at raising awareness of Games-related contract opportunities for micro-enterprises and small businesses. Over 140,000 businesses were registered on CompeteFor by the end of 2010/11. </w:t>
                      </w:r>
                    </w:p>
                    <w:p w14:paraId="76EC695B" w14:textId="4EA1DB6C" w:rsidR="00CA062D" w:rsidRPr="00CB4E50" w:rsidRDefault="00CA062D" w:rsidP="000B3FB0">
                      <w:pPr>
                        <w:pStyle w:val="Bullet1"/>
                        <w:numPr>
                          <w:ilvl w:val="0"/>
                          <w:numId w:val="47"/>
                        </w:numPr>
                        <w:spacing w:after="120"/>
                        <w:rPr>
                          <w:szCs w:val="22"/>
                        </w:rPr>
                      </w:pPr>
                      <w:r w:rsidRPr="00CB4E50">
                        <w:rPr>
                          <w:szCs w:val="22"/>
                        </w:rPr>
                        <w:t>The London Employment and Skills Taskforce for 2012 (LEST) programme of Games-related employability and skills projects in London had helped 34,500 into employment by the end of 2010/11 (against a milestone of 36,000).</w:t>
                      </w:r>
                    </w:p>
                    <w:p w14:paraId="76EC695C" w14:textId="412CB289" w:rsidR="00CA062D" w:rsidRPr="00CB4E50" w:rsidRDefault="00CA062D" w:rsidP="000B3FB0">
                      <w:pPr>
                        <w:pStyle w:val="Bullet1"/>
                        <w:numPr>
                          <w:ilvl w:val="0"/>
                          <w:numId w:val="47"/>
                        </w:numPr>
                        <w:spacing w:after="120"/>
                        <w:rPr>
                          <w:szCs w:val="22"/>
                        </w:rPr>
                      </w:pPr>
                      <w:r w:rsidRPr="00CB4E50">
                        <w:rPr>
                          <w:szCs w:val="22"/>
                        </w:rPr>
                        <w:t xml:space="preserve">Independent reviews undertaken by the Commission for a Sustainable London 2012 </w:t>
                      </w:r>
                      <w:r w:rsidR="000E22A8">
                        <w:rPr>
                          <w:szCs w:val="22"/>
                        </w:rPr>
                        <w:t xml:space="preserve">(CSL) </w:t>
                      </w:r>
                      <w:r w:rsidRPr="00CB4E50">
                        <w:rPr>
                          <w:szCs w:val="22"/>
                        </w:rPr>
                        <w:t xml:space="preserve">indicate there is considerable potential for the Games to contribute to sustainable development through demonstration effects in the areas of construction, infrastructure development and the staging of mega events. </w:t>
                      </w:r>
                    </w:p>
                    <w:p w14:paraId="76EC695D" w14:textId="77777777" w:rsidR="00CA062D" w:rsidRPr="007C7F00" w:rsidRDefault="00CA062D" w:rsidP="0084780E">
                      <w:pPr>
                        <w:pStyle w:val="BulletOne"/>
                        <w:numPr>
                          <w:ilvl w:val="0"/>
                          <w:numId w:val="0"/>
                        </w:numPr>
                        <w:ind w:left="340"/>
                        <w:rPr>
                          <w:color w:val="FF0000"/>
                          <w:sz w:val="20"/>
                          <w:szCs w:val="20"/>
                        </w:rPr>
                      </w:pPr>
                    </w:p>
                  </w:txbxContent>
                </v:textbox>
                <w10:anchorlock/>
              </v:shape>
            </w:pict>
          </mc:Fallback>
        </mc:AlternateContent>
      </w:r>
    </w:p>
    <w:p w14:paraId="76EC6757" w14:textId="7389F458" w:rsidR="002C7D43" w:rsidRDefault="002C7D43" w:rsidP="002C7D43">
      <w:r w:rsidRPr="006C7824">
        <w:t xml:space="preserve">The </w:t>
      </w:r>
      <w:r>
        <w:t xml:space="preserve">key </w:t>
      </w:r>
      <w:r w:rsidRPr="006C7824">
        <w:t xml:space="preserve">economic legacy </w:t>
      </w:r>
      <w:r>
        <w:t xml:space="preserve">objective </w:t>
      </w:r>
      <w:r w:rsidRPr="006C7824">
        <w:t xml:space="preserve">of the 2012 Games </w:t>
      </w:r>
      <w:r>
        <w:t>is</w:t>
      </w:r>
      <w:r w:rsidRPr="006C7824">
        <w:t xml:space="preserve"> to exploit to the full the opportunities for economic growth offered by hosting the Games.</w:t>
      </w:r>
      <w:r>
        <w:t xml:space="preserve"> There are a variety of ways in which the Games can lead to economic benefits for the UK, most notably through the employment benefits and impacts on businesses arising from the </w:t>
      </w:r>
      <w:r w:rsidRPr="00F10A8F">
        <w:t>construction of the venues and infrastructure</w:t>
      </w:r>
      <w:r>
        <w:t xml:space="preserve"> and staging of the Games, additional visitors during 2012 and associated expenditure, skills and employment initiatives, and </w:t>
      </w:r>
      <w:r w:rsidRPr="00F10A8F">
        <w:t xml:space="preserve">longer-term </w:t>
      </w:r>
      <w:r>
        <w:t>impacts on the UK</w:t>
      </w:r>
      <w:r w:rsidR="002A073A">
        <w:t>'</w:t>
      </w:r>
      <w:r>
        <w:t xml:space="preserve">s reputation as a place to visit and invest. </w:t>
      </w:r>
    </w:p>
    <w:p w14:paraId="76EC6758" w14:textId="77777777" w:rsidR="002C7D43" w:rsidRDefault="00ED4BAD" w:rsidP="002C7D43">
      <w:pPr>
        <w:pStyle w:val="Heading2"/>
      </w:pPr>
      <w:r w:rsidRPr="00ED4BAD">
        <w:t>Economic impact of construction spend</w:t>
      </w:r>
      <w:r w:rsidR="002C7D43">
        <w:t xml:space="preserve"> </w:t>
      </w:r>
    </w:p>
    <w:p w14:paraId="0EFA6FF0" w14:textId="62969276" w:rsidR="00432F0B" w:rsidRDefault="002C7D43" w:rsidP="002C7D43">
      <w:r>
        <w:t>The majority of economic impacts in the period leading up to the Games relate to the direct</w:t>
      </w:r>
      <w:r w:rsidRPr="00337623">
        <w:t xml:space="preserve"> effects of </w:t>
      </w:r>
      <w:r w:rsidR="0055392F" w:rsidRPr="0055392F">
        <w:t xml:space="preserve">£6.5 billion of </w:t>
      </w:r>
      <w:r w:rsidRPr="00337623">
        <w:t xml:space="preserve">expenditure </w:t>
      </w:r>
      <w:r>
        <w:t>by the ODA on the development of the venues and infrastructure</w:t>
      </w:r>
      <w:r w:rsidR="0055392F">
        <w:t xml:space="preserve"> over the 2007 to the end of Q1 2012 period</w:t>
      </w:r>
      <w:r w:rsidRPr="00337623">
        <w:t>.</w:t>
      </w:r>
      <w:r>
        <w:t xml:space="preserve"> It is estimated that </w:t>
      </w:r>
      <w:r w:rsidR="0055392F">
        <w:t xml:space="preserve">this </w:t>
      </w:r>
      <w:r>
        <w:t xml:space="preserve">ODA spend may have resulted in </w:t>
      </w:r>
      <w:r w:rsidR="00432F0B">
        <w:t>a:</w:t>
      </w:r>
    </w:p>
    <w:p w14:paraId="773FE099" w14:textId="2452FCA1" w:rsidR="00432F0B" w:rsidRDefault="00432F0B" w:rsidP="00657D47">
      <w:pPr>
        <w:pStyle w:val="BulletOne"/>
      </w:pPr>
      <w:r>
        <w:t>'</w:t>
      </w:r>
      <w:r w:rsidR="00565FE4">
        <w:t>G</w:t>
      </w:r>
      <w:r>
        <w:t xml:space="preserve">ross' impact of </w:t>
      </w:r>
      <w:r w:rsidR="002C7D43">
        <w:t>£8.</w:t>
      </w:r>
      <w:r w:rsidR="00F03937">
        <w:t xml:space="preserve">2 billion </w:t>
      </w:r>
      <w:r w:rsidR="002C7D43">
        <w:t>of G</w:t>
      </w:r>
      <w:r w:rsidR="00A73360">
        <w:t xml:space="preserve">ross </w:t>
      </w:r>
      <w:r w:rsidR="002C7D43">
        <w:t>V</w:t>
      </w:r>
      <w:r w:rsidR="00A73360">
        <w:t xml:space="preserve">alue </w:t>
      </w:r>
      <w:r w:rsidR="002C7D43">
        <w:t>A</w:t>
      </w:r>
      <w:r w:rsidR="00A73360">
        <w:t>dded</w:t>
      </w:r>
      <w:r w:rsidR="00795AAE">
        <w:rPr>
          <w:rStyle w:val="FootnoteReference"/>
        </w:rPr>
        <w:footnoteReference w:id="13"/>
      </w:r>
      <w:r>
        <w:t xml:space="preserve">(GVA) in </w:t>
      </w:r>
      <w:r w:rsidR="002C7D43">
        <w:t>2008 prices and approximately 17</w:t>
      </w:r>
      <w:r>
        <w:t>7</w:t>
      </w:r>
      <w:r w:rsidR="002C7D43">
        <w:t>,000 job years of employment in the UK</w:t>
      </w:r>
      <w:r w:rsidR="001F6371">
        <w:t>;</w:t>
      </w:r>
    </w:p>
    <w:p w14:paraId="35C4B6F8" w14:textId="1EB267E9" w:rsidR="00432F0B" w:rsidRPr="005152F7" w:rsidRDefault="00432F0B" w:rsidP="00657D47">
      <w:pPr>
        <w:pStyle w:val="BulletOne"/>
      </w:pPr>
      <w:r>
        <w:t>'</w:t>
      </w:r>
      <w:r w:rsidR="00565FE4">
        <w:t>N</w:t>
      </w:r>
      <w:r>
        <w:t>et' impact (</w:t>
      </w:r>
      <w:proofErr w:type="spellStart"/>
      <w:r>
        <w:t>ie</w:t>
      </w:r>
      <w:proofErr w:type="spellEnd"/>
      <w:r>
        <w:t xml:space="preserve"> taking into account displacement) of £7.3 billion of GVA in 2008 prices and nearly 160,000 job years of employment in the UK</w:t>
      </w:r>
      <w:r w:rsidR="001F6371">
        <w:t>.</w:t>
      </w:r>
    </w:p>
    <w:p w14:paraId="76EC6759" w14:textId="4D959C73" w:rsidR="002C7D43" w:rsidRDefault="002C7D43" w:rsidP="005152F7">
      <w:r>
        <w:t xml:space="preserve">Figure </w:t>
      </w:r>
      <w:r w:rsidR="00F13775">
        <w:t>5</w:t>
      </w:r>
      <w:r>
        <w:t xml:space="preserve">-1 summarises how </w:t>
      </w:r>
      <w:r w:rsidR="00432F0B">
        <w:t xml:space="preserve">the 'net' </w:t>
      </w:r>
      <w:r>
        <w:t xml:space="preserve">GVA and </w:t>
      </w:r>
      <w:r w:rsidR="00432F0B">
        <w:t xml:space="preserve">net </w:t>
      </w:r>
      <w:r>
        <w:t>employment impact are distributed throughout the UK.</w:t>
      </w:r>
      <w:r>
        <w:rPr>
          <w:rStyle w:val="FootnoteReference"/>
        </w:rPr>
        <w:footnoteReference w:id="14"/>
      </w:r>
      <w:r>
        <w:t xml:space="preserve"> </w:t>
      </w:r>
    </w:p>
    <w:p w14:paraId="76EC675A" w14:textId="7F9FCBF4" w:rsidR="002C7D43" w:rsidRDefault="00F13775" w:rsidP="002C7D43">
      <w:pPr>
        <w:keepNext/>
        <w:rPr>
          <w:b/>
          <w:szCs w:val="22"/>
        </w:rPr>
      </w:pPr>
      <w:r w:rsidRPr="00F13775">
        <w:rPr>
          <w:b/>
        </w:rPr>
        <w:lastRenderedPageBreak/>
        <w:t xml:space="preserve">Figure </w:t>
      </w:r>
      <w:r w:rsidRPr="00F13775">
        <w:rPr>
          <w:b/>
        </w:rPr>
        <w:fldChar w:fldCharType="begin"/>
      </w:r>
      <w:r w:rsidRPr="00F13775">
        <w:rPr>
          <w:b/>
        </w:rPr>
        <w:instrText xml:space="preserve"> STYLEREF 1 \s </w:instrText>
      </w:r>
      <w:r w:rsidRPr="00F13775">
        <w:rPr>
          <w:b/>
        </w:rPr>
        <w:fldChar w:fldCharType="separate"/>
      </w:r>
      <w:r w:rsidR="003D22DB">
        <w:rPr>
          <w:b/>
          <w:noProof/>
        </w:rPr>
        <w:t>5</w:t>
      </w:r>
      <w:r w:rsidRPr="00F13775">
        <w:rPr>
          <w:b/>
        </w:rPr>
        <w:fldChar w:fldCharType="end"/>
      </w:r>
      <w:r w:rsidRPr="00F13775">
        <w:rPr>
          <w:b/>
        </w:rPr>
        <w:noBreakHyphen/>
      </w:r>
      <w:r w:rsidRPr="00F13775">
        <w:rPr>
          <w:b/>
        </w:rPr>
        <w:fldChar w:fldCharType="begin"/>
      </w:r>
      <w:r w:rsidRPr="00F13775">
        <w:rPr>
          <w:b/>
        </w:rPr>
        <w:instrText xml:space="preserve"> SEQ Figure \* ARABIC \s 1 </w:instrText>
      </w:r>
      <w:r w:rsidRPr="00F13775">
        <w:rPr>
          <w:b/>
        </w:rPr>
        <w:fldChar w:fldCharType="separate"/>
      </w:r>
      <w:r w:rsidR="003D22DB">
        <w:rPr>
          <w:b/>
          <w:noProof/>
        </w:rPr>
        <w:t>1</w:t>
      </w:r>
      <w:r w:rsidRPr="00F13775">
        <w:rPr>
          <w:b/>
        </w:rPr>
        <w:fldChar w:fldCharType="end"/>
      </w:r>
      <w:r w:rsidR="002C7D43">
        <w:rPr>
          <w:b/>
        </w:rPr>
        <w:t xml:space="preserve">: </w:t>
      </w:r>
      <w:r w:rsidR="00116A75">
        <w:rPr>
          <w:b/>
        </w:rPr>
        <w:t>'</w:t>
      </w:r>
      <w:r w:rsidR="00432F0B">
        <w:rPr>
          <w:b/>
        </w:rPr>
        <w:t>Net</w:t>
      </w:r>
      <w:r w:rsidR="00116A75">
        <w:rPr>
          <w:b/>
        </w:rPr>
        <w:t>'</w:t>
      </w:r>
      <w:r w:rsidR="00432F0B">
        <w:rPr>
          <w:b/>
        </w:rPr>
        <w:t xml:space="preserve"> r</w:t>
      </w:r>
      <w:r w:rsidR="002C7D43">
        <w:rPr>
          <w:b/>
          <w:szCs w:val="22"/>
        </w:rPr>
        <w:t xml:space="preserve">egional GVA and </w:t>
      </w:r>
      <w:r w:rsidR="001113EB">
        <w:rPr>
          <w:b/>
          <w:szCs w:val="22"/>
        </w:rPr>
        <w:t>e</w:t>
      </w:r>
      <w:r w:rsidR="002C7D43">
        <w:rPr>
          <w:b/>
          <w:szCs w:val="22"/>
        </w:rPr>
        <w:t xml:space="preserve">mployment </w:t>
      </w:r>
      <w:r w:rsidR="001113EB">
        <w:rPr>
          <w:b/>
          <w:szCs w:val="22"/>
        </w:rPr>
        <w:t>i</w:t>
      </w:r>
      <w:r w:rsidR="002C7D43">
        <w:rPr>
          <w:b/>
          <w:szCs w:val="22"/>
        </w:rPr>
        <w:t xml:space="preserve">mpacts of ODA </w:t>
      </w:r>
      <w:r w:rsidR="001113EB">
        <w:rPr>
          <w:b/>
          <w:szCs w:val="22"/>
        </w:rPr>
        <w:t>s</w:t>
      </w:r>
      <w:r w:rsidR="002C7D43">
        <w:rPr>
          <w:b/>
          <w:szCs w:val="22"/>
        </w:rPr>
        <w:t>pend (2008 prices)</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417"/>
        <w:gridCol w:w="1418"/>
        <w:gridCol w:w="1418"/>
        <w:gridCol w:w="1275"/>
      </w:tblGrid>
      <w:tr w:rsidR="002C7D43" w:rsidRPr="00A0428F" w14:paraId="76EC6760" w14:textId="77777777" w:rsidTr="0068495A">
        <w:tc>
          <w:tcPr>
            <w:tcW w:w="2552" w:type="dxa"/>
            <w:shd w:val="clear" w:color="auto" w:fill="F2F2F2"/>
          </w:tcPr>
          <w:p w14:paraId="76EC675B" w14:textId="77777777" w:rsidR="002C7D43" w:rsidRPr="00A0428F" w:rsidRDefault="002C7D43" w:rsidP="0068495A">
            <w:pPr>
              <w:keepNext/>
              <w:spacing w:before="0" w:after="0"/>
              <w:rPr>
                <w:b/>
                <w:sz w:val="20"/>
                <w:szCs w:val="20"/>
              </w:rPr>
            </w:pPr>
          </w:p>
        </w:tc>
        <w:tc>
          <w:tcPr>
            <w:tcW w:w="1417" w:type="dxa"/>
            <w:shd w:val="clear" w:color="auto" w:fill="F2F2F2"/>
          </w:tcPr>
          <w:p w14:paraId="76EC675C" w14:textId="67F5D8D0" w:rsidR="002C7D43" w:rsidRPr="00A0428F" w:rsidRDefault="002C7D43" w:rsidP="005152F7">
            <w:pPr>
              <w:keepNext/>
              <w:spacing w:before="0" w:after="0"/>
              <w:jc w:val="right"/>
              <w:rPr>
                <w:b/>
                <w:sz w:val="20"/>
                <w:szCs w:val="20"/>
              </w:rPr>
            </w:pPr>
            <w:r>
              <w:rPr>
                <w:b/>
                <w:sz w:val="20"/>
                <w:szCs w:val="20"/>
              </w:rPr>
              <w:t>Total Output (£m)</w:t>
            </w:r>
          </w:p>
        </w:tc>
        <w:tc>
          <w:tcPr>
            <w:tcW w:w="1418" w:type="dxa"/>
            <w:shd w:val="clear" w:color="auto" w:fill="F2F2F2"/>
          </w:tcPr>
          <w:p w14:paraId="76EC675D" w14:textId="77777777" w:rsidR="002C7D43" w:rsidRPr="00A0428F" w:rsidRDefault="002C7D43" w:rsidP="0068495A">
            <w:pPr>
              <w:keepNext/>
              <w:spacing w:before="0" w:after="0"/>
              <w:jc w:val="right"/>
              <w:rPr>
                <w:b/>
                <w:sz w:val="20"/>
                <w:szCs w:val="20"/>
              </w:rPr>
            </w:pPr>
            <w:r>
              <w:rPr>
                <w:b/>
                <w:sz w:val="20"/>
                <w:szCs w:val="20"/>
              </w:rPr>
              <w:t>Total GVA (£m)</w:t>
            </w:r>
          </w:p>
        </w:tc>
        <w:tc>
          <w:tcPr>
            <w:tcW w:w="1418" w:type="dxa"/>
            <w:shd w:val="clear" w:color="auto" w:fill="F2F2F2"/>
          </w:tcPr>
          <w:p w14:paraId="76EC675E" w14:textId="77777777" w:rsidR="002C7D43" w:rsidRPr="00A0428F" w:rsidRDefault="002C7D43" w:rsidP="0068495A">
            <w:pPr>
              <w:keepNext/>
              <w:spacing w:before="0" w:after="0"/>
              <w:jc w:val="right"/>
              <w:rPr>
                <w:b/>
                <w:sz w:val="20"/>
                <w:szCs w:val="20"/>
              </w:rPr>
            </w:pPr>
            <w:r>
              <w:rPr>
                <w:b/>
                <w:sz w:val="20"/>
                <w:szCs w:val="20"/>
              </w:rPr>
              <w:t>Total Job Years of Employment</w:t>
            </w:r>
          </w:p>
        </w:tc>
        <w:tc>
          <w:tcPr>
            <w:tcW w:w="1275" w:type="dxa"/>
            <w:shd w:val="clear" w:color="auto" w:fill="F2F2F2"/>
          </w:tcPr>
          <w:p w14:paraId="76EC675F" w14:textId="77777777" w:rsidR="002C7D43" w:rsidRPr="00A0428F" w:rsidRDefault="002C7D43" w:rsidP="0068495A">
            <w:pPr>
              <w:keepNext/>
              <w:spacing w:before="0" w:after="0"/>
              <w:jc w:val="right"/>
              <w:rPr>
                <w:b/>
                <w:sz w:val="20"/>
                <w:szCs w:val="20"/>
              </w:rPr>
            </w:pPr>
            <w:r>
              <w:rPr>
                <w:b/>
                <w:sz w:val="20"/>
                <w:szCs w:val="20"/>
              </w:rPr>
              <w:t>Total Earnings (£m)</w:t>
            </w:r>
          </w:p>
        </w:tc>
      </w:tr>
      <w:tr w:rsidR="00432F0B" w:rsidRPr="00A0428F" w14:paraId="76EC6766" w14:textId="77777777" w:rsidTr="00ED4BAD">
        <w:trPr>
          <w:trHeight w:val="400"/>
        </w:trPr>
        <w:tc>
          <w:tcPr>
            <w:tcW w:w="2552" w:type="dxa"/>
            <w:vAlign w:val="bottom"/>
          </w:tcPr>
          <w:p w14:paraId="76EC6761" w14:textId="77777777" w:rsidR="00432F0B" w:rsidRDefault="00432F0B" w:rsidP="0068495A">
            <w:pPr>
              <w:keepNext/>
              <w:spacing w:before="0" w:after="0"/>
              <w:rPr>
                <w:b/>
                <w:sz w:val="20"/>
                <w:szCs w:val="20"/>
              </w:rPr>
            </w:pPr>
            <w:r w:rsidRPr="00ED4BAD">
              <w:rPr>
                <w:b/>
                <w:sz w:val="20"/>
                <w:szCs w:val="20"/>
              </w:rPr>
              <w:t>London</w:t>
            </w:r>
          </w:p>
        </w:tc>
        <w:tc>
          <w:tcPr>
            <w:tcW w:w="1417" w:type="dxa"/>
            <w:vAlign w:val="bottom"/>
          </w:tcPr>
          <w:p w14:paraId="76EC6762" w14:textId="2212426F" w:rsidR="00432F0B" w:rsidRPr="00EF4A7F" w:rsidRDefault="008141EB" w:rsidP="0068495A">
            <w:pPr>
              <w:keepNext/>
              <w:spacing w:before="0" w:after="0"/>
              <w:jc w:val="right"/>
              <w:rPr>
                <w:sz w:val="20"/>
                <w:szCs w:val="20"/>
              </w:rPr>
            </w:pPr>
            <w:r>
              <w:rPr>
                <w:sz w:val="20"/>
                <w:szCs w:val="20"/>
              </w:rPr>
              <w:t>£</w:t>
            </w:r>
            <w:r w:rsidR="00432F0B">
              <w:rPr>
                <w:sz w:val="20"/>
                <w:szCs w:val="20"/>
              </w:rPr>
              <w:t>5,120</w:t>
            </w:r>
          </w:p>
        </w:tc>
        <w:tc>
          <w:tcPr>
            <w:tcW w:w="1418" w:type="dxa"/>
            <w:vAlign w:val="bottom"/>
          </w:tcPr>
          <w:p w14:paraId="76EC6763" w14:textId="79825A31" w:rsidR="00432F0B" w:rsidRPr="00EF4A7F" w:rsidRDefault="008141EB" w:rsidP="0068495A">
            <w:pPr>
              <w:keepNext/>
              <w:spacing w:before="0" w:after="0"/>
              <w:jc w:val="right"/>
              <w:rPr>
                <w:sz w:val="20"/>
                <w:szCs w:val="20"/>
              </w:rPr>
            </w:pPr>
            <w:r>
              <w:rPr>
                <w:sz w:val="20"/>
                <w:szCs w:val="20"/>
              </w:rPr>
              <w:t>£</w:t>
            </w:r>
            <w:r w:rsidR="00432F0B">
              <w:rPr>
                <w:sz w:val="20"/>
                <w:szCs w:val="20"/>
              </w:rPr>
              <w:t>2,800</w:t>
            </w:r>
          </w:p>
        </w:tc>
        <w:tc>
          <w:tcPr>
            <w:tcW w:w="1418" w:type="dxa"/>
            <w:vAlign w:val="bottom"/>
          </w:tcPr>
          <w:p w14:paraId="76EC6764" w14:textId="67ECAFAA" w:rsidR="00432F0B" w:rsidRPr="00EF4A7F" w:rsidRDefault="00432F0B" w:rsidP="0068495A">
            <w:pPr>
              <w:keepNext/>
              <w:spacing w:before="0" w:after="0"/>
              <w:jc w:val="right"/>
              <w:rPr>
                <w:sz w:val="20"/>
                <w:szCs w:val="20"/>
              </w:rPr>
            </w:pPr>
            <w:r>
              <w:rPr>
                <w:sz w:val="20"/>
                <w:szCs w:val="20"/>
              </w:rPr>
              <w:t>39,500</w:t>
            </w:r>
          </w:p>
        </w:tc>
        <w:tc>
          <w:tcPr>
            <w:tcW w:w="1275" w:type="dxa"/>
            <w:vAlign w:val="bottom"/>
          </w:tcPr>
          <w:p w14:paraId="76EC6765" w14:textId="6A406649" w:rsidR="00432F0B" w:rsidRPr="00EF4A7F" w:rsidRDefault="008141EB" w:rsidP="0068495A">
            <w:pPr>
              <w:keepNext/>
              <w:spacing w:before="0" w:after="0"/>
              <w:jc w:val="right"/>
              <w:rPr>
                <w:sz w:val="20"/>
                <w:szCs w:val="20"/>
              </w:rPr>
            </w:pPr>
            <w:r>
              <w:rPr>
                <w:sz w:val="20"/>
                <w:szCs w:val="20"/>
              </w:rPr>
              <w:t>£</w:t>
            </w:r>
            <w:r w:rsidR="00432F0B">
              <w:rPr>
                <w:sz w:val="20"/>
                <w:szCs w:val="20"/>
              </w:rPr>
              <w:t>1,170</w:t>
            </w:r>
          </w:p>
        </w:tc>
      </w:tr>
      <w:tr w:rsidR="00432F0B" w:rsidRPr="00A0428F" w14:paraId="76EC676C" w14:textId="77777777" w:rsidTr="00ED4BAD">
        <w:trPr>
          <w:trHeight w:val="400"/>
        </w:trPr>
        <w:tc>
          <w:tcPr>
            <w:tcW w:w="2552" w:type="dxa"/>
            <w:vAlign w:val="bottom"/>
          </w:tcPr>
          <w:p w14:paraId="76EC6767" w14:textId="77777777" w:rsidR="00432F0B" w:rsidRDefault="00432F0B" w:rsidP="0068495A">
            <w:pPr>
              <w:keepNext/>
              <w:spacing w:before="0" w:after="0"/>
              <w:rPr>
                <w:b/>
                <w:sz w:val="20"/>
                <w:szCs w:val="20"/>
              </w:rPr>
            </w:pPr>
            <w:r w:rsidRPr="00ED4BAD">
              <w:rPr>
                <w:b/>
                <w:sz w:val="20"/>
                <w:szCs w:val="20"/>
              </w:rPr>
              <w:t>South East</w:t>
            </w:r>
          </w:p>
        </w:tc>
        <w:tc>
          <w:tcPr>
            <w:tcW w:w="1417" w:type="dxa"/>
            <w:vAlign w:val="bottom"/>
          </w:tcPr>
          <w:p w14:paraId="76EC6768" w14:textId="318B68E7" w:rsidR="00432F0B" w:rsidRPr="00EF4A7F" w:rsidRDefault="008141EB" w:rsidP="0068495A">
            <w:pPr>
              <w:keepNext/>
              <w:spacing w:before="0" w:after="0"/>
              <w:jc w:val="right"/>
              <w:rPr>
                <w:sz w:val="20"/>
                <w:szCs w:val="20"/>
              </w:rPr>
            </w:pPr>
            <w:r>
              <w:rPr>
                <w:sz w:val="20"/>
                <w:szCs w:val="20"/>
              </w:rPr>
              <w:t>£</w:t>
            </w:r>
            <w:r w:rsidR="00432F0B">
              <w:rPr>
                <w:sz w:val="20"/>
                <w:szCs w:val="20"/>
              </w:rPr>
              <w:t>2,270</w:t>
            </w:r>
          </w:p>
        </w:tc>
        <w:tc>
          <w:tcPr>
            <w:tcW w:w="1418" w:type="dxa"/>
            <w:vAlign w:val="bottom"/>
          </w:tcPr>
          <w:p w14:paraId="76EC6769" w14:textId="18CB0297" w:rsidR="00432F0B" w:rsidRPr="00EF4A7F" w:rsidRDefault="008141EB" w:rsidP="0068495A">
            <w:pPr>
              <w:keepNext/>
              <w:spacing w:before="0" w:after="0"/>
              <w:jc w:val="right"/>
              <w:rPr>
                <w:sz w:val="20"/>
                <w:szCs w:val="20"/>
              </w:rPr>
            </w:pPr>
            <w:r>
              <w:rPr>
                <w:sz w:val="20"/>
                <w:szCs w:val="20"/>
              </w:rPr>
              <w:t>£</w:t>
            </w:r>
            <w:r w:rsidR="00432F0B">
              <w:rPr>
                <w:sz w:val="20"/>
                <w:szCs w:val="20"/>
              </w:rPr>
              <w:t>1,050</w:t>
            </w:r>
          </w:p>
        </w:tc>
        <w:tc>
          <w:tcPr>
            <w:tcW w:w="1418" w:type="dxa"/>
            <w:vAlign w:val="bottom"/>
          </w:tcPr>
          <w:p w14:paraId="76EC676A" w14:textId="323E08C2" w:rsidR="00432F0B" w:rsidRPr="00EF4A7F" w:rsidRDefault="00432F0B" w:rsidP="0068495A">
            <w:pPr>
              <w:keepNext/>
              <w:spacing w:before="0" w:after="0"/>
              <w:jc w:val="right"/>
              <w:rPr>
                <w:sz w:val="20"/>
                <w:szCs w:val="20"/>
              </w:rPr>
            </w:pPr>
            <w:r>
              <w:rPr>
                <w:sz w:val="20"/>
                <w:szCs w:val="20"/>
              </w:rPr>
              <w:t>24,990</w:t>
            </w:r>
          </w:p>
        </w:tc>
        <w:tc>
          <w:tcPr>
            <w:tcW w:w="1275" w:type="dxa"/>
            <w:vAlign w:val="bottom"/>
          </w:tcPr>
          <w:p w14:paraId="76EC676B" w14:textId="43A0F847" w:rsidR="00432F0B" w:rsidRPr="00EF4A7F" w:rsidRDefault="008141EB" w:rsidP="0068495A">
            <w:pPr>
              <w:keepNext/>
              <w:spacing w:before="0" w:after="0"/>
              <w:jc w:val="right"/>
              <w:rPr>
                <w:sz w:val="20"/>
                <w:szCs w:val="20"/>
              </w:rPr>
            </w:pPr>
            <w:r>
              <w:rPr>
                <w:sz w:val="20"/>
                <w:szCs w:val="20"/>
              </w:rPr>
              <w:t>£</w:t>
            </w:r>
            <w:r w:rsidR="00432F0B">
              <w:rPr>
                <w:sz w:val="20"/>
                <w:szCs w:val="20"/>
              </w:rPr>
              <w:t>580</w:t>
            </w:r>
          </w:p>
        </w:tc>
      </w:tr>
      <w:tr w:rsidR="00432F0B" w:rsidRPr="00A0428F" w14:paraId="76EC6772" w14:textId="77777777" w:rsidTr="00ED4BAD">
        <w:trPr>
          <w:trHeight w:val="400"/>
        </w:trPr>
        <w:tc>
          <w:tcPr>
            <w:tcW w:w="2552" w:type="dxa"/>
            <w:vAlign w:val="bottom"/>
          </w:tcPr>
          <w:p w14:paraId="76EC676D" w14:textId="77777777" w:rsidR="00432F0B" w:rsidRDefault="00432F0B" w:rsidP="0068495A">
            <w:pPr>
              <w:keepNext/>
              <w:spacing w:before="0" w:after="0"/>
              <w:rPr>
                <w:b/>
                <w:sz w:val="20"/>
                <w:szCs w:val="20"/>
              </w:rPr>
            </w:pPr>
            <w:r w:rsidRPr="00ED4BAD">
              <w:rPr>
                <w:b/>
                <w:sz w:val="20"/>
                <w:szCs w:val="20"/>
              </w:rPr>
              <w:t>East of England</w:t>
            </w:r>
          </w:p>
        </w:tc>
        <w:tc>
          <w:tcPr>
            <w:tcW w:w="1417" w:type="dxa"/>
            <w:vAlign w:val="bottom"/>
          </w:tcPr>
          <w:p w14:paraId="76EC676E" w14:textId="4C4431D2" w:rsidR="00432F0B" w:rsidRPr="00EF4A7F" w:rsidRDefault="008141EB" w:rsidP="0068495A">
            <w:pPr>
              <w:keepNext/>
              <w:spacing w:before="0" w:after="0"/>
              <w:jc w:val="right"/>
              <w:rPr>
                <w:sz w:val="20"/>
                <w:szCs w:val="20"/>
              </w:rPr>
            </w:pPr>
            <w:r>
              <w:rPr>
                <w:sz w:val="20"/>
                <w:szCs w:val="20"/>
              </w:rPr>
              <w:t>£</w:t>
            </w:r>
            <w:r w:rsidR="00432F0B">
              <w:rPr>
                <w:sz w:val="20"/>
                <w:szCs w:val="20"/>
              </w:rPr>
              <w:t>2,100</w:t>
            </w:r>
          </w:p>
        </w:tc>
        <w:tc>
          <w:tcPr>
            <w:tcW w:w="1418" w:type="dxa"/>
            <w:vAlign w:val="bottom"/>
          </w:tcPr>
          <w:p w14:paraId="76EC676F" w14:textId="3F2F06D7" w:rsidR="00432F0B" w:rsidRPr="00EF4A7F" w:rsidRDefault="008141EB" w:rsidP="0068495A">
            <w:pPr>
              <w:keepNext/>
              <w:spacing w:before="0" w:after="0"/>
              <w:jc w:val="right"/>
              <w:rPr>
                <w:sz w:val="20"/>
                <w:szCs w:val="20"/>
              </w:rPr>
            </w:pPr>
            <w:r>
              <w:rPr>
                <w:sz w:val="20"/>
                <w:szCs w:val="20"/>
              </w:rPr>
              <w:t>£</w:t>
            </w:r>
            <w:r w:rsidR="00432F0B">
              <w:rPr>
                <w:sz w:val="20"/>
                <w:szCs w:val="20"/>
              </w:rPr>
              <w:t>950</w:t>
            </w:r>
          </w:p>
        </w:tc>
        <w:tc>
          <w:tcPr>
            <w:tcW w:w="1418" w:type="dxa"/>
            <w:vAlign w:val="bottom"/>
          </w:tcPr>
          <w:p w14:paraId="76EC6770" w14:textId="7422FEF8" w:rsidR="00432F0B" w:rsidRPr="00EF4A7F" w:rsidRDefault="00432F0B" w:rsidP="0068495A">
            <w:pPr>
              <w:keepNext/>
              <w:spacing w:before="0" w:after="0"/>
              <w:jc w:val="right"/>
              <w:rPr>
                <w:sz w:val="20"/>
                <w:szCs w:val="20"/>
              </w:rPr>
            </w:pPr>
            <w:r>
              <w:rPr>
                <w:sz w:val="20"/>
                <w:szCs w:val="20"/>
              </w:rPr>
              <w:t>23,250</w:t>
            </w:r>
          </w:p>
        </w:tc>
        <w:tc>
          <w:tcPr>
            <w:tcW w:w="1275" w:type="dxa"/>
            <w:vAlign w:val="bottom"/>
          </w:tcPr>
          <w:p w14:paraId="76EC6771" w14:textId="11619C01" w:rsidR="00432F0B" w:rsidRPr="00EF4A7F" w:rsidRDefault="008141EB" w:rsidP="0068495A">
            <w:pPr>
              <w:keepNext/>
              <w:spacing w:before="0" w:after="0"/>
              <w:jc w:val="right"/>
              <w:rPr>
                <w:sz w:val="20"/>
                <w:szCs w:val="20"/>
              </w:rPr>
            </w:pPr>
            <w:r>
              <w:rPr>
                <w:sz w:val="20"/>
                <w:szCs w:val="20"/>
              </w:rPr>
              <w:t>£</w:t>
            </w:r>
            <w:r w:rsidR="00432F0B">
              <w:rPr>
                <w:sz w:val="20"/>
                <w:szCs w:val="20"/>
              </w:rPr>
              <w:t>520</w:t>
            </w:r>
          </w:p>
        </w:tc>
      </w:tr>
      <w:tr w:rsidR="00432F0B" w:rsidRPr="00A0428F" w14:paraId="76EC6778" w14:textId="77777777" w:rsidTr="00ED4BAD">
        <w:trPr>
          <w:trHeight w:val="400"/>
        </w:trPr>
        <w:tc>
          <w:tcPr>
            <w:tcW w:w="2552" w:type="dxa"/>
            <w:vAlign w:val="bottom"/>
          </w:tcPr>
          <w:p w14:paraId="76EC6773" w14:textId="77777777" w:rsidR="00432F0B" w:rsidRDefault="00432F0B" w:rsidP="0068495A">
            <w:pPr>
              <w:keepNext/>
              <w:spacing w:before="0" w:after="0"/>
              <w:rPr>
                <w:b/>
                <w:sz w:val="20"/>
                <w:szCs w:val="20"/>
              </w:rPr>
            </w:pPr>
            <w:r w:rsidRPr="00ED4BAD">
              <w:rPr>
                <w:b/>
                <w:sz w:val="20"/>
                <w:szCs w:val="20"/>
              </w:rPr>
              <w:t>West Midlands</w:t>
            </w:r>
          </w:p>
        </w:tc>
        <w:tc>
          <w:tcPr>
            <w:tcW w:w="1417" w:type="dxa"/>
            <w:vAlign w:val="bottom"/>
          </w:tcPr>
          <w:p w14:paraId="76EC6774" w14:textId="6F381F33" w:rsidR="00432F0B" w:rsidRPr="00EF4A7F" w:rsidRDefault="008141EB" w:rsidP="0068495A">
            <w:pPr>
              <w:keepNext/>
              <w:spacing w:before="0" w:after="0"/>
              <w:jc w:val="right"/>
              <w:rPr>
                <w:sz w:val="20"/>
                <w:szCs w:val="20"/>
              </w:rPr>
            </w:pPr>
            <w:r>
              <w:rPr>
                <w:sz w:val="20"/>
                <w:szCs w:val="20"/>
              </w:rPr>
              <w:t>£</w:t>
            </w:r>
            <w:r w:rsidR="00432F0B">
              <w:rPr>
                <w:sz w:val="20"/>
                <w:szCs w:val="20"/>
              </w:rPr>
              <w:t>1,270</w:t>
            </w:r>
          </w:p>
        </w:tc>
        <w:tc>
          <w:tcPr>
            <w:tcW w:w="1418" w:type="dxa"/>
            <w:vAlign w:val="bottom"/>
          </w:tcPr>
          <w:p w14:paraId="76EC6775" w14:textId="0A26317D" w:rsidR="00432F0B" w:rsidRPr="00EF4A7F" w:rsidRDefault="008141EB" w:rsidP="0068495A">
            <w:pPr>
              <w:keepNext/>
              <w:spacing w:before="0" w:after="0"/>
              <w:jc w:val="right"/>
              <w:rPr>
                <w:sz w:val="20"/>
                <w:szCs w:val="20"/>
              </w:rPr>
            </w:pPr>
            <w:r>
              <w:rPr>
                <w:sz w:val="20"/>
                <w:szCs w:val="20"/>
              </w:rPr>
              <w:t>£</w:t>
            </w:r>
            <w:r w:rsidR="00432F0B">
              <w:rPr>
                <w:sz w:val="20"/>
                <w:szCs w:val="20"/>
              </w:rPr>
              <w:t>580</w:t>
            </w:r>
          </w:p>
        </w:tc>
        <w:tc>
          <w:tcPr>
            <w:tcW w:w="1418" w:type="dxa"/>
            <w:vAlign w:val="bottom"/>
          </w:tcPr>
          <w:p w14:paraId="76EC6776" w14:textId="7B70A707" w:rsidR="00432F0B" w:rsidRPr="00EF4A7F" w:rsidRDefault="00432F0B" w:rsidP="0068495A">
            <w:pPr>
              <w:keepNext/>
              <w:spacing w:before="0" w:after="0"/>
              <w:jc w:val="right"/>
              <w:rPr>
                <w:sz w:val="20"/>
                <w:szCs w:val="20"/>
              </w:rPr>
            </w:pPr>
            <w:r>
              <w:rPr>
                <w:sz w:val="20"/>
                <w:szCs w:val="20"/>
              </w:rPr>
              <w:t>16,610</w:t>
            </w:r>
          </w:p>
        </w:tc>
        <w:tc>
          <w:tcPr>
            <w:tcW w:w="1275" w:type="dxa"/>
            <w:vAlign w:val="bottom"/>
          </w:tcPr>
          <w:p w14:paraId="76EC6777" w14:textId="68AA8E87" w:rsidR="00432F0B" w:rsidRPr="00EF4A7F" w:rsidRDefault="008141EB" w:rsidP="0068495A">
            <w:pPr>
              <w:keepNext/>
              <w:spacing w:before="0" w:after="0"/>
              <w:jc w:val="right"/>
              <w:rPr>
                <w:sz w:val="20"/>
                <w:szCs w:val="20"/>
              </w:rPr>
            </w:pPr>
            <w:r>
              <w:rPr>
                <w:sz w:val="20"/>
                <w:szCs w:val="20"/>
              </w:rPr>
              <w:t>£</w:t>
            </w:r>
            <w:r w:rsidR="00432F0B">
              <w:rPr>
                <w:sz w:val="20"/>
                <w:szCs w:val="20"/>
              </w:rPr>
              <w:t>320</w:t>
            </w:r>
          </w:p>
        </w:tc>
      </w:tr>
      <w:tr w:rsidR="00432F0B" w:rsidRPr="00A0428F" w14:paraId="76EC677E" w14:textId="77777777" w:rsidTr="00ED4BAD">
        <w:trPr>
          <w:trHeight w:val="400"/>
        </w:trPr>
        <w:tc>
          <w:tcPr>
            <w:tcW w:w="2552" w:type="dxa"/>
            <w:vAlign w:val="bottom"/>
          </w:tcPr>
          <w:p w14:paraId="76EC6779" w14:textId="77777777" w:rsidR="00432F0B" w:rsidRDefault="00432F0B" w:rsidP="0068495A">
            <w:pPr>
              <w:keepNext/>
              <w:spacing w:before="0" w:after="0"/>
              <w:rPr>
                <w:b/>
                <w:sz w:val="20"/>
                <w:szCs w:val="20"/>
              </w:rPr>
            </w:pPr>
            <w:r w:rsidRPr="00ED4BAD">
              <w:rPr>
                <w:b/>
                <w:sz w:val="20"/>
                <w:szCs w:val="20"/>
              </w:rPr>
              <w:t>East Midlands</w:t>
            </w:r>
          </w:p>
        </w:tc>
        <w:tc>
          <w:tcPr>
            <w:tcW w:w="1417" w:type="dxa"/>
            <w:vAlign w:val="bottom"/>
          </w:tcPr>
          <w:p w14:paraId="76EC677A" w14:textId="5711E688" w:rsidR="00432F0B" w:rsidRPr="00EF4A7F" w:rsidRDefault="008141EB" w:rsidP="0068495A">
            <w:pPr>
              <w:keepNext/>
              <w:spacing w:before="0" w:after="0"/>
              <w:jc w:val="right"/>
              <w:rPr>
                <w:sz w:val="20"/>
                <w:szCs w:val="20"/>
              </w:rPr>
            </w:pPr>
            <w:r>
              <w:rPr>
                <w:sz w:val="20"/>
                <w:szCs w:val="20"/>
              </w:rPr>
              <w:t>£</w:t>
            </w:r>
            <w:r w:rsidR="00432F0B">
              <w:rPr>
                <w:sz w:val="20"/>
                <w:szCs w:val="20"/>
              </w:rPr>
              <w:t>820</w:t>
            </w:r>
          </w:p>
        </w:tc>
        <w:tc>
          <w:tcPr>
            <w:tcW w:w="1418" w:type="dxa"/>
            <w:vAlign w:val="bottom"/>
          </w:tcPr>
          <w:p w14:paraId="76EC677B" w14:textId="7645318B" w:rsidR="00432F0B" w:rsidRPr="00EF4A7F" w:rsidRDefault="008141EB" w:rsidP="0068495A">
            <w:pPr>
              <w:keepNext/>
              <w:spacing w:before="0" w:after="0"/>
              <w:jc w:val="right"/>
              <w:rPr>
                <w:sz w:val="20"/>
                <w:szCs w:val="20"/>
              </w:rPr>
            </w:pPr>
            <w:r>
              <w:rPr>
                <w:sz w:val="20"/>
                <w:szCs w:val="20"/>
              </w:rPr>
              <w:t>£</w:t>
            </w:r>
            <w:r w:rsidR="00432F0B">
              <w:rPr>
                <w:sz w:val="20"/>
                <w:szCs w:val="20"/>
              </w:rPr>
              <w:t>380</w:t>
            </w:r>
          </w:p>
        </w:tc>
        <w:tc>
          <w:tcPr>
            <w:tcW w:w="1418" w:type="dxa"/>
            <w:vAlign w:val="bottom"/>
          </w:tcPr>
          <w:p w14:paraId="76EC677C" w14:textId="5AC44187" w:rsidR="00432F0B" w:rsidRPr="00EF4A7F" w:rsidRDefault="00432F0B" w:rsidP="0068495A">
            <w:pPr>
              <w:keepNext/>
              <w:spacing w:before="0" w:after="0"/>
              <w:jc w:val="right"/>
              <w:rPr>
                <w:sz w:val="20"/>
                <w:szCs w:val="20"/>
              </w:rPr>
            </w:pPr>
            <w:r>
              <w:rPr>
                <w:sz w:val="20"/>
                <w:szCs w:val="20"/>
              </w:rPr>
              <w:t>11,040</w:t>
            </w:r>
          </w:p>
        </w:tc>
        <w:tc>
          <w:tcPr>
            <w:tcW w:w="1275" w:type="dxa"/>
            <w:vAlign w:val="bottom"/>
          </w:tcPr>
          <w:p w14:paraId="76EC677D" w14:textId="722ACBC6" w:rsidR="00432F0B" w:rsidRPr="00EF4A7F" w:rsidRDefault="008141EB" w:rsidP="0068495A">
            <w:pPr>
              <w:keepNext/>
              <w:spacing w:before="0" w:after="0"/>
              <w:jc w:val="right"/>
              <w:rPr>
                <w:sz w:val="20"/>
                <w:szCs w:val="20"/>
              </w:rPr>
            </w:pPr>
            <w:r>
              <w:rPr>
                <w:sz w:val="20"/>
                <w:szCs w:val="20"/>
              </w:rPr>
              <w:t>£</w:t>
            </w:r>
            <w:r w:rsidR="00432F0B">
              <w:rPr>
                <w:sz w:val="20"/>
                <w:szCs w:val="20"/>
              </w:rPr>
              <w:t>210</w:t>
            </w:r>
          </w:p>
        </w:tc>
      </w:tr>
      <w:tr w:rsidR="00432F0B" w:rsidRPr="00A0428F" w14:paraId="76EC6784" w14:textId="77777777" w:rsidTr="00ED4BAD">
        <w:trPr>
          <w:trHeight w:val="400"/>
        </w:trPr>
        <w:tc>
          <w:tcPr>
            <w:tcW w:w="2552" w:type="dxa"/>
            <w:vAlign w:val="bottom"/>
          </w:tcPr>
          <w:p w14:paraId="76EC677F" w14:textId="77777777" w:rsidR="00432F0B" w:rsidRDefault="00432F0B" w:rsidP="0068495A">
            <w:pPr>
              <w:keepNext/>
              <w:spacing w:before="0" w:after="0"/>
              <w:rPr>
                <w:b/>
                <w:sz w:val="20"/>
                <w:szCs w:val="20"/>
              </w:rPr>
            </w:pPr>
            <w:r w:rsidRPr="00ED4BAD">
              <w:rPr>
                <w:b/>
                <w:sz w:val="20"/>
                <w:szCs w:val="20"/>
              </w:rPr>
              <w:t>North West</w:t>
            </w:r>
          </w:p>
        </w:tc>
        <w:tc>
          <w:tcPr>
            <w:tcW w:w="1417" w:type="dxa"/>
            <w:vAlign w:val="bottom"/>
          </w:tcPr>
          <w:p w14:paraId="76EC6780" w14:textId="64C5C4BF" w:rsidR="00432F0B" w:rsidRPr="00EF4A7F" w:rsidRDefault="008141EB" w:rsidP="0068495A">
            <w:pPr>
              <w:keepNext/>
              <w:spacing w:before="0" w:after="0"/>
              <w:jc w:val="right"/>
              <w:rPr>
                <w:sz w:val="20"/>
                <w:szCs w:val="20"/>
              </w:rPr>
            </w:pPr>
            <w:r>
              <w:rPr>
                <w:sz w:val="20"/>
                <w:szCs w:val="20"/>
              </w:rPr>
              <w:t>£</w:t>
            </w:r>
            <w:r w:rsidR="00432F0B">
              <w:rPr>
                <w:sz w:val="20"/>
                <w:szCs w:val="20"/>
              </w:rPr>
              <w:t>870</w:t>
            </w:r>
          </w:p>
        </w:tc>
        <w:tc>
          <w:tcPr>
            <w:tcW w:w="1418" w:type="dxa"/>
            <w:vAlign w:val="bottom"/>
          </w:tcPr>
          <w:p w14:paraId="76EC6781" w14:textId="578A96FC" w:rsidR="00432F0B" w:rsidRPr="00EF4A7F" w:rsidRDefault="008141EB" w:rsidP="0068495A">
            <w:pPr>
              <w:keepNext/>
              <w:spacing w:before="0" w:after="0"/>
              <w:jc w:val="right"/>
              <w:rPr>
                <w:sz w:val="20"/>
                <w:szCs w:val="20"/>
              </w:rPr>
            </w:pPr>
            <w:r>
              <w:rPr>
                <w:sz w:val="20"/>
                <w:szCs w:val="20"/>
              </w:rPr>
              <w:t>£</w:t>
            </w:r>
            <w:r w:rsidR="00432F0B">
              <w:rPr>
                <w:sz w:val="20"/>
                <w:szCs w:val="20"/>
              </w:rPr>
              <w:t>370</w:t>
            </w:r>
          </w:p>
        </w:tc>
        <w:tc>
          <w:tcPr>
            <w:tcW w:w="1418" w:type="dxa"/>
            <w:vAlign w:val="bottom"/>
          </w:tcPr>
          <w:p w14:paraId="76EC6782" w14:textId="5A25EE65" w:rsidR="00432F0B" w:rsidRPr="00EF4A7F" w:rsidRDefault="00432F0B" w:rsidP="0068495A">
            <w:pPr>
              <w:keepNext/>
              <w:spacing w:before="0" w:after="0"/>
              <w:jc w:val="right"/>
              <w:rPr>
                <w:sz w:val="20"/>
                <w:szCs w:val="20"/>
              </w:rPr>
            </w:pPr>
            <w:r>
              <w:rPr>
                <w:sz w:val="20"/>
                <w:szCs w:val="20"/>
              </w:rPr>
              <w:t>9,810</w:t>
            </w:r>
          </w:p>
        </w:tc>
        <w:tc>
          <w:tcPr>
            <w:tcW w:w="1275" w:type="dxa"/>
            <w:vAlign w:val="bottom"/>
          </w:tcPr>
          <w:p w14:paraId="76EC6783" w14:textId="6ED858FF" w:rsidR="00432F0B" w:rsidRPr="00EF4A7F" w:rsidRDefault="008141EB" w:rsidP="0068495A">
            <w:pPr>
              <w:keepNext/>
              <w:spacing w:before="0" w:after="0"/>
              <w:jc w:val="right"/>
              <w:rPr>
                <w:sz w:val="20"/>
                <w:szCs w:val="20"/>
              </w:rPr>
            </w:pPr>
            <w:r>
              <w:rPr>
                <w:sz w:val="20"/>
                <w:szCs w:val="20"/>
              </w:rPr>
              <w:t>£</w:t>
            </w:r>
            <w:r w:rsidR="00432F0B">
              <w:rPr>
                <w:sz w:val="20"/>
                <w:szCs w:val="20"/>
              </w:rPr>
              <w:t>200</w:t>
            </w:r>
          </w:p>
        </w:tc>
      </w:tr>
      <w:tr w:rsidR="00432F0B" w:rsidRPr="00A0428F" w14:paraId="76EC678A" w14:textId="77777777" w:rsidTr="00ED4BAD">
        <w:trPr>
          <w:trHeight w:val="400"/>
        </w:trPr>
        <w:tc>
          <w:tcPr>
            <w:tcW w:w="2552" w:type="dxa"/>
            <w:vAlign w:val="bottom"/>
          </w:tcPr>
          <w:p w14:paraId="76EC6785" w14:textId="77777777" w:rsidR="00432F0B" w:rsidRDefault="00432F0B" w:rsidP="0068495A">
            <w:pPr>
              <w:keepNext/>
              <w:spacing w:before="0" w:after="0"/>
              <w:rPr>
                <w:b/>
                <w:sz w:val="20"/>
                <w:szCs w:val="20"/>
              </w:rPr>
            </w:pPr>
            <w:r w:rsidRPr="00ED4BAD">
              <w:rPr>
                <w:b/>
                <w:sz w:val="20"/>
                <w:szCs w:val="20"/>
              </w:rPr>
              <w:t>Yorkshire and the Humber</w:t>
            </w:r>
          </w:p>
        </w:tc>
        <w:tc>
          <w:tcPr>
            <w:tcW w:w="1417" w:type="dxa"/>
            <w:vAlign w:val="bottom"/>
          </w:tcPr>
          <w:p w14:paraId="76EC6786" w14:textId="1219CF52" w:rsidR="00432F0B" w:rsidRPr="00EF4A7F" w:rsidRDefault="008141EB" w:rsidP="0068495A">
            <w:pPr>
              <w:keepNext/>
              <w:spacing w:before="0" w:after="0"/>
              <w:jc w:val="right"/>
              <w:rPr>
                <w:sz w:val="20"/>
                <w:szCs w:val="20"/>
              </w:rPr>
            </w:pPr>
            <w:r>
              <w:rPr>
                <w:sz w:val="20"/>
                <w:szCs w:val="20"/>
              </w:rPr>
              <w:t>£</w:t>
            </w:r>
            <w:r w:rsidR="00432F0B">
              <w:rPr>
                <w:sz w:val="20"/>
                <w:szCs w:val="20"/>
              </w:rPr>
              <w:t>620</w:t>
            </w:r>
          </w:p>
        </w:tc>
        <w:tc>
          <w:tcPr>
            <w:tcW w:w="1418" w:type="dxa"/>
            <w:vAlign w:val="bottom"/>
          </w:tcPr>
          <w:p w14:paraId="76EC6787" w14:textId="7ACF1431" w:rsidR="00432F0B" w:rsidRPr="00EF4A7F" w:rsidRDefault="008141EB" w:rsidP="0068495A">
            <w:pPr>
              <w:keepNext/>
              <w:spacing w:before="0" w:after="0"/>
              <w:jc w:val="right"/>
              <w:rPr>
                <w:sz w:val="20"/>
                <w:szCs w:val="20"/>
              </w:rPr>
            </w:pPr>
            <w:r>
              <w:rPr>
                <w:sz w:val="20"/>
                <w:szCs w:val="20"/>
              </w:rPr>
              <w:t>£</w:t>
            </w:r>
            <w:r w:rsidR="00432F0B">
              <w:rPr>
                <w:sz w:val="20"/>
                <w:szCs w:val="20"/>
              </w:rPr>
              <w:t>280</w:t>
            </w:r>
          </w:p>
        </w:tc>
        <w:tc>
          <w:tcPr>
            <w:tcW w:w="1418" w:type="dxa"/>
            <w:vAlign w:val="bottom"/>
          </w:tcPr>
          <w:p w14:paraId="76EC6788" w14:textId="2BB48C21" w:rsidR="00432F0B" w:rsidRPr="00EF4A7F" w:rsidRDefault="00432F0B" w:rsidP="0068495A">
            <w:pPr>
              <w:keepNext/>
              <w:spacing w:before="0" w:after="0"/>
              <w:jc w:val="right"/>
              <w:rPr>
                <w:sz w:val="20"/>
                <w:szCs w:val="20"/>
              </w:rPr>
            </w:pPr>
            <w:r>
              <w:rPr>
                <w:sz w:val="20"/>
                <w:szCs w:val="20"/>
              </w:rPr>
              <w:t>7,820</w:t>
            </w:r>
          </w:p>
        </w:tc>
        <w:tc>
          <w:tcPr>
            <w:tcW w:w="1275" w:type="dxa"/>
            <w:vAlign w:val="bottom"/>
          </w:tcPr>
          <w:p w14:paraId="76EC6789" w14:textId="7CDB2864" w:rsidR="00432F0B" w:rsidRPr="00EF4A7F" w:rsidRDefault="008141EB" w:rsidP="0068495A">
            <w:pPr>
              <w:keepNext/>
              <w:spacing w:before="0" w:after="0"/>
              <w:jc w:val="right"/>
              <w:rPr>
                <w:sz w:val="20"/>
                <w:szCs w:val="20"/>
              </w:rPr>
            </w:pPr>
            <w:r>
              <w:rPr>
                <w:sz w:val="20"/>
                <w:szCs w:val="20"/>
              </w:rPr>
              <w:t>£</w:t>
            </w:r>
            <w:r w:rsidR="00432F0B">
              <w:rPr>
                <w:sz w:val="20"/>
                <w:szCs w:val="20"/>
              </w:rPr>
              <w:t>150</w:t>
            </w:r>
          </w:p>
        </w:tc>
      </w:tr>
      <w:tr w:rsidR="00432F0B" w:rsidRPr="00A0428F" w14:paraId="76EC6790" w14:textId="77777777" w:rsidTr="00ED4BAD">
        <w:trPr>
          <w:trHeight w:val="400"/>
        </w:trPr>
        <w:tc>
          <w:tcPr>
            <w:tcW w:w="2552" w:type="dxa"/>
            <w:vAlign w:val="bottom"/>
          </w:tcPr>
          <w:p w14:paraId="76EC678B" w14:textId="77777777" w:rsidR="00432F0B" w:rsidRDefault="00432F0B" w:rsidP="0068495A">
            <w:pPr>
              <w:keepNext/>
              <w:spacing w:before="0" w:after="0"/>
              <w:rPr>
                <w:b/>
                <w:sz w:val="20"/>
                <w:szCs w:val="20"/>
              </w:rPr>
            </w:pPr>
            <w:r w:rsidRPr="00ED4BAD">
              <w:rPr>
                <w:b/>
                <w:sz w:val="20"/>
                <w:szCs w:val="20"/>
              </w:rPr>
              <w:t>Scotland</w:t>
            </w:r>
          </w:p>
        </w:tc>
        <w:tc>
          <w:tcPr>
            <w:tcW w:w="1417" w:type="dxa"/>
            <w:vAlign w:val="bottom"/>
          </w:tcPr>
          <w:p w14:paraId="76EC678C" w14:textId="033340E7" w:rsidR="00432F0B" w:rsidRPr="00EF4A7F" w:rsidRDefault="008141EB" w:rsidP="0068495A">
            <w:pPr>
              <w:keepNext/>
              <w:spacing w:before="0" w:after="0"/>
              <w:jc w:val="right"/>
              <w:rPr>
                <w:sz w:val="20"/>
                <w:szCs w:val="20"/>
              </w:rPr>
            </w:pPr>
            <w:r>
              <w:rPr>
                <w:sz w:val="20"/>
                <w:szCs w:val="20"/>
              </w:rPr>
              <w:t>£</w:t>
            </w:r>
            <w:r w:rsidR="00432F0B">
              <w:rPr>
                <w:sz w:val="20"/>
                <w:szCs w:val="20"/>
              </w:rPr>
              <w:t>590</w:t>
            </w:r>
          </w:p>
        </w:tc>
        <w:tc>
          <w:tcPr>
            <w:tcW w:w="1418" w:type="dxa"/>
            <w:vAlign w:val="bottom"/>
          </w:tcPr>
          <w:p w14:paraId="76EC678D" w14:textId="7546830D" w:rsidR="00432F0B" w:rsidRPr="00EF4A7F" w:rsidRDefault="008141EB" w:rsidP="0068495A">
            <w:pPr>
              <w:keepNext/>
              <w:spacing w:before="0" w:after="0"/>
              <w:jc w:val="right"/>
              <w:rPr>
                <w:sz w:val="20"/>
                <w:szCs w:val="20"/>
              </w:rPr>
            </w:pPr>
            <w:r>
              <w:rPr>
                <w:sz w:val="20"/>
                <w:szCs w:val="20"/>
              </w:rPr>
              <w:t>£</w:t>
            </w:r>
            <w:r w:rsidR="00432F0B">
              <w:rPr>
                <w:sz w:val="20"/>
                <w:szCs w:val="20"/>
              </w:rPr>
              <w:t>290</w:t>
            </w:r>
          </w:p>
        </w:tc>
        <w:tc>
          <w:tcPr>
            <w:tcW w:w="1418" w:type="dxa"/>
            <w:vAlign w:val="bottom"/>
          </w:tcPr>
          <w:p w14:paraId="76EC678E" w14:textId="3B5EEE14" w:rsidR="00432F0B" w:rsidRPr="00EF4A7F" w:rsidRDefault="00432F0B" w:rsidP="0068495A">
            <w:pPr>
              <w:keepNext/>
              <w:spacing w:before="0" w:after="0"/>
              <w:jc w:val="right"/>
              <w:rPr>
                <w:sz w:val="20"/>
                <w:szCs w:val="20"/>
              </w:rPr>
            </w:pPr>
            <w:r>
              <w:rPr>
                <w:sz w:val="20"/>
                <w:szCs w:val="20"/>
              </w:rPr>
              <w:t>7,310</w:t>
            </w:r>
          </w:p>
        </w:tc>
        <w:tc>
          <w:tcPr>
            <w:tcW w:w="1275" w:type="dxa"/>
            <w:vAlign w:val="bottom"/>
          </w:tcPr>
          <w:p w14:paraId="76EC678F" w14:textId="7EA98AF9" w:rsidR="00432F0B" w:rsidRPr="00EF4A7F" w:rsidRDefault="008141EB" w:rsidP="0068495A">
            <w:pPr>
              <w:keepNext/>
              <w:spacing w:before="0" w:after="0"/>
              <w:jc w:val="right"/>
              <w:rPr>
                <w:sz w:val="20"/>
                <w:szCs w:val="20"/>
              </w:rPr>
            </w:pPr>
            <w:r>
              <w:rPr>
                <w:sz w:val="20"/>
                <w:szCs w:val="20"/>
              </w:rPr>
              <w:t>£</w:t>
            </w:r>
            <w:r w:rsidR="00432F0B">
              <w:rPr>
                <w:sz w:val="20"/>
                <w:szCs w:val="20"/>
              </w:rPr>
              <w:t>150</w:t>
            </w:r>
          </w:p>
        </w:tc>
      </w:tr>
      <w:tr w:rsidR="00432F0B" w:rsidRPr="00A0428F" w14:paraId="76EC6796" w14:textId="77777777" w:rsidTr="00ED4BAD">
        <w:trPr>
          <w:trHeight w:val="400"/>
        </w:trPr>
        <w:tc>
          <w:tcPr>
            <w:tcW w:w="2552" w:type="dxa"/>
            <w:vAlign w:val="bottom"/>
          </w:tcPr>
          <w:p w14:paraId="76EC6791" w14:textId="77777777" w:rsidR="00432F0B" w:rsidRDefault="00432F0B" w:rsidP="0068495A">
            <w:pPr>
              <w:keepNext/>
              <w:spacing w:before="0" w:after="0"/>
              <w:rPr>
                <w:b/>
                <w:sz w:val="20"/>
                <w:szCs w:val="20"/>
              </w:rPr>
            </w:pPr>
            <w:r w:rsidRPr="00ED4BAD">
              <w:rPr>
                <w:b/>
                <w:sz w:val="20"/>
                <w:szCs w:val="20"/>
              </w:rPr>
              <w:t>South West</w:t>
            </w:r>
          </w:p>
        </w:tc>
        <w:tc>
          <w:tcPr>
            <w:tcW w:w="1417" w:type="dxa"/>
            <w:vAlign w:val="bottom"/>
          </w:tcPr>
          <w:p w14:paraId="76EC6792" w14:textId="604D95AA" w:rsidR="00432F0B" w:rsidRPr="00EF4A7F" w:rsidRDefault="008141EB" w:rsidP="0068495A">
            <w:pPr>
              <w:keepNext/>
              <w:spacing w:before="0" w:after="0"/>
              <w:jc w:val="right"/>
              <w:rPr>
                <w:sz w:val="20"/>
                <w:szCs w:val="20"/>
              </w:rPr>
            </w:pPr>
            <w:r>
              <w:rPr>
                <w:sz w:val="20"/>
                <w:szCs w:val="20"/>
              </w:rPr>
              <w:t>£</w:t>
            </w:r>
            <w:r w:rsidR="00432F0B">
              <w:rPr>
                <w:sz w:val="20"/>
                <w:szCs w:val="20"/>
              </w:rPr>
              <w:t>570</w:t>
            </w:r>
          </w:p>
        </w:tc>
        <w:tc>
          <w:tcPr>
            <w:tcW w:w="1418" w:type="dxa"/>
            <w:vAlign w:val="bottom"/>
          </w:tcPr>
          <w:p w14:paraId="76EC6793" w14:textId="2D1E6F1A" w:rsidR="00432F0B" w:rsidRPr="00EF4A7F" w:rsidRDefault="008141EB" w:rsidP="0068495A">
            <w:pPr>
              <w:keepNext/>
              <w:spacing w:before="0" w:after="0"/>
              <w:jc w:val="right"/>
              <w:rPr>
                <w:sz w:val="20"/>
                <w:szCs w:val="20"/>
              </w:rPr>
            </w:pPr>
            <w:r>
              <w:rPr>
                <w:sz w:val="20"/>
                <w:szCs w:val="20"/>
              </w:rPr>
              <w:t>£</w:t>
            </w:r>
            <w:r w:rsidR="00432F0B">
              <w:rPr>
                <w:sz w:val="20"/>
                <w:szCs w:val="20"/>
              </w:rPr>
              <w:t>270</w:t>
            </w:r>
          </w:p>
        </w:tc>
        <w:tc>
          <w:tcPr>
            <w:tcW w:w="1418" w:type="dxa"/>
            <w:vAlign w:val="bottom"/>
          </w:tcPr>
          <w:p w14:paraId="76EC6794" w14:textId="2E8FD491" w:rsidR="00432F0B" w:rsidRPr="00EF4A7F" w:rsidRDefault="00432F0B" w:rsidP="0068495A">
            <w:pPr>
              <w:keepNext/>
              <w:spacing w:before="0" w:after="0"/>
              <w:jc w:val="right"/>
              <w:rPr>
                <w:sz w:val="20"/>
                <w:szCs w:val="20"/>
              </w:rPr>
            </w:pPr>
            <w:r>
              <w:rPr>
                <w:sz w:val="20"/>
                <w:szCs w:val="20"/>
              </w:rPr>
              <w:t>8,200</w:t>
            </w:r>
          </w:p>
        </w:tc>
        <w:tc>
          <w:tcPr>
            <w:tcW w:w="1275" w:type="dxa"/>
            <w:vAlign w:val="bottom"/>
          </w:tcPr>
          <w:p w14:paraId="76EC6795" w14:textId="49455C08" w:rsidR="00432F0B" w:rsidRPr="00EF4A7F" w:rsidRDefault="008141EB" w:rsidP="0068495A">
            <w:pPr>
              <w:keepNext/>
              <w:spacing w:before="0" w:after="0"/>
              <w:jc w:val="right"/>
              <w:rPr>
                <w:sz w:val="20"/>
                <w:szCs w:val="20"/>
              </w:rPr>
            </w:pPr>
            <w:r>
              <w:rPr>
                <w:sz w:val="20"/>
                <w:szCs w:val="20"/>
              </w:rPr>
              <w:t>£</w:t>
            </w:r>
            <w:r w:rsidR="00432F0B">
              <w:rPr>
                <w:sz w:val="20"/>
                <w:szCs w:val="20"/>
              </w:rPr>
              <w:t>140</w:t>
            </w:r>
          </w:p>
        </w:tc>
      </w:tr>
      <w:tr w:rsidR="00432F0B" w:rsidRPr="00A0428F" w14:paraId="76EC679C" w14:textId="77777777" w:rsidTr="00ED4BAD">
        <w:trPr>
          <w:trHeight w:val="400"/>
        </w:trPr>
        <w:tc>
          <w:tcPr>
            <w:tcW w:w="2552" w:type="dxa"/>
            <w:vAlign w:val="bottom"/>
          </w:tcPr>
          <w:p w14:paraId="76EC6797" w14:textId="77777777" w:rsidR="00432F0B" w:rsidRDefault="00432F0B" w:rsidP="0068495A">
            <w:pPr>
              <w:keepNext/>
              <w:spacing w:before="0" w:after="0"/>
              <w:rPr>
                <w:b/>
                <w:sz w:val="20"/>
                <w:szCs w:val="20"/>
              </w:rPr>
            </w:pPr>
            <w:r w:rsidRPr="00ED4BAD">
              <w:rPr>
                <w:b/>
                <w:sz w:val="20"/>
                <w:szCs w:val="20"/>
              </w:rPr>
              <w:t>North East</w:t>
            </w:r>
          </w:p>
        </w:tc>
        <w:tc>
          <w:tcPr>
            <w:tcW w:w="1417" w:type="dxa"/>
            <w:vAlign w:val="bottom"/>
          </w:tcPr>
          <w:p w14:paraId="76EC6798" w14:textId="1B7379FF" w:rsidR="00432F0B" w:rsidRPr="00EF4A7F" w:rsidRDefault="008141EB" w:rsidP="0068495A">
            <w:pPr>
              <w:keepNext/>
              <w:spacing w:before="0" w:after="0"/>
              <w:jc w:val="right"/>
              <w:rPr>
                <w:sz w:val="20"/>
                <w:szCs w:val="20"/>
              </w:rPr>
            </w:pPr>
            <w:r>
              <w:rPr>
                <w:sz w:val="20"/>
                <w:szCs w:val="20"/>
              </w:rPr>
              <w:t>£</w:t>
            </w:r>
            <w:r w:rsidR="00432F0B">
              <w:rPr>
                <w:sz w:val="20"/>
                <w:szCs w:val="20"/>
              </w:rPr>
              <w:t>250</w:t>
            </w:r>
          </w:p>
        </w:tc>
        <w:tc>
          <w:tcPr>
            <w:tcW w:w="1418" w:type="dxa"/>
            <w:vAlign w:val="bottom"/>
          </w:tcPr>
          <w:p w14:paraId="76EC6799" w14:textId="03990926" w:rsidR="00432F0B" w:rsidRPr="00EF4A7F" w:rsidRDefault="008141EB" w:rsidP="0068495A">
            <w:pPr>
              <w:keepNext/>
              <w:spacing w:before="0" w:after="0"/>
              <w:jc w:val="right"/>
              <w:rPr>
                <w:sz w:val="20"/>
                <w:szCs w:val="20"/>
              </w:rPr>
            </w:pPr>
            <w:r>
              <w:rPr>
                <w:sz w:val="20"/>
                <w:szCs w:val="20"/>
              </w:rPr>
              <w:t>£</w:t>
            </w:r>
            <w:r w:rsidR="00432F0B">
              <w:rPr>
                <w:sz w:val="20"/>
                <w:szCs w:val="20"/>
              </w:rPr>
              <w:t>120</w:t>
            </w:r>
          </w:p>
        </w:tc>
        <w:tc>
          <w:tcPr>
            <w:tcW w:w="1418" w:type="dxa"/>
            <w:vAlign w:val="bottom"/>
          </w:tcPr>
          <w:p w14:paraId="76EC679A" w14:textId="1B3A82B3" w:rsidR="00432F0B" w:rsidRPr="00EF4A7F" w:rsidRDefault="00432F0B" w:rsidP="0068495A">
            <w:pPr>
              <w:keepNext/>
              <w:spacing w:before="0" w:after="0"/>
              <w:jc w:val="right"/>
              <w:rPr>
                <w:sz w:val="20"/>
                <w:szCs w:val="20"/>
              </w:rPr>
            </w:pPr>
            <w:r>
              <w:rPr>
                <w:sz w:val="20"/>
                <w:szCs w:val="20"/>
              </w:rPr>
              <w:t>2,990</w:t>
            </w:r>
          </w:p>
        </w:tc>
        <w:tc>
          <w:tcPr>
            <w:tcW w:w="1275" w:type="dxa"/>
            <w:vAlign w:val="bottom"/>
          </w:tcPr>
          <w:p w14:paraId="76EC679B" w14:textId="04E87634" w:rsidR="00432F0B" w:rsidRPr="00EF4A7F" w:rsidRDefault="008141EB" w:rsidP="0068495A">
            <w:pPr>
              <w:keepNext/>
              <w:spacing w:before="0" w:after="0"/>
              <w:jc w:val="right"/>
              <w:rPr>
                <w:sz w:val="20"/>
                <w:szCs w:val="20"/>
              </w:rPr>
            </w:pPr>
            <w:r>
              <w:rPr>
                <w:sz w:val="20"/>
                <w:szCs w:val="20"/>
              </w:rPr>
              <w:t>£</w:t>
            </w:r>
            <w:r w:rsidR="00432F0B">
              <w:rPr>
                <w:sz w:val="20"/>
                <w:szCs w:val="20"/>
              </w:rPr>
              <w:t>60</w:t>
            </w:r>
          </w:p>
        </w:tc>
      </w:tr>
      <w:tr w:rsidR="00432F0B" w:rsidRPr="00A0428F" w14:paraId="76EC67A2" w14:textId="77777777" w:rsidTr="00ED4BAD">
        <w:trPr>
          <w:trHeight w:val="400"/>
        </w:trPr>
        <w:tc>
          <w:tcPr>
            <w:tcW w:w="2552" w:type="dxa"/>
            <w:vAlign w:val="bottom"/>
          </w:tcPr>
          <w:p w14:paraId="76EC679D" w14:textId="77777777" w:rsidR="00432F0B" w:rsidRDefault="00432F0B" w:rsidP="0068495A">
            <w:pPr>
              <w:keepNext/>
              <w:spacing w:before="0" w:after="0"/>
              <w:rPr>
                <w:b/>
                <w:sz w:val="20"/>
                <w:szCs w:val="20"/>
              </w:rPr>
            </w:pPr>
            <w:r w:rsidRPr="00ED4BAD">
              <w:rPr>
                <w:b/>
                <w:sz w:val="20"/>
                <w:szCs w:val="20"/>
              </w:rPr>
              <w:t>Wales</w:t>
            </w:r>
          </w:p>
        </w:tc>
        <w:tc>
          <w:tcPr>
            <w:tcW w:w="1417" w:type="dxa"/>
            <w:vAlign w:val="bottom"/>
          </w:tcPr>
          <w:p w14:paraId="76EC679E" w14:textId="381BF0F2" w:rsidR="00432F0B" w:rsidRPr="00EF4A7F" w:rsidRDefault="008141EB" w:rsidP="0068495A">
            <w:pPr>
              <w:keepNext/>
              <w:spacing w:before="0" w:after="0"/>
              <w:jc w:val="right"/>
              <w:rPr>
                <w:sz w:val="20"/>
                <w:szCs w:val="20"/>
              </w:rPr>
            </w:pPr>
            <w:r>
              <w:rPr>
                <w:sz w:val="20"/>
                <w:szCs w:val="20"/>
              </w:rPr>
              <w:t>£</w:t>
            </w:r>
            <w:r w:rsidR="00432F0B">
              <w:rPr>
                <w:sz w:val="20"/>
                <w:szCs w:val="20"/>
              </w:rPr>
              <w:t>240</w:t>
            </w:r>
          </w:p>
        </w:tc>
        <w:tc>
          <w:tcPr>
            <w:tcW w:w="1418" w:type="dxa"/>
            <w:vAlign w:val="bottom"/>
          </w:tcPr>
          <w:p w14:paraId="76EC679F" w14:textId="21009BF9" w:rsidR="00432F0B" w:rsidRPr="00EF4A7F" w:rsidRDefault="008141EB" w:rsidP="0068495A">
            <w:pPr>
              <w:keepNext/>
              <w:spacing w:before="0" w:after="0"/>
              <w:jc w:val="right"/>
              <w:rPr>
                <w:sz w:val="20"/>
                <w:szCs w:val="20"/>
              </w:rPr>
            </w:pPr>
            <w:r>
              <w:rPr>
                <w:sz w:val="20"/>
                <w:szCs w:val="20"/>
              </w:rPr>
              <w:t>£</w:t>
            </w:r>
            <w:r w:rsidR="00432F0B">
              <w:rPr>
                <w:sz w:val="20"/>
                <w:szCs w:val="20"/>
              </w:rPr>
              <w:t>110</w:t>
            </w:r>
          </w:p>
        </w:tc>
        <w:tc>
          <w:tcPr>
            <w:tcW w:w="1418" w:type="dxa"/>
            <w:vAlign w:val="bottom"/>
          </w:tcPr>
          <w:p w14:paraId="76EC67A0" w14:textId="677A4DDA" w:rsidR="00432F0B" w:rsidRPr="00EF4A7F" w:rsidRDefault="00432F0B" w:rsidP="0068495A">
            <w:pPr>
              <w:keepNext/>
              <w:spacing w:before="0" w:after="0"/>
              <w:jc w:val="right"/>
              <w:rPr>
                <w:sz w:val="20"/>
                <w:szCs w:val="20"/>
              </w:rPr>
            </w:pPr>
            <w:r>
              <w:rPr>
                <w:sz w:val="20"/>
                <w:szCs w:val="20"/>
              </w:rPr>
              <w:t>4,390</w:t>
            </w:r>
          </w:p>
        </w:tc>
        <w:tc>
          <w:tcPr>
            <w:tcW w:w="1275" w:type="dxa"/>
            <w:vAlign w:val="bottom"/>
          </w:tcPr>
          <w:p w14:paraId="76EC67A1" w14:textId="650B4D74" w:rsidR="00432F0B" w:rsidRPr="00EF4A7F" w:rsidRDefault="008141EB" w:rsidP="0068495A">
            <w:pPr>
              <w:keepNext/>
              <w:spacing w:before="0" w:after="0"/>
              <w:jc w:val="right"/>
              <w:rPr>
                <w:sz w:val="20"/>
                <w:szCs w:val="20"/>
              </w:rPr>
            </w:pPr>
            <w:r>
              <w:rPr>
                <w:sz w:val="20"/>
                <w:szCs w:val="20"/>
              </w:rPr>
              <w:t>£</w:t>
            </w:r>
            <w:r w:rsidR="00432F0B">
              <w:rPr>
                <w:sz w:val="20"/>
                <w:szCs w:val="20"/>
              </w:rPr>
              <w:t>70</w:t>
            </w:r>
          </w:p>
        </w:tc>
      </w:tr>
      <w:tr w:rsidR="00432F0B" w:rsidRPr="00A0428F" w14:paraId="76EC67A8" w14:textId="77777777" w:rsidTr="00ED4BAD">
        <w:trPr>
          <w:trHeight w:val="400"/>
        </w:trPr>
        <w:tc>
          <w:tcPr>
            <w:tcW w:w="2552" w:type="dxa"/>
            <w:vAlign w:val="bottom"/>
          </w:tcPr>
          <w:p w14:paraId="76EC67A3" w14:textId="77777777" w:rsidR="00432F0B" w:rsidRPr="00ED4BAD" w:rsidRDefault="00432F0B" w:rsidP="0068495A">
            <w:pPr>
              <w:keepNext/>
              <w:spacing w:before="0" w:after="0"/>
              <w:rPr>
                <w:b/>
                <w:sz w:val="20"/>
                <w:szCs w:val="20"/>
              </w:rPr>
            </w:pPr>
            <w:r w:rsidRPr="00ED4BAD">
              <w:rPr>
                <w:b/>
                <w:sz w:val="20"/>
                <w:szCs w:val="20"/>
              </w:rPr>
              <w:t>Northern Ireland</w:t>
            </w:r>
          </w:p>
        </w:tc>
        <w:tc>
          <w:tcPr>
            <w:tcW w:w="1417" w:type="dxa"/>
            <w:vAlign w:val="bottom"/>
          </w:tcPr>
          <w:p w14:paraId="76EC67A4" w14:textId="22F74E6E" w:rsidR="00432F0B" w:rsidRPr="00EF4A7F" w:rsidRDefault="008141EB" w:rsidP="0068495A">
            <w:pPr>
              <w:keepNext/>
              <w:spacing w:before="0" w:after="0"/>
              <w:jc w:val="right"/>
              <w:rPr>
                <w:sz w:val="20"/>
                <w:szCs w:val="20"/>
              </w:rPr>
            </w:pPr>
            <w:r>
              <w:rPr>
                <w:sz w:val="20"/>
                <w:szCs w:val="20"/>
              </w:rPr>
              <w:t>£</w:t>
            </w:r>
            <w:r w:rsidR="00432F0B">
              <w:rPr>
                <w:sz w:val="20"/>
                <w:szCs w:val="20"/>
              </w:rPr>
              <w:t>190</w:t>
            </w:r>
          </w:p>
        </w:tc>
        <w:tc>
          <w:tcPr>
            <w:tcW w:w="1418" w:type="dxa"/>
            <w:vAlign w:val="bottom"/>
          </w:tcPr>
          <w:p w14:paraId="76EC67A5" w14:textId="2F6C5688" w:rsidR="00432F0B" w:rsidRPr="00EF4A7F" w:rsidRDefault="008141EB" w:rsidP="0068495A">
            <w:pPr>
              <w:keepNext/>
              <w:spacing w:before="0" w:after="0"/>
              <w:jc w:val="right"/>
              <w:rPr>
                <w:sz w:val="20"/>
                <w:szCs w:val="20"/>
              </w:rPr>
            </w:pPr>
            <w:r>
              <w:rPr>
                <w:sz w:val="20"/>
                <w:szCs w:val="20"/>
              </w:rPr>
              <w:t>£</w:t>
            </w:r>
            <w:r w:rsidR="00432F0B">
              <w:rPr>
                <w:sz w:val="20"/>
                <w:szCs w:val="20"/>
              </w:rPr>
              <w:t>80</w:t>
            </w:r>
          </w:p>
        </w:tc>
        <w:tc>
          <w:tcPr>
            <w:tcW w:w="1418" w:type="dxa"/>
            <w:vAlign w:val="bottom"/>
          </w:tcPr>
          <w:p w14:paraId="76EC67A6" w14:textId="35B0FF7E" w:rsidR="00432F0B" w:rsidRPr="00EF4A7F" w:rsidRDefault="00432F0B" w:rsidP="0068495A">
            <w:pPr>
              <w:keepNext/>
              <w:spacing w:before="0" w:after="0"/>
              <w:jc w:val="right"/>
              <w:rPr>
                <w:sz w:val="20"/>
                <w:szCs w:val="20"/>
              </w:rPr>
            </w:pPr>
            <w:r>
              <w:rPr>
                <w:sz w:val="20"/>
                <w:szCs w:val="20"/>
              </w:rPr>
              <w:t>2,710</w:t>
            </w:r>
          </w:p>
        </w:tc>
        <w:tc>
          <w:tcPr>
            <w:tcW w:w="1275" w:type="dxa"/>
            <w:vAlign w:val="bottom"/>
          </w:tcPr>
          <w:p w14:paraId="76EC67A7" w14:textId="7DA74D8D" w:rsidR="00432F0B" w:rsidRPr="00EF4A7F" w:rsidRDefault="008141EB" w:rsidP="0068495A">
            <w:pPr>
              <w:keepNext/>
              <w:spacing w:before="0" w:after="0"/>
              <w:jc w:val="right"/>
              <w:rPr>
                <w:sz w:val="20"/>
                <w:szCs w:val="20"/>
              </w:rPr>
            </w:pPr>
            <w:r>
              <w:rPr>
                <w:sz w:val="20"/>
                <w:szCs w:val="20"/>
              </w:rPr>
              <w:t>£</w:t>
            </w:r>
            <w:r w:rsidR="00432F0B">
              <w:rPr>
                <w:sz w:val="20"/>
                <w:szCs w:val="20"/>
              </w:rPr>
              <w:t>50</w:t>
            </w:r>
          </w:p>
        </w:tc>
      </w:tr>
      <w:tr w:rsidR="00432F0B" w:rsidRPr="00A0428F" w14:paraId="76EC67AE" w14:textId="77777777" w:rsidTr="00ED4BAD">
        <w:trPr>
          <w:trHeight w:val="400"/>
        </w:trPr>
        <w:tc>
          <w:tcPr>
            <w:tcW w:w="2552" w:type="dxa"/>
            <w:vAlign w:val="bottom"/>
          </w:tcPr>
          <w:p w14:paraId="76EC67A9" w14:textId="77777777" w:rsidR="00432F0B" w:rsidRDefault="00432F0B" w:rsidP="00EF4A7F">
            <w:pPr>
              <w:keepNext/>
              <w:spacing w:before="0" w:after="0"/>
              <w:rPr>
                <w:b/>
                <w:sz w:val="20"/>
                <w:szCs w:val="20"/>
              </w:rPr>
            </w:pPr>
            <w:r>
              <w:rPr>
                <w:b/>
                <w:sz w:val="20"/>
                <w:szCs w:val="20"/>
              </w:rPr>
              <w:t xml:space="preserve">Total </w:t>
            </w:r>
          </w:p>
        </w:tc>
        <w:tc>
          <w:tcPr>
            <w:tcW w:w="1417" w:type="dxa"/>
            <w:vAlign w:val="bottom"/>
          </w:tcPr>
          <w:p w14:paraId="76EC67AA" w14:textId="048895A0" w:rsidR="00432F0B" w:rsidRPr="00EF4A7F" w:rsidRDefault="008141EB" w:rsidP="0068495A">
            <w:pPr>
              <w:keepNext/>
              <w:spacing w:before="0" w:after="0"/>
              <w:jc w:val="right"/>
              <w:rPr>
                <w:sz w:val="20"/>
                <w:szCs w:val="20"/>
              </w:rPr>
            </w:pPr>
            <w:r>
              <w:rPr>
                <w:sz w:val="20"/>
                <w:szCs w:val="20"/>
              </w:rPr>
              <w:t>£</w:t>
            </w:r>
            <w:r w:rsidR="00432F0B">
              <w:rPr>
                <w:sz w:val="20"/>
                <w:szCs w:val="20"/>
              </w:rPr>
              <w:t>14,910</w:t>
            </w:r>
          </w:p>
        </w:tc>
        <w:tc>
          <w:tcPr>
            <w:tcW w:w="1418" w:type="dxa"/>
            <w:vAlign w:val="bottom"/>
          </w:tcPr>
          <w:p w14:paraId="76EC67AB" w14:textId="06E0CF6E" w:rsidR="00432F0B" w:rsidRPr="00EF4A7F" w:rsidRDefault="008141EB" w:rsidP="0068495A">
            <w:pPr>
              <w:keepNext/>
              <w:spacing w:before="0" w:after="0"/>
              <w:jc w:val="right"/>
              <w:rPr>
                <w:sz w:val="20"/>
                <w:szCs w:val="20"/>
              </w:rPr>
            </w:pPr>
            <w:r>
              <w:rPr>
                <w:sz w:val="20"/>
                <w:szCs w:val="20"/>
              </w:rPr>
              <w:t>£</w:t>
            </w:r>
            <w:r w:rsidR="00432F0B">
              <w:rPr>
                <w:sz w:val="20"/>
                <w:szCs w:val="20"/>
              </w:rPr>
              <w:t>7,280</w:t>
            </w:r>
          </w:p>
        </w:tc>
        <w:tc>
          <w:tcPr>
            <w:tcW w:w="1418" w:type="dxa"/>
            <w:vAlign w:val="bottom"/>
          </w:tcPr>
          <w:p w14:paraId="76EC67AC" w14:textId="2BFA967B" w:rsidR="00432F0B" w:rsidRPr="00EF4A7F" w:rsidRDefault="00432F0B" w:rsidP="005152F7">
            <w:pPr>
              <w:keepNext/>
              <w:spacing w:before="0" w:after="0"/>
              <w:jc w:val="right"/>
              <w:rPr>
                <w:sz w:val="20"/>
                <w:szCs w:val="20"/>
              </w:rPr>
            </w:pPr>
            <w:r w:rsidRPr="00EF4A7F">
              <w:rPr>
                <w:sz w:val="20"/>
                <w:szCs w:val="20"/>
              </w:rPr>
              <w:t>1</w:t>
            </w:r>
            <w:r>
              <w:rPr>
                <w:sz w:val="20"/>
                <w:szCs w:val="20"/>
              </w:rPr>
              <w:t xml:space="preserve">58,620 </w:t>
            </w:r>
          </w:p>
        </w:tc>
        <w:tc>
          <w:tcPr>
            <w:tcW w:w="1275" w:type="dxa"/>
            <w:vAlign w:val="bottom"/>
          </w:tcPr>
          <w:p w14:paraId="76EC67AD" w14:textId="16572870" w:rsidR="00432F0B" w:rsidRPr="00EF4A7F" w:rsidRDefault="008141EB" w:rsidP="005152F7">
            <w:pPr>
              <w:keepNext/>
              <w:spacing w:before="0" w:after="0"/>
              <w:jc w:val="right"/>
              <w:rPr>
                <w:sz w:val="20"/>
                <w:szCs w:val="20"/>
              </w:rPr>
            </w:pPr>
            <w:r>
              <w:rPr>
                <w:sz w:val="20"/>
                <w:szCs w:val="20"/>
              </w:rPr>
              <w:t>£</w:t>
            </w:r>
            <w:r w:rsidR="00432F0B" w:rsidRPr="00432F0B">
              <w:rPr>
                <w:sz w:val="20"/>
                <w:szCs w:val="20"/>
              </w:rPr>
              <w:t>3,620</w:t>
            </w:r>
          </w:p>
        </w:tc>
      </w:tr>
    </w:tbl>
    <w:p w14:paraId="5038DECB" w14:textId="531CF943" w:rsidR="008141EB" w:rsidRPr="003B4678" w:rsidRDefault="008141EB" w:rsidP="008141EB">
      <w:pPr>
        <w:rPr>
          <w:i/>
          <w:sz w:val="18"/>
          <w:szCs w:val="18"/>
        </w:rPr>
      </w:pPr>
      <w:r w:rsidRPr="003B4678">
        <w:rPr>
          <w:i/>
          <w:sz w:val="18"/>
          <w:szCs w:val="18"/>
        </w:rPr>
        <w:t xml:space="preserve">Source: </w:t>
      </w:r>
      <w:r>
        <w:rPr>
          <w:i/>
          <w:sz w:val="18"/>
          <w:szCs w:val="18"/>
        </w:rPr>
        <w:t>Oxford Economics</w:t>
      </w:r>
      <w:r w:rsidR="009A43FF">
        <w:rPr>
          <w:i/>
          <w:sz w:val="18"/>
          <w:szCs w:val="18"/>
        </w:rPr>
        <w:t>.</w:t>
      </w:r>
      <w:r>
        <w:rPr>
          <w:i/>
          <w:sz w:val="18"/>
          <w:szCs w:val="18"/>
        </w:rPr>
        <w:t xml:space="preserve"> </w:t>
      </w:r>
    </w:p>
    <w:p w14:paraId="76EC67B0" w14:textId="461C3BE5" w:rsidR="002C7D43" w:rsidRDefault="002C7D43" w:rsidP="002C7D43">
      <w:r>
        <w:t xml:space="preserve">As the table shows, London, the South East and East of England have enjoyed the bulk of economic benefits </w:t>
      </w:r>
      <w:r w:rsidR="004111C9">
        <w:t xml:space="preserve">from </w:t>
      </w:r>
      <w:r>
        <w:t>ODA spend</w:t>
      </w:r>
      <w:r w:rsidR="004111C9">
        <w:t xml:space="preserve">, although </w:t>
      </w:r>
      <w:r>
        <w:t xml:space="preserve">significant benefits </w:t>
      </w:r>
      <w:r w:rsidR="004111C9">
        <w:t xml:space="preserve">have accrued to all </w:t>
      </w:r>
      <w:r w:rsidR="00AE6304">
        <w:t>nations and regions</w:t>
      </w:r>
      <w:r>
        <w:t xml:space="preserve">. </w:t>
      </w:r>
      <w:r w:rsidR="004D1DA2">
        <w:t xml:space="preserve"> </w:t>
      </w:r>
      <w:r w:rsidR="004D1DA2" w:rsidRPr="004D1DA2">
        <w:t xml:space="preserve">The next phase of economic modelling (for Report 5) will </w:t>
      </w:r>
      <w:r w:rsidR="004D1DA2">
        <w:t>seek to capture other economic impacts such as tourism, inward investment, skills</w:t>
      </w:r>
      <w:r w:rsidR="000612D7">
        <w:t>,</w:t>
      </w:r>
      <w:r w:rsidR="004D1DA2">
        <w:t xml:space="preserve"> Olympic Park </w:t>
      </w:r>
      <w:r w:rsidR="004D1DA2" w:rsidRPr="004D1DA2">
        <w:t>transformation</w:t>
      </w:r>
      <w:r w:rsidR="004D1DA2">
        <w:t xml:space="preserve"> and wider East London regeneration. </w:t>
      </w:r>
    </w:p>
    <w:p w14:paraId="76EC67B1" w14:textId="245C4D15" w:rsidR="002C7D43" w:rsidRDefault="002C7D43" w:rsidP="002C7D43">
      <w:pPr>
        <w:pStyle w:val="Heading2"/>
      </w:pPr>
      <w:r w:rsidRPr="00430200">
        <w:t>UK business access to 2012</w:t>
      </w:r>
      <w:r w:rsidRPr="00E00600">
        <w:t xml:space="preserve"> </w:t>
      </w:r>
    </w:p>
    <w:p w14:paraId="76EC67B2" w14:textId="198B5380" w:rsidR="002C7D43" w:rsidRDefault="002C7D43" w:rsidP="002C7D43">
      <w:r>
        <w:t xml:space="preserve">The primary focus of this sub-theme is </w:t>
      </w:r>
      <w:r w:rsidRPr="00FE1344">
        <w:t xml:space="preserve">the effectiveness and impacts of the </w:t>
      </w:r>
      <w:proofErr w:type="spellStart"/>
      <w:r w:rsidRPr="00FE1344">
        <w:t>CompeteFor</w:t>
      </w:r>
      <w:proofErr w:type="spellEnd"/>
      <w:r w:rsidRPr="00FE1344">
        <w:t xml:space="preserve"> programme, a </w:t>
      </w:r>
      <w:r>
        <w:t>major legacy</w:t>
      </w:r>
      <w:r w:rsidRPr="00FE1344">
        <w:t xml:space="preserve"> initiativ</w:t>
      </w:r>
      <w:r w:rsidRPr="00431B82">
        <w:t xml:space="preserve">e which aims to ensure fair and open access to information on Games contract opportunities to enable businesses to bid for contracts regardless of their size and location. Stakeholder evidence indicates that it is very unlikely that an e-procurement initiative of the scale and ambition of </w:t>
      </w:r>
      <w:proofErr w:type="spellStart"/>
      <w:r w:rsidRPr="00431B82">
        <w:t>CompeteFor</w:t>
      </w:r>
      <w:proofErr w:type="spellEnd"/>
      <w:r w:rsidRPr="00431B82">
        <w:t xml:space="preserve"> </w:t>
      </w:r>
      <w:r w:rsidR="00431B82" w:rsidRPr="00431B82">
        <w:t xml:space="preserve">that was targeted at small and medium-sized enterprises </w:t>
      </w:r>
      <w:r w:rsidRPr="00431B82">
        <w:t>would have gone ahead without the Games. This means that the legacy benefits of the programme, including the longe</w:t>
      </w:r>
      <w:r>
        <w:t xml:space="preserve">r-term reputational benefits to businesses that have accessed contracts through </w:t>
      </w:r>
      <w:proofErr w:type="spellStart"/>
      <w:r>
        <w:t>CompeteFor</w:t>
      </w:r>
      <w:proofErr w:type="spellEnd"/>
      <w:r>
        <w:t xml:space="preserve"> and any elements of the service which are sustained should be considered wholly additional. </w:t>
      </w:r>
      <w:r>
        <w:rPr>
          <w:szCs w:val="22"/>
        </w:rPr>
        <w:t xml:space="preserve">The longer term impact of Games contracts on UK businesses will be examined using evidence from the final evaluation of </w:t>
      </w:r>
      <w:proofErr w:type="spellStart"/>
      <w:r w:rsidRPr="006D56D9">
        <w:rPr>
          <w:szCs w:val="22"/>
        </w:rPr>
        <w:t>CompeteFor</w:t>
      </w:r>
      <w:proofErr w:type="spellEnd"/>
      <w:r w:rsidRPr="006D56D9">
        <w:rPr>
          <w:szCs w:val="22"/>
        </w:rPr>
        <w:t xml:space="preserve">. </w:t>
      </w:r>
    </w:p>
    <w:p w14:paraId="76EC67B3" w14:textId="148D648A" w:rsidR="002C7D43" w:rsidRPr="007B65CE" w:rsidRDefault="004111C9" w:rsidP="002C7D43">
      <w:r>
        <w:t xml:space="preserve">The </w:t>
      </w:r>
      <w:proofErr w:type="spellStart"/>
      <w:r w:rsidR="00F86622">
        <w:t>CompeteFor</w:t>
      </w:r>
      <w:proofErr w:type="spellEnd"/>
      <w:r w:rsidR="00F86622">
        <w:t xml:space="preserve"> </w:t>
      </w:r>
      <w:r>
        <w:t>i</w:t>
      </w:r>
      <w:r w:rsidR="002C7D43">
        <w:t>nterim evaluation</w:t>
      </w:r>
      <w:r w:rsidR="002C7D43">
        <w:rPr>
          <w:rStyle w:val="FootnoteReference"/>
        </w:rPr>
        <w:footnoteReference w:id="15"/>
      </w:r>
      <w:r w:rsidR="002C7D43">
        <w:t xml:space="preserve"> indicates that </w:t>
      </w:r>
      <w:r w:rsidR="00F86622">
        <w:t xml:space="preserve">the initiative </w:t>
      </w:r>
      <w:r w:rsidR="002C7D43">
        <w:t xml:space="preserve">has been effective at </w:t>
      </w:r>
      <w:r w:rsidR="002C7D43" w:rsidRPr="007B65CE">
        <w:t>raising awareness of contract opportunities for micro-enterprises and small businesses</w:t>
      </w:r>
      <w:r w:rsidR="002C7D43">
        <w:t xml:space="preserve">. </w:t>
      </w:r>
      <w:r w:rsidR="004D1DA2">
        <w:t>M</w:t>
      </w:r>
      <w:r w:rsidR="002C7D43">
        <w:t xml:space="preserve">onitoring data indicates that the programme has also achieved a good geographical spread in terms of businesses registered on the </w:t>
      </w:r>
      <w:r w:rsidR="002C7D43" w:rsidRPr="00FE62AF">
        <w:t>system. However</w:t>
      </w:r>
      <w:r w:rsidR="002C7D43">
        <w:t>,</w:t>
      </w:r>
      <w:r w:rsidR="002C7D43" w:rsidRPr="00FE62AF">
        <w:t xml:space="preserve"> </w:t>
      </w:r>
      <w:r w:rsidR="002C7D43">
        <w:t xml:space="preserve">data </w:t>
      </w:r>
      <w:r w:rsidR="002C7D43" w:rsidRPr="007B65CE">
        <w:t xml:space="preserve">on the regional distribution of </w:t>
      </w:r>
      <w:r w:rsidR="002C7D43">
        <w:t xml:space="preserve">the </w:t>
      </w:r>
      <w:r w:rsidR="002C7D43" w:rsidRPr="007B65CE">
        <w:t xml:space="preserve">ODA contracts </w:t>
      </w:r>
      <w:r w:rsidR="002C7D43">
        <w:t>shows that</w:t>
      </w:r>
      <w:r w:rsidR="002C7D43" w:rsidRPr="007B65CE">
        <w:t xml:space="preserve"> 54% of all contracts </w:t>
      </w:r>
      <w:r w:rsidR="002C7D43">
        <w:t xml:space="preserve">were </w:t>
      </w:r>
      <w:r w:rsidR="002C7D43" w:rsidRPr="007B65CE">
        <w:t>awarded to companies in London and a significant proportion to companies based in the So</w:t>
      </w:r>
      <w:r w:rsidR="002C7D43">
        <w:t>uth East.</w:t>
      </w:r>
      <w:r w:rsidR="00CA6130">
        <w:rPr>
          <w:rStyle w:val="FootnoteReference"/>
        </w:rPr>
        <w:footnoteReference w:id="16"/>
      </w:r>
      <w:r w:rsidR="002C7D43">
        <w:t xml:space="preserve"> </w:t>
      </w:r>
      <w:r w:rsidR="00172D68">
        <w:t xml:space="preserve">Analysis of </w:t>
      </w:r>
      <w:proofErr w:type="spellStart"/>
      <w:r w:rsidR="00172D68">
        <w:t>CompeteFor</w:t>
      </w:r>
      <w:proofErr w:type="spellEnd"/>
      <w:r w:rsidR="00172D68">
        <w:t xml:space="preserve"> contract short</w:t>
      </w:r>
      <w:r w:rsidR="00D8729B">
        <w:t>-</w:t>
      </w:r>
      <w:r w:rsidR="00172D68">
        <w:t xml:space="preserve">listing has shown that </w:t>
      </w:r>
      <w:r w:rsidR="00D8729B">
        <w:t xml:space="preserve">micro-enterprises are significantly less likely to have been </w:t>
      </w:r>
      <w:r w:rsidR="00D8729B">
        <w:lastRenderedPageBreak/>
        <w:t xml:space="preserve">short-listed whereas firms located in London and those who have been trading for more than 5 years were significantly more likely to have been short-listed, indicating that despite the good geographical spread of registered companies and effectiveness in raising awareness to micro-enterprises there are still firm characteristics beyond the control of </w:t>
      </w:r>
      <w:proofErr w:type="spellStart"/>
      <w:r w:rsidR="00D8729B">
        <w:t>CompeteFor</w:t>
      </w:r>
      <w:proofErr w:type="spellEnd"/>
      <w:r w:rsidR="00D8729B">
        <w:t xml:space="preserve"> which influence the distribution of contract awards. </w:t>
      </w:r>
    </w:p>
    <w:p w14:paraId="76EC67B4" w14:textId="77777777" w:rsidR="002C7D43" w:rsidRPr="00F13775" w:rsidRDefault="00F13775" w:rsidP="002C7D43">
      <w:pPr>
        <w:rPr>
          <w:b/>
          <w:bCs/>
        </w:rPr>
      </w:pPr>
      <w:r w:rsidRPr="00F13775">
        <w:rPr>
          <w:b/>
        </w:rPr>
        <w:t xml:space="preserve">Figure </w:t>
      </w:r>
      <w:r w:rsidRPr="00F13775">
        <w:rPr>
          <w:b/>
        </w:rPr>
        <w:fldChar w:fldCharType="begin"/>
      </w:r>
      <w:r w:rsidRPr="00F13775">
        <w:rPr>
          <w:b/>
        </w:rPr>
        <w:instrText xml:space="preserve"> STYLEREF 1 \s </w:instrText>
      </w:r>
      <w:r w:rsidRPr="00F13775">
        <w:rPr>
          <w:b/>
        </w:rPr>
        <w:fldChar w:fldCharType="separate"/>
      </w:r>
      <w:r w:rsidR="003D22DB">
        <w:rPr>
          <w:b/>
          <w:noProof/>
        </w:rPr>
        <w:t>5</w:t>
      </w:r>
      <w:r w:rsidRPr="00F13775">
        <w:rPr>
          <w:b/>
        </w:rPr>
        <w:fldChar w:fldCharType="end"/>
      </w:r>
      <w:r w:rsidRPr="00F13775">
        <w:rPr>
          <w:b/>
        </w:rPr>
        <w:noBreakHyphen/>
      </w:r>
      <w:r w:rsidRPr="00F13775">
        <w:rPr>
          <w:b/>
        </w:rPr>
        <w:fldChar w:fldCharType="begin"/>
      </w:r>
      <w:r w:rsidRPr="00F13775">
        <w:rPr>
          <w:b/>
        </w:rPr>
        <w:instrText xml:space="preserve"> SEQ Figure \* ARABIC \s 1 </w:instrText>
      </w:r>
      <w:r w:rsidRPr="00F13775">
        <w:rPr>
          <w:b/>
        </w:rPr>
        <w:fldChar w:fldCharType="separate"/>
      </w:r>
      <w:r w:rsidR="003D22DB">
        <w:rPr>
          <w:b/>
          <w:noProof/>
        </w:rPr>
        <w:t>2</w:t>
      </w:r>
      <w:r w:rsidRPr="00F13775">
        <w:rPr>
          <w:b/>
        </w:rPr>
        <w:fldChar w:fldCharType="end"/>
      </w:r>
      <w:r w:rsidR="002C7D43" w:rsidRPr="00F13775">
        <w:rPr>
          <w:b/>
          <w:bCs/>
        </w:rPr>
        <w:t xml:space="preserve">: ODA </w:t>
      </w:r>
      <w:r w:rsidR="001113EB">
        <w:rPr>
          <w:b/>
          <w:bCs/>
        </w:rPr>
        <w:t>c</w:t>
      </w:r>
      <w:r w:rsidR="002C7D43" w:rsidRPr="00F13775">
        <w:rPr>
          <w:b/>
          <w:bCs/>
        </w:rPr>
        <w:t xml:space="preserve">ontract </w:t>
      </w:r>
      <w:r w:rsidR="001113EB">
        <w:rPr>
          <w:b/>
          <w:bCs/>
        </w:rPr>
        <w:t>a</w:t>
      </w:r>
      <w:r w:rsidR="002C7D43" w:rsidRPr="00F13775">
        <w:rPr>
          <w:b/>
          <w:bCs/>
        </w:rPr>
        <w:t xml:space="preserve">wards by </w:t>
      </w:r>
      <w:r w:rsidR="001113EB">
        <w:rPr>
          <w:b/>
          <w:bCs/>
        </w:rPr>
        <w:t>r</w:t>
      </w:r>
      <w:r w:rsidR="002C7D43" w:rsidRPr="00F13775">
        <w:rPr>
          <w:b/>
          <w:bCs/>
        </w:rPr>
        <w:t>egion</w:t>
      </w:r>
    </w:p>
    <w:p w14:paraId="76EC67B5" w14:textId="77777777" w:rsidR="002C7D43" w:rsidRPr="007B65CE" w:rsidRDefault="001200F7" w:rsidP="00085897">
      <w:pPr>
        <w:spacing w:after="0"/>
      </w:pPr>
      <w:r w:rsidRPr="001453E6">
        <w:rPr>
          <w:noProof/>
          <w:lang w:eastAsia="en-GB"/>
        </w:rPr>
        <w:drawing>
          <wp:inline distT="0" distB="0" distL="0" distR="0" wp14:anchorId="76EC68E6" wp14:editId="76EC68E7">
            <wp:extent cx="4320000" cy="2520000"/>
            <wp:effectExtent l="0" t="0" r="4445"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520000"/>
                    </a:xfrm>
                    <a:prstGeom prst="rect">
                      <a:avLst/>
                    </a:prstGeom>
                    <a:noFill/>
                    <a:ln>
                      <a:noFill/>
                    </a:ln>
                  </pic:spPr>
                </pic:pic>
              </a:graphicData>
            </a:graphic>
          </wp:inline>
        </w:drawing>
      </w:r>
    </w:p>
    <w:p w14:paraId="76EC67B6" w14:textId="210A6148" w:rsidR="002C7D43" w:rsidRPr="003B4678" w:rsidRDefault="002C7D43" w:rsidP="002C7D43">
      <w:pPr>
        <w:rPr>
          <w:i/>
          <w:sz w:val="18"/>
          <w:szCs w:val="18"/>
        </w:rPr>
      </w:pPr>
      <w:r w:rsidRPr="003B4678">
        <w:rPr>
          <w:i/>
          <w:sz w:val="18"/>
          <w:szCs w:val="18"/>
        </w:rPr>
        <w:t>Source: Nations and Regions Group</w:t>
      </w:r>
      <w:r w:rsidR="000E22A8">
        <w:rPr>
          <w:i/>
          <w:sz w:val="18"/>
          <w:szCs w:val="18"/>
        </w:rPr>
        <w:t>, data up to February 2012</w:t>
      </w:r>
      <w:r w:rsidR="009A43FF">
        <w:rPr>
          <w:i/>
          <w:sz w:val="18"/>
          <w:szCs w:val="18"/>
        </w:rPr>
        <w:t>.</w:t>
      </w:r>
    </w:p>
    <w:p w14:paraId="76EC67B7" w14:textId="77777777" w:rsidR="002C7D43" w:rsidRDefault="002C7D43" w:rsidP="002C7D43">
      <w:pPr>
        <w:pStyle w:val="Heading2"/>
      </w:pPr>
      <w:r w:rsidRPr="00430200">
        <w:t xml:space="preserve">Promoting the UK as a place to invest </w:t>
      </w:r>
    </w:p>
    <w:p w14:paraId="05B68874" w14:textId="299FD206" w:rsidR="00AD3C56" w:rsidRDefault="002C7D43" w:rsidP="002C7D43">
      <w:r>
        <w:rPr>
          <w:szCs w:val="22"/>
        </w:rPr>
        <w:t>There is an expectation that the 2012 Games will provide additional exposure for London and help to influence business perceptions of the benefits of locating in the UK.</w:t>
      </w:r>
      <w:r w:rsidRPr="0034244F">
        <w:rPr>
          <w:lang w:val="en-US"/>
        </w:rPr>
        <w:t xml:space="preserve"> </w:t>
      </w:r>
      <w:r w:rsidR="00AD3C56">
        <w:rPr>
          <w:lang w:val="en-US"/>
        </w:rPr>
        <w:t>The British Business Embassy was the key initiative to take advantage of this during the Games as over 4,700 delegates attended across 18 days of trade and investment conferences.</w:t>
      </w:r>
      <w:r w:rsidR="00B73D10">
        <w:rPr>
          <w:lang w:val="en-US"/>
        </w:rPr>
        <w:t xml:space="preserve"> </w:t>
      </w:r>
      <w:r w:rsidR="00AD3C56">
        <w:t>The Global Investment Conference, which was the flagship event of the British Business Embassy on the day before the Opening Ceremony, attracted around 200 global CEOs (two thirds of the international delegates) from 29 countries. It is understood that future evaluation work will examine the degree to which Games-related initiatives such as the British Business Embassy and Global Investment Conference in the period leading up to and during the Games have influenced levels of inward investment.</w:t>
      </w:r>
    </w:p>
    <w:p w14:paraId="76EC67B8" w14:textId="79CD8CD3" w:rsidR="002C7D43" w:rsidRDefault="002C7D43" w:rsidP="002C7D43">
      <w:r>
        <w:rPr>
          <w:lang w:val="en-US"/>
        </w:rPr>
        <w:t xml:space="preserve">A </w:t>
      </w:r>
      <w:r w:rsidR="00877902">
        <w:rPr>
          <w:lang w:val="en-US"/>
        </w:rPr>
        <w:t xml:space="preserve">recent </w:t>
      </w:r>
      <w:r w:rsidR="00877902" w:rsidRPr="00877902">
        <w:rPr>
          <w:lang w:val="en-US"/>
        </w:rPr>
        <w:t xml:space="preserve">Cushman and Wakefield </w:t>
      </w:r>
      <w:r>
        <w:rPr>
          <w:lang w:val="en-US"/>
        </w:rPr>
        <w:t xml:space="preserve">survey </w:t>
      </w:r>
      <w:r w:rsidR="005375DD">
        <w:rPr>
          <w:lang w:val="en-US"/>
        </w:rPr>
        <w:t>of world cities indicates</w:t>
      </w:r>
      <w:r>
        <w:rPr>
          <w:lang w:val="en-US"/>
        </w:rPr>
        <w:t xml:space="preserve"> that the percentage of international business leaders believing that London was doing the most to promote itself increased significantly from 16% in 2010 to 25% in 2011</w:t>
      </w:r>
      <w:r>
        <w:t>.</w:t>
      </w:r>
      <w:r>
        <w:rPr>
          <w:rStyle w:val="FootnoteReference"/>
        </w:rPr>
        <w:footnoteReference w:id="17"/>
      </w:r>
      <w:r>
        <w:t xml:space="preserve"> It </w:t>
      </w:r>
      <w:r w:rsidR="00D0488D">
        <w:t>may be</w:t>
      </w:r>
      <w:r>
        <w:t xml:space="preserve"> that promotional activity around the Games has played some role in this increase. Monitoring d</w:t>
      </w:r>
      <w:r w:rsidRPr="009925FC">
        <w:t>ata</w:t>
      </w:r>
      <w:r>
        <w:t xml:space="preserve"> from</w:t>
      </w:r>
      <w:r w:rsidRPr="009925FC">
        <w:t xml:space="preserve"> London and Partners, the </w:t>
      </w:r>
      <w:r>
        <w:t xml:space="preserve">promotional agency for London, </w:t>
      </w:r>
      <w:r w:rsidRPr="009925FC">
        <w:t xml:space="preserve">indicates that Games-related </w:t>
      </w:r>
      <w:r>
        <w:t xml:space="preserve">promotional </w:t>
      </w:r>
      <w:r w:rsidRPr="009925FC">
        <w:t>activity</w:t>
      </w:r>
      <w:r>
        <w:t xml:space="preserve"> has influenced </w:t>
      </w:r>
      <w:r w:rsidRPr="009925FC">
        <w:t>114 recent investment projects in London.</w:t>
      </w:r>
      <w:r>
        <w:t xml:space="preserve"> </w:t>
      </w:r>
    </w:p>
    <w:p w14:paraId="76EC67B9" w14:textId="776F7917" w:rsidR="002C7D43" w:rsidRDefault="002C7D43" w:rsidP="002C7D43">
      <w:r>
        <w:t xml:space="preserve">Monitoring data provided by </w:t>
      </w:r>
      <w:r w:rsidRPr="00431B82">
        <w:t>UKTI, the Government's inward investment agency, indicate</w:t>
      </w:r>
      <w:r w:rsidR="004D1DA2" w:rsidRPr="00431B82">
        <w:t>s</w:t>
      </w:r>
      <w:r w:rsidRPr="00431B82">
        <w:t xml:space="preserve"> that to date </w:t>
      </w:r>
      <w:r w:rsidR="00431B82" w:rsidRPr="00431B82">
        <w:t xml:space="preserve">520 </w:t>
      </w:r>
      <w:r w:rsidRPr="00431B82">
        <w:t>investment</w:t>
      </w:r>
      <w:r w:rsidR="00431B82" w:rsidRPr="00431B82">
        <w:t xml:space="preserve"> projects have been initiated by </w:t>
      </w:r>
      <w:r w:rsidRPr="00431B82">
        <w:t xml:space="preserve">international businesses that have used the </w:t>
      </w:r>
      <w:proofErr w:type="spellStart"/>
      <w:r w:rsidRPr="00431B82">
        <w:t>CompeteFor</w:t>
      </w:r>
      <w:proofErr w:type="spellEnd"/>
      <w:r w:rsidRPr="00431B82">
        <w:t xml:space="preserve"> service.</w:t>
      </w:r>
      <w:r w:rsidR="004D1DA2" w:rsidRPr="00431B82">
        <w:t xml:space="preserve"> I</w:t>
      </w:r>
      <w:r w:rsidRPr="00431B82">
        <w:t>t is expected that future evaluation work will assess</w:t>
      </w:r>
      <w:r>
        <w:t xml:space="preserve"> the significance of the Games and the </w:t>
      </w:r>
      <w:proofErr w:type="spellStart"/>
      <w:r>
        <w:t>CompeteFor</w:t>
      </w:r>
      <w:proofErr w:type="spellEnd"/>
      <w:r>
        <w:t xml:space="preserve"> service in influencing these decisions.</w:t>
      </w:r>
    </w:p>
    <w:p w14:paraId="76EC67BA" w14:textId="77777777" w:rsidR="002C7D43" w:rsidRDefault="002C7D43" w:rsidP="002C7D43">
      <w:pPr>
        <w:pStyle w:val="Heading2"/>
      </w:pPr>
      <w:r w:rsidRPr="00DD24A6">
        <w:t xml:space="preserve">Export and trade promotion </w:t>
      </w:r>
    </w:p>
    <w:p w14:paraId="76EC67BB" w14:textId="77777777" w:rsidR="002C7D43" w:rsidRDefault="002C7D43" w:rsidP="002C7D43">
      <w:pPr>
        <w:rPr>
          <w:color w:val="FF0000"/>
        </w:rPr>
      </w:pPr>
      <w:r>
        <w:t xml:space="preserve">The rationale for the export and trade promotion sub-theme is the expectation that the international spotlight on the UK will open up new export markets to UK companies. The legacy strategy anticipates that the </w:t>
      </w:r>
      <w:proofErr w:type="spellStart"/>
      <w:r>
        <w:t>build up</w:t>
      </w:r>
      <w:proofErr w:type="spellEnd"/>
      <w:r>
        <w:t xml:space="preserve"> to the Games, and particularly the Games period, </w:t>
      </w:r>
      <w:r w:rsidR="00D0488D">
        <w:t>would give</w:t>
      </w:r>
      <w:r>
        <w:t xml:space="preserve"> UK businesses the opportunity to showcase and promote UK innovation, </w:t>
      </w:r>
      <w:r>
        <w:lastRenderedPageBreak/>
        <w:t xml:space="preserve">enterprise and creativity, and give rise to opportunities to access new export markets and international contracts. There is also potential for businesses to build on their successes in delivering Games contracts by exploiting reputational benefits in international markets. </w:t>
      </w:r>
    </w:p>
    <w:p w14:paraId="76EC67BC" w14:textId="77777777" w:rsidR="002C7D43" w:rsidRPr="00D95367" w:rsidRDefault="002C7D43" w:rsidP="002C7D43">
      <w:r>
        <w:t>It is expected that future Government evaluations will address the impacts of the Games on the exporting performance of UK businesses.</w:t>
      </w:r>
      <w:r w:rsidRPr="006D56D9">
        <w:t xml:space="preserve"> </w:t>
      </w:r>
      <w:r>
        <w:t xml:space="preserve">Data from the </w:t>
      </w:r>
      <w:r w:rsidRPr="002C0D5A">
        <w:t xml:space="preserve">final </w:t>
      </w:r>
      <w:proofErr w:type="spellStart"/>
      <w:r w:rsidRPr="002C0D5A">
        <w:t>CompeteFor</w:t>
      </w:r>
      <w:proofErr w:type="spellEnd"/>
      <w:r w:rsidRPr="002C0D5A">
        <w:t xml:space="preserve"> evaluation due to be completed later in 2012 will </w:t>
      </w:r>
      <w:r>
        <w:t xml:space="preserve">allow for an exploration of the impact of Games-related contracts on export opportunities. </w:t>
      </w:r>
    </w:p>
    <w:p w14:paraId="76EC67BD" w14:textId="77777777" w:rsidR="002C7D43" w:rsidRDefault="002C7D43" w:rsidP="002C7D43">
      <w:pPr>
        <w:pStyle w:val="Heading2"/>
      </w:pPr>
      <w:r w:rsidRPr="00430200">
        <w:t xml:space="preserve">Tourism </w:t>
      </w:r>
    </w:p>
    <w:p w14:paraId="76EC67BE" w14:textId="77777777" w:rsidR="002C7D43" w:rsidRDefault="00D0488D" w:rsidP="002C7D43">
      <w:pPr>
        <w:autoSpaceDE w:val="0"/>
        <w:autoSpaceDN w:val="0"/>
        <w:adjustRightInd w:val="0"/>
      </w:pPr>
      <w:r>
        <w:rPr>
          <w:rFonts w:cs="Garamond"/>
          <w:color w:val="000000"/>
          <w:szCs w:val="22"/>
          <w:lang w:val="en-US"/>
        </w:rPr>
        <w:t>T</w:t>
      </w:r>
      <w:r w:rsidR="002C7D43" w:rsidRPr="00B705B0">
        <w:rPr>
          <w:rFonts w:cs="Garamond"/>
          <w:color w:val="000000"/>
          <w:szCs w:val="22"/>
          <w:lang w:val="en-US"/>
        </w:rPr>
        <w:t xml:space="preserve">he 2012 Games </w:t>
      </w:r>
      <w:r w:rsidR="002C7D43">
        <w:rPr>
          <w:rFonts w:cs="Garamond"/>
          <w:color w:val="000000"/>
          <w:szCs w:val="22"/>
          <w:lang w:val="en-US"/>
        </w:rPr>
        <w:t xml:space="preserve">and associated events such as the Cultural Olympiad </w:t>
      </w:r>
      <w:r>
        <w:rPr>
          <w:rFonts w:cs="Garamond"/>
          <w:color w:val="000000"/>
          <w:szCs w:val="22"/>
          <w:lang w:val="en-US"/>
        </w:rPr>
        <w:t>provided an opportunity to attract</w:t>
      </w:r>
      <w:r w:rsidR="002C7D43" w:rsidRPr="00B705B0">
        <w:rPr>
          <w:rFonts w:cs="Garamond"/>
          <w:color w:val="000000"/>
          <w:szCs w:val="22"/>
          <w:lang w:val="en-US"/>
        </w:rPr>
        <w:t xml:space="preserve"> a large volume of overseas and domestic tourists to London and other</w:t>
      </w:r>
      <w:r w:rsidR="002C7D43">
        <w:rPr>
          <w:rFonts w:cs="Garamond"/>
          <w:color w:val="000000"/>
          <w:szCs w:val="22"/>
          <w:lang w:val="en-US"/>
        </w:rPr>
        <w:t xml:space="preserve"> areas of the UK staging Games</w:t>
      </w:r>
      <w:r w:rsidR="002C7D43" w:rsidRPr="00B705B0">
        <w:rPr>
          <w:rFonts w:cs="Garamond"/>
          <w:color w:val="000000"/>
          <w:szCs w:val="22"/>
          <w:lang w:val="en-US"/>
        </w:rPr>
        <w:t xml:space="preserve"> events. The Games also provide</w:t>
      </w:r>
      <w:r>
        <w:rPr>
          <w:rFonts w:cs="Garamond"/>
          <w:color w:val="000000"/>
          <w:szCs w:val="22"/>
          <w:lang w:val="en-US"/>
        </w:rPr>
        <w:t>d</w:t>
      </w:r>
      <w:r w:rsidR="002C7D43" w:rsidRPr="00B705B0">
        <w:rPr>
          <w:rFonts w:cs="Garamond"/>
          <w:color w:val="000000"/>
          <w:szCs w:val="22"/>
          <w:lang w:val="en-US"/>
        </w:rPr>
        <w:t xml:space="preserve"> an opportunity to secure longer-term promotional impacts</w:t>
      </w:r>
      <w:r w:rsidR="002C7D43">
        <w:rPr>
          <w:rFonts w:cs="Garamond"/>
          <w:color w:val="000000"/>
          <w:szCs w:val="22"/>
          <w:lang w:val="en-US"/>
        </w:rPr>
        <w:t xml:space="preserve"> by </w:t>
      </w:r>
      <w:r w:rsidR="002C7D43" w:rsidRPr="00B705B0">
        <w:rPr>
          <w:rFonts w:cs="Garamond"/>
          <w:color w:val="000000"/>
          <w:szCs w:val="22"/>
          <w:lang w:val="en-US"/>
        </w:rPr>
        <w:t xml:space="preserve">using the event to showcase London </w:t>
      </w:r>
      <w:r w:rsidR="002C7D43">
        <w:rPr>
          <w:rFonts w:cs="Garamond"/>
          <w:color w:val="000000"/>
          <w:szCs w:val="22"/>
          <w:lang w:val="en-US"/>
        </w:rPr>
        <w:t xml:space="preserve">and the UK </w:t>
      </w:r>
      <w:r w:rsidR="002C7D43" w:rsidRPr="00B705B0">
        <w:rPr>
          <w:rFonts w:cs="Garamond"/>
          <w:color w:val="000000"/>
          <w:szCs w:val="22"/>
          <w:lang w:val="en-US"/>
        </w:rPr>
        <w:t>as tourism destination</w:t>
      </w:r>
      <w:r w:rsidR="002C7D43">
        <w:rPr>
          <w:rFonts w:cs="Garamond"/>
          <w:color w:val="000000"/>
          <w:szCs w:val="22"/>
          <w:lang w:val="en-US"/>
        </w:rPr>
        <w:t>s</w:t>
      </w:r>
      <w:r w:rsidR="002C7D43" w:rsidRPr="00B705B0">
        <w:rPr>
          <w:rFonts w:cs="Garamond"/>
          <w:color w:val="000000"/>
          <w:szCs w:val="22"/>
          <w:lang w:val="en-US"/>
        </w:rPr>
        <w:t>.</w:t>
      </w:r>
      <w:r w:rsidR="002C7D43" w:rsidRPr="000F5CB1">
        <w:rPr>
          <w:rFonts w:cs="Garamond"/>
          <w:color w:val="000000"/>
          <w:szCs w:val="22"/>
          <w:lang w:val="en-US"/>
        </w:rPr>
        <w:t xml:space="preserve"> </w:t>
      </w:r>
      <w:r w:rsidR="002C7D43">
        <w:t xml:space="preserve">Campaigns designed </w:t>
      </w:r>
      <w:r w:rsidR="002C7D43" w:rsidRPr="00D820FF">
        <w:t xml:space="preserve">to enhance </w:t>
      </w:r>
      <w:r w:rsidR="002C7D43">
        <w:t xml:space="preserve">the </w:t>
      </w:r>
      <w:r w:rsidR="002C7D43" w:rsidRPr="00D820FF">
        <w:t>tourism outcomes</w:t>
      </w:r>
      <w:r w:rsidR="002C7D43">
        <w:t xml:space="preserve"> of the Games </w:t>
      </w:r>
      <w:r w:rsidR="002C7D43" w:rsidRPr="00D820FF">
        <w:t>have the twin objectives of addressing any displacement of visitor numbers and using the Games and the events around it as a means to promote the UK as a place to visit.</w:t>
      </w:r>
    </w:p>
    <w:p w14:paraId="76EC67BF" w14:textId="25E1F1BF" w:rsidR="002C7D43" w:rsidRDefault="002C7D43" w:rsidP="002C7D43">
      <w:r>
        <w:t>A comprehensive impact study for London and Partners</w:t>
      </w:r>
      <w:r w:rsidR="00D0488D">
        <w:t xml:space="preserve"> carried out before the Games</w:t>
      </w:r>
      <w:r>
        <w:t xml:space="preserve"> assesse</w:t>
      </w:r>
      <w:r w:rsidR="00D0488D">
        <w:t>d</w:t>
      </w:r>
      <w:r w:rsidRPr="00053244">
        <w:t xml:space="preserve"> the net tourism gain to</w:t>
      </w:r>
      <w:r>
        <w:t xml:space="preserve"> the UK economy of the Games at</w:t>
      </w:r>
      <w:r w:rsidRPr="00053244">
        <w:t xml:space="preserve"> £1.24</w:t>
      </w:r>
      <w:r w:rsidR="00F03937">
        <w:t xml:space="preserve"> billion </w:t>
      </w:r>
      <w:r w:rsidRPr="00053244">
        <w:t>(at 2011 prices) for the period 2007-2017.</w:t>
      </w:r>
      <w:r>
        <w:rPr>
          <w:rStyle w:val="FootnoteReference"/>
        </w:rPr>
        <w:footnoteReference w:id="18"/>
      </w:r>
      <w:r>
        <w:t xml:space="preserve"> It is estimated that t</w:t>
      </w:r>
      <w:r w:rsidRPr="00053244">
        <w:t xml:space="preserve">he </w:t>
      </w:r>
      <w:r>
        <w:t xml:space="preserve">majority </w:t>
      </w:r>
      <w:r w:rsidRPr="00053244">
        <w:t>of the tourism impacts are likely to</w:t>
      </w:r>
      <w:r w:rsidR="00AB5ADD">
        <w:t xml:space="preserve"> have</w:t>
      </w:r>
      <w:r w:rsidRPr="00053244">
        <w:t xml:space="preserve"> occur</w:t>
      </w:r>
      <w:r w:rsidR="00AB5ADD">
        <w:t>red</w:t>
      </w:r>
      <w:r w:rsidRPr="00053244">
        <w:t xml:space="preserve"> during the Games period through the additional visitors</w:t>
      </w:r>
      <w:r>
        <w:t xml:space="preserve"> and expenditure, and</w:t>
      </w:r>
      <w:r w:rsidR="00AB5ADD">
        <w:t xml:space="preserve"> will continue</w:t>
      </w:r>
      <w:r>
        <w:t xml:space="preserve"> in</w:t>
      </w:r>
      <w:r w:rsidR="00AB5ADD">
        <w:t>to</w:t>
      </w:r>
      <w:r>
        <w:t xml:space="preserve"> the </w:t>
      </w:r>
      <w:r w:rsidR="002A073A">
        <w:t>'</w:t>
      </w:r>
      <w:r>
        <w:t>l</w:t>
      </w:r>
      <w:r w:rsidRPr="00053244">
        <w:t>egacy</w:t>
      </w:r>
      <w:r w:rsidR="002A073A">
        <w:t>'</w:t>
      </w:r>
      <w:r w:rsidRPr="00053244">
        <w:t xml:space="preserve"> period (2013-2017) as London and the UK as a whole benefit from increased visitor numbers due to exposure in international markets, especially e</w:t>
      </w:r>
      <w:r>
        <w:t xml:space="preserve">merging markets. </w:t>
      </w:r>
    </w:p>
    <w:p w14:paraId="76EC67C0" w14:textId="77777777" w:rsidR="002C7D43" w:rsidRPr="007F1926" w:rsidRDefault="002C7D43" w:rsidP="002C7D43">
      <w:r>
        <w:t>The</w:t>
      </w:r>
      <w:r w:rsidRPr="00614993">
        <w:t xml:space="preserve"> estimates</w:t>
      </w:r>
      <w:r>
        <w:t xml:space="preserve"> above</w:t>
      </w:r>
      <w:r w:rsidRPr="00614993">
        <w:t xml:space="preserve"> take into account various displacement effects</w:t>
      </w:r>
      <w:r>
        <w:t>; however,</w:t>
      </w:r>
      <w:r w:rsidRPr="00614993">
        <w:t xml:space="preserve"> key promotional campaigns such as 'Holidays at Home are Great '(Visit England) and </w:t>
      </w:r>
      <w:r>
        <w:t>'</w:t>
      </w:r>
      <w:r w:rsidRPr="00614993">
        <w:t>Limited Edition London</w:t>
      </w:r>
      <w:r>
        <w:t xml:space="preserve">' </w:t>
      </w:r>
      <w:r w:rsidRPr="00614993">
        <w:t xml:space="preserve">(London and Partners) are designed to soften some of the negative impacts felt by </w:t>
      </w:r>
      <w:r w:rsidR="00AB5ADD" w:rsidRPr="00614993">
        <w:t>previous</w:t>
      </w:r>
      <w:r w:rsidR="00AB5ADD">
        <w:t xml:space="preserve"> Olympic </w:t>
      </w:r>
      <w:r w:rsidRPr="00614993">
        <w:t>host</w:t>
      </w:r>
      <w:r w:rsidR="00AB5ADD">
        <w:t xml:space="preserve"> cities</w:t>
      </w:r>
      <w:r w:rsidRPr="00614993">
        <w:t>.</w:t>
      </w:r>
      <w:r w:rsidRPr="00053244">
        <w:t xml:space="preserve"> </w:t>
      </w:r>
      <w:r>
        <w:rPr>
          <w:szCs w:val="22"/>
        </w:rPr>
        <w:t>The first evaluations of Games-related marketing campaigns are scheduled to be completed later in 2012.</w:t>
      </w:r>
    </w:p>
    <w:p w14:paraId="76EC67C1" w14:textId="3D490AB2" w:rsidR="002C7D43" w:rsidRDefault="008B124B" w:rsidP="002C7D43">
      <w:r>
        <w:t xml:space="preserve">A </w:t>
      </w:r>
      <w:r w:rsidR="002C7D43">
        <w:t xml:space="preserve">DCMS survey of visitors to Olympic and Paralympic ticketed events and the International Passenger Survey will provide evidence on </w:t>
      </w:r>
      <w:r w:rsidR="002974A2">
        <w:t xml:space="preserve">visitor numbers and </w:t>
      </w:r>
      <w:r w:rsidR="002C7D43">
        <w:t xml:space="preserve">how the Games have impacted on perceptions of the UK as a place to visit. It may also be possible to assess impact of the Games on international perceptions of the UK using the </w:t>
      </w:r>
      <w:proofErr w:type="spellStart"/>
      <w:r w:rsidR="002C7D43">
        <w:t>Anholt</w:t>
      </w:r>
      <w:proofErr w:type="spellEnd"/>
      <w:r w:rsidR="002C7D43">
        <w:t xml:space="preserve"> Nations Brand Index.</w:t>
      </w:r>
    </w:p>
    <w:p w14:paraId="76EC67C2" w14:textId="77777777" w:rsidR="002C7D43" w:rsidRDefault="002C7D43" w:rsidP="002C7D43">
      <w:pPr>
        <w:pStyle w:val="Heading2"/>
      </w:pPr>
      <w:r>
        <w:t>Employability and skills development</w:t>
      </w:r>
    </w:p>
    <w:p w14:paraId="76EC67C3" w14:textId="6A3CB2F9" w:rsidR="002C7D43" w:rsidRDefault="002C7D43" w:rsidP="002C7D43">
      <w:pPr>
        <w:rPr>
          <w:szCs w:val="22"/>
        </w:rPr>
      </w:pPr>
      <w:r>
        <w:t xml:space="preserve">The key initiative aimed at helping workless people into employment through the Games is the </w:t>
      </w:r>
      <w:r w:rsidR="002974A2">
        <w:t xml:space="preserve">LEST </w:t>
      </w:r>
      <w:r w:rsidR="00D0488D">
        <w:t xml:space="preserve">2012 </w:t>
      </w:r>
      <w:r>
        <w:t xml:space="preserve">programme of employability and skills projects in London. </w:t>
      </w:r>
      <w:r w:rsidRPr="00293C67">
        <w:rPr>
          <w:szCs w:val="22"/>
        </w:rPr>
        <w:t xml:space="preserve">The </w:t>
      </w:r>
      <w:r>
        <w:rPr>
          <w:szCs w:val="22"/>
        </w:rPr>
        <w:t xml:space="preserve">interim </w:t>
      </w:r>
      <w:r w:rsidRPr="00293C67">
        <w:rPr>
          <w:szCs w:val="22"/>
        </w:rPr>
        <w:t xml:space="preserve">evaluation </w:t>
      </w:r>
      <w:r>
        <w:rPr>
          <w:szCs w:val="22"/>
        </w:rPr>
        <w:t xml:space="preserve">of the programme </w:t>
      </w:r>
      <w:r w:rsidRPr="00293C67">
        <w:rPr>
          <w:szCs w:val="22"/>
        </w:rPr>
        <w:t xml:space="preserve">concludes that </w:t>
      </w:r>
      <w:r>
        <w:rPr>
          <w:szCs w:val="22"/>
        </w:rPr>
        <w:t xml:space="preserve">in the absence of the Games it </w:t>
      </w:r>
      <w:r w:rsidRPr="00293C67">
        <w:rPr>
          <w:szCs w:val="22"/>
        </w:rPr>
        <w:t>is highly unlikely that the LEST 2012 platform would have been developed to its size and structure with the same strategic focus.</w:t>
      </w:r>
      <w:r>
        <w:rPr>
          <w:rStyle w:val="FootnoteReference"/>
          <w:szCs w:val="22"/>
        </w:rPr>
        <w:footnoteReference w:id="19"/>
      </w:r>
      <w:r w:rsidRPr="00293C67">
        <w:rPr>
          <w:szCs w:val="22"/>
        </w:rPr>
        <w:t xml:space="preserve"> </w:t>
      </w:r>
    </w:p>
    <w:p w14:paraId="76EC67C4" w14:textId="78AD161A" w:rsidR="002C7D43" w:rsidRDefault="002C7D43" w:rsidP="002C7D43">
      <w:r>
        <w:t>T</w:t>
      </w:r>
      <w:r w:rsidRPr="008F0217">
        <w:t>he</w:t>
      </w:r>
      <w:r>
        <w:t xml:space="preserve"> interim evaluation of LEST indicates that the</w:t>
      </w:r>
      <w:r w:rsidRPr="008F0217">
        <w:t xml:space="preserve"> programme was just short of its trajectory to </w:t>
      </w:r>
      <w:r>
        <w:t xml:space="preserve">use the Games to </w:t>
      </w:r>
      <w:r w:rsidRPr="008F0217">
        <w:t xml:space="preserve">reduce </w:t>
      </w:r>
      <w:proofErr w:type="spellStart"/>
      <w:r w:rsidRPr="008F0217">
        <w:t>worklessness</w:t>
      </w:r>
      <w:proofErr w:type="spellEnd"/>
      <w:r w:rsidRPr="008F0217">
        <w:t xml:space="preserve"> in London</w:t>
      </w:r>
      <w:r>
        <w:t xml:space="preserve"> by 70,000 by 2012. </w:t>
      </w:r>
      <w:r w:rsidR="002974A2">
        <w:t>B</w:t>
      </w:r>
      <w:r>
        <w:t>y the end of 2010/11, the programme had helped 34,500 into employment against a milestone of 36,000 for the end of that year.</w:t>
      </w:r>
      <w:r w:rsidRPr="003D7506">
        <w:t xml:space="preserve"> </w:t>
      </w:r>
      <w:r w:rsidRPr="008F0217">
        <w:t>It should be noted, however, that jobs are expected to last for just a year on average, so these impacts are assumed to be relatively short t</w:t>
      </w:r>
      <w:r>
        <w:t xml:space="preserve">erm and further research is needed to examine how far the projects have enabled people to move into sustainable employment. It is important to note that the reduction of </w:t>
      </w:r>
      <w:proofErr w:type="spellStart"/>
      <w:r>
        <w:t>worklessness</w:t>
      </w:r>
      <w:proofErr w:type="spellEnd"/>
      <w:r>
        <w:t xml:space="preserve"> figures relate to the impacts</w:t>
      </w:r>
      <w:r w:rsidR="00AB5ADD">
        <w:t xml:space="preserve"> of</w:t>
      </w:r>
      <w:r>
        <w:t xml:space="preserve"> Games-related programmes which covers a wider range of activity than the direct impacts of construction considered in </w:t>
      </w:r>
      <w:r w:rsidR="00EF4A7F">
        <w:t>S</w:t>
      </w:r>
      <w:r>
        <w:t xml:space="preserve">ection </w:t>
      </w:r>
      <w:r w:rsidR="00EF4A7F">
        <w:t>5.1.</w:t>
      </w:r>
    </w:p>
    <w:p w14:paraId="76EC67C5" w14:textId="77777777" w:rsidR="002C7D43" w:rsidRDefault="002C7D43" w:rsidP="002C7D43">
      <w:r>
        <w:rPr>
          <w:szCs w:val="22"/>
        </w:rPr>
        <w:lastRenderedPageBreak/>
        <w:t>Evaluations of regional skills and employability programmes such as the</w:t>
      </w:r>
      <w:r w:rsidR="00D0488D">
        <w:rPr>
          <w:szCs w:val="22"/>
        </w:rPr>
        <w:t xml:space="preserve"> rollout of</w:t>
      </w:r>
      <w:r>
        <w:rPr>
          <w:szCs w:val="22"/>
        </w:rPr>
        <w:t xml:space="preserve"> Personal Best</w:t>
      </w:r>
      <w:r w:rsidR="00D0488D">
        <w:rPr>
          <w:szCs w:val="22"/>
        </w:rPr>
        <w:t xml:space="preserve"> outside of London</w:t>
      </w:r>
      <w:r>
        <w:rPr>
          <w:szCs w:val="22"/>
        </w:rPr>
        <w:t xml:space="preserve"> provide evidence of significant Games-related employability and skills impacts to date across the nations and regions.</w:t>
      </w:r>
    </w:p>
    <w:p w14:paraId="76EC67C6" w14:textId="77777777" w:rsidR="002C7D43" w:rsidRDefault="002C7D43" w:rsidP="002C7D43">
      <w:pPr>
        <w:pStyle w:val="Heading2"/>
      </w:pPr>
      <w:r>
        <w:t xml:space="preserve">Promoting sustainable business </w:t>
      </w:r>
    </w:p>
    <w:p w14:paraId="76EC67C7" w14:textId="3231E4C2" w:rsidR="002C7D43" w:rsidRDefault="002C7D43" w:rsidP="002C7D43">
      <w:r>
        <w:t>CSL</w:t>
      </w:r>
      <w:r w:rsidRPr="00282620">
        <w:t>, the independent body which monitors and assures the sustainability of the 2012 Games, indicate</w:t>
      </w:r>
      <w:r w:rsidR="002974A2">
        <w:t>s</w:t>
      </w:r>
      <w:r w:rsidRPr="00282620">
        <w:t xml:space="preserve"> there is considerable potential for the Games to contribute to sustainable development through demonstration effects particularly in the areas of construction, infrastructure development and the staging of mega</w:t>
      </w:r>
      <w:r w:rsidR="00F81A7B">
        <w:t>-</w:t>
      </w:r>
      <w:r w:rsidRPr="00282620">
        <w:t>events.</w:t>
      </w:r>
      <w:r w:rsidR="002974A2">
        <w:rPr>
          <w:rStyle w:val="FootnoteReference"/>
        </w:rPr>
        <w:footnoteReference w:id="20"/>
      </w:r>
      <w:r w:rsidRPr="00282620">
        <w:t xml:space="preserve"> </w:t>
      </w:r>
    </w:p>
    <w:p w14:paraId="76EC67C8" w14:textId="77777777" w:rsidR="002C7D43" w:rsidRDefault="002C7D43" w:rsidP="002C7D43">
      <w:r>
        <w:t>Key sustainability t</w:t>
      </w:r>
      <w:r w:rsidRPr="00282620">
        <w:t xml:space="preserve">argets achieved by the ODA include: </w:t>
      </w:r>
    </w:p>
    <w:p w14:paraId="76EC67C9" w14:textId="77777777" w:rsidR="002C7D43" w:rsidRDefault="000A2096" w:rsidP="002C7D43">
      <w:pPr>
        <w:pStyle w:val="BulletOne"/>
      </w:pPr>
      <w:r>
        <w:t>A</w:t>
      </w:r>
      <w:r w:rsidR="002C7D43" w:rsidRPr="00282620">
        <w:t xml:space="preserve">ll permanent venues being at least 15% more energy efficient than 2006 building regulations; </w:t>
      </w:r>
    </w:p>
    <w:p w14:paraId="76EC67CA" w14:textId="77777777" w:rsidR="002C7D43" w:rsidRDefault="002C7D43" w:rsidP="002C7D43">
      <w:pPr>
        <w:pStyle w:val="BulletOne"/>
      </w:pPr>
      <w:r w:rsidRPr="00282620">
        <w:t>BREEAM</w:t>
      </w:r>
      <w:r>
        <w:rPr>
          <w:rStyle w:val="FootnoteReference"/>
        </w:rPr>
        <w:footnoteReference w:id="21"/>
      </w:r>
      <w:r w:rsidRPr="00282620">
        <w:t xml:space="preserve"> excellent rating for all permanent venues; </w:t>
      </w:r>
    </w:p>
    <w:p w14:paraId="76EC67CB" w14:textId="1ADE2DA8" w:rsidR="002C7D43" w:rsidRDefault="000A2096" w:rsidP="002C7D43">
      <w:pPr>
        <w:pStyle w:val="BulletOne"/>
      </w:pPr>
      <w:r>
        <w:t>A</w:t>
      </w:r>
      <w:r w:rsidR="002C7D43" w:rsidRPr="00282620">
        <w:t>t least 20</w:t>
      </w:r>
      <w:r w:rsidR="00D408F4">
        <w:t>%</w:t>
      </w:r>
      <w:r w:rsidR="002C7D43" w:rsidRPr="00282620">
        <w:t>, by value, of construction materials of a reused or recycled source;</w:t>
      </w:r>
    </w:p>
    <w:p w14:paraId="76EC67CC" w14:textId="77777777" w:rsidR="002C7D43" w:rsidRDefault="002C7D43" w:rsidP="002C7D43">
      <w:pPr>
        <w:pStyle w:val="BulletOne"/>
      </w:pPr>
      <w:r>
        <w:t xml:space="preserve">98% of demolition material </w:t>
      </w:r>
      <w:r w:rsidRPr="00282620">
        <w:t>reused or recycled.</w:t>
      </w:r>
      <w:r>
        <w:rPr>
          <w:rStyle w:val="FootnoteReference"/>
        </w:rPr>
        <w:footnoteReference w:id="22"/>
      </w:r>
      <w:r w:rsidRPr="00282620">
        <w:t xml:space="preserve"> </w:t>
      </w:r>
    </w:p>
    <w:p w14:paraId="76EC67CD" w14:textId="00814A07" w:rsidR="002C7D43" w:rsidRDefault="00BE694F" w:rsidP="00C96754">
      <w:r>
        <w:rPr>
          <w:lang w:val="en-US"/>
        </w:rPr>
        <w:t xml:space="preserve">CSL </w:t>
      </w:r>
      <w:r w:rsidR="002C7D43">
        <w:rPr>
          <w:lang w:val="en-US"/>
        </w:rPr>
        <w:t xml:space="preserve">evidence also indicates that </w:t>
      </w:r>
      <w:r w:rsidR="00CC4AF0" w:rsidRPr="00CC4AF0">
        <w:rPr>
          <w:lang w:val="en-US"/>
        </w:rPr>
        <w:t xml:space="preserve">London </w:t>
      </w:r>
      <w:proofErr w:type="spellStart"/>
      <w:r w:rsidR="00CC4AF0" w:rsidRPr="00CC4AF0">
        <w:rPr>
          <w:lang w:val="en-US"/>
        </w:rPr>
        <w:t>Organising</w:t>
      </w:r>
      <w:proofErr w:type="spellEnd"/>
      <w:r w:rsidR="00CC4AF0" w:rsidRPr="00CC4AF0">
        <w:rPr>
          <w:lang w:val="en-US"/>
        </w:rPr>
        <w:t xml:space="preserve"> Committee of the Olympic and Paralympic Games </w:t>
      </w:r>
      <w:r w:rsidR="00CC4AF0">
        <w:rPr>
          <w:lang w:val="en-US"/>
        </w:rPr>
        <w:t>(</w:t>
      </w:r>
      <w:r w:rsidR="002C7D43">
        <w:rPr>
          <w:lang w:val="en-US"/>
        </w:rPr>
        <w:t>LOCOG</w:t>
      </w:r>
      <w:r w:rsidR="00CC4AF0">
        <w:rPr>
          <w:lang w:val="en-US"/>
        </w:rPr>
        <w:t>)</w:t>
      </w:r>
      <w:r w:rsidR="002C7D43">
        <w:rPr>
          <w:lang w:val="en-US"/>
        </w:rPr>
        <w:t xml:space="preserve"> </w:t>
      </w:r>
      <w:proofErr w:type="gramStart"/>
      <w:r w:rsidR="002C7D43">
        <w:rPr>
          <w:lang w:val="en-US"/>
        </w:rPr>
        <w:t>is</w:t>
      </w:r>
      <w:proofErr w:type="gramEnd"/>
      <w:r w:rsidR="002C7D43">
        <w:rPr>
          <w:lang w:val="en-US"/>
        </w:rPr>
        <w:t xml:space="preserve"> on course to achieve many of the sustainability targets for staging the Games. </w:t>
      </w:r>
      <w:r w:rsidR="00C96754">
        <w:rPr>
          <w:lang w:val="en-US"/>
        </w:rPr>
        <w:t xml:space="preserve">In December 2012, LOCOG will publish the post-Games Sustainability Report and CSL with publish an initial qualitative review of the sustainability of </w:t>
      </w:r>
      <w:r w:rsidR="00C96754" w:rsidRPr="00C96754">
        <w:rPr>
          <w:lang w:val="en-US"/>
        </w:rPr>
        <w:t xml:space="preserve">the staging of the </w:t>
      </w:r>
      <w:r w:rsidR="00C96754">
        <w:rPr>
          <w:lang w:val="en-US"/>
        </w:rPr>
        <w:t xml:space="preserve">2012 </w:t>
      </w:r>
      <w:r w:rsidR="00C96754" w:rsidRPr="00C96754">
        <w:rPr>
          <w:lang w:val="en-US"/>
        </w:rPr>
        <w:t>Games</w:t>
      </w:r>
      <w:r w:rsidR="00C96754">
        <w:rPr>
          <w:lang w:val="en-US"/>
        </w:rPr>
        <w:t>.</w:t>
      </w:r>
    </w:p>
    <w:p w14:paraId="76EC67CE" w14:textId="09AEF273" w:rsidR="002C7D43" w:rsidRPr="009925FC" w:rsidRDefault="002C7D43" w:rsidP="002C7D43">
      <w:r w:rsidRPr="00282620">
        <w:t xml:space="preserve">The CSL </w:t>
      </w:r>
      <w:r w:rsidR="00BE694F">
        <w:t>'</w:t>
      </w:r>
      <w:r w:rsidRPr="00657D47">
        <w:t>Making a Difference</w:t>
      </w:r>
      <w:r w:rsidR="00BE694F">
        <w:t>'</w:t>
      </w:r>
      <w:r>
        <w:t xml:space="preserve"> </w:t>
      </w:r>
      <w:r w:rsidRPr="00282620">
        <w:t>report</w:t>
      </w:r>
      <w:r>
        <w:t>,</w:t>
      </w:r>
      <w:r w:rsidRPr="00282620">
        <w:t xml:space="preserve"> expected to be published in early 2013</w:t>
      </w:r>
      <w:r>
        <w:t>,</w:t>
      </w:r>
      <w:r w:rsidRPr="00282620">
        <w:t xml:space="preserve"> will </w:t>
      </w:r>
      <w:r w:rsidR="00087CC5">
        <w:t xml:space="preserve">provide a full </w:t>
      </w:r>
      <w:r w:rsidRPr="00282620">
        <w:t>assess</w:t>
      </w:r>
      <w:r w:rsidR="00087CC5">
        <w:t>ment of</w:t>
      </w:r>
      <w:r w:rsidRPr="00282620">
        <w:t xml:space="preserve"> the extent to which new standards of sustainability arising from London 2012 are beginning to be adopted by wider industries</w:t>
      </w:r>
      <w:r w:rsidRPr="009925FC">
        <w:t xml:space="preserve">. </w:t>
      </w:r>
    </w:p>
    <w:p w14:paraId="76EC67CF" w14:textId="77777777" w:rsidR="002C7D43" w:rsidRDefault="002C7D43" w:rsidP="002C7D43">
      <w:pPr>
        <w:pStyle w:val="Heading2"/>
      </w:pPr>
      <w:r>
        <w:t xml:space="preserve">Disability </w:t>
      </w:r>
    </w:p>
    <w:p w14:paraId="76EC67D0" w14:textId="7CF4164D" w:rsidR="002C7D43" w:rsidRDefault="002C7D43" w:rsidP="002C7D43">
      <w:r>
        <w:t xml:space="preserve">Evidence has been gathered on how the 2012 Games have helped to increase the participation of disabled people in the economy. </w:t>
      </w:r>
      <w:r w:rsidRPr="005D64C7">
        <w:t>The latest LOCOG employment and Skills Dashboard (</w:t>
      </w:r>
      <w:r>
        <w:t>May 2012</w:t>
      </w:r>
      <w:r w:rsidRPr="005D64C7">
        <w:t xml:space="preserve">) indicates that </w:t>
      </w:r>
      <w:r>
        <w:t>6</w:t>
      </w:r>
      <w:r w:rsidRPr="005D64C7">
        <w:t>% of LOCOG's paid workforce are disabled</w:t>
      </w:r>
      <w:r>
        <w:t xml:space="preserve"> which is at the upper end of the target range of 3-6%</w:t>
      </w:r>
      <w:r w:rsidRPr="005D64C7">
        <w:t>.</w:t>
      </w:r>
      <w:r>
        <w:t xml:space="preserve"> The proportion of disabled people placed into work by the ODA</w:t>
      </w:r>
      <w:r w:rsidR="002A073A">
        <w:t>'</w:t>
      </w:r>
      <w:r>
        <w:t>s Jobs Brokerage was 6% against a benchmark target of 3%.</w:t>
      </w:r>
    </w:p>
    <w:p w14:paraId="76EC67D1" w14:textId="77777777" w:rsidR="002C7D43" w:rsidRPr="00EE284B" w:rsidRDefault="002C7D43" w:rsidP="002C7D43">
      <w:r>
        <w:t xml:space="preserve">The review has also highlighted some notable impacts on accessibility for disabled people in respect of London's transport network which can help to increase participation. Major improvements which were influenced by the Games include the introduction of </w:t>
      </w:r>
      <w:r w:rsidRPr="00507379">
        <w:t>step free access in Green Park</w:t>
      </w:r>
      <w:r>
        <w:t xml:space="preserve">, </w:t>
      </w:r>
      <w:r w:rsidRPr="00507379">
        <w:t xml:space="preserve">Kings </w:t>
      </w:r>
      <w:r>
        <w:t>Cross and Southfields stations.</w:t>
      </w:r>
    </w:p>
    <w:p w14:paraId="76EC67D2" w14:textId="77777777" w:rsidR="00BF37F1" w:rsidRDefault="00BF37F1" w:rsidP="00BF37F1">
      <w:pPr>
        <w:pStyle w:val="Heading1"/>
      </w:pPr>
      <w:bookmarkStart w:id="26" w:name="_Toc338746878"/>
      <w:bookmarkStart w:id="27" w:name="_Toc331150771"/>
      <w:r>
        <w:lastRenderedPageBreak/>
        <w:t xml:space="preserve">Promoting </w:t>
      </w:r>
      <w:r w:rsidRPr="00E41C3B">
        <w:t>community engagement and participation</w:t>
      </w:r>
      <w:bookmarkEnd w:id="26"/>
      <w:r w:rsidRPr="00E41C3B">
        <w:t xml:space="preserve"> </w:t>
      </w:r>
      <w:bookmarkEnd w:id="27"/>
    </w:p>
    <w:p w14:paraId="76EC67D3" w14:textId="77777777" w:rsidR="00BF37F1" w:rsidRPr="00E324F8" w:rsidRDefault="00BF37F1" w:rsidP="00BF37F1">
      <w:pPr>
        <w:pBdr>
          <w:top w:val="single" w:sz="4" w:space="5" w:color="auto"/>
          <w:left w:val="single" w:sz="4" w:space="4" w:color="auto"/>
          <w:bottom w:val="single" w:sz="4" w:space="1" w:color="auto"/>
          <w:right w:val="single" w:sz="4" w:space="4" w:color="auto"/>
        </w:pBdr>
        <w:shd w:val="clear" w:color="auto" w:fill="CC99FF"/>
        <w:rPr>
          <w:i/>
        </w:rPr>
      </w:pPr>
      <w:r w:rsidRPr="00F64BA5">
        <w:rPr>
          <w:i/>
        </w:rPr>
        <w:t xml:space="preserve">Headline </w:t>
      </w:r>
      <w:r>
        <w:rPr>
          <w:i/>
        </w:rPr>
        <w:t xml:space="preserve">research question: </w:t>
      </w:r>
      <w:r w:rsidRPr="004B074B">
        <w:rPr>
          <w:i/>
        </w:rPr>
        <w:t>What have been the social impacts of the Games, particularly in terms of volunteering, the cultural sector and community engagement?</w:t>
      </w:r>
    </w:p>
    <w:p w14:paraId="76EC67D4" w14:textId="77777777" w:rsidR="00BF37F1" w:rsidRDefault="00C8260F" w:rsidP="00BF37F1">
      <w:r w:rsidRPr="005539C2">
        <w:rPr>
          <w:noProof/>
          <w:lang w:eastAsia="en-GB"/>
        </w:rPr>
        <mc:AlternateContent>
          <mc:Choice Requires="wps">
            <w:drawing>
              <wp:inline distT="0" distB="0" distL="0" distR="0" wp14:anchorId="76EC68E8" wp14:editId="76EC68E9">
                <wp:extent cx="5098415" cy="2794959"/>
                <wp:effectExtent l="0" t="0" r="26035"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2794959"/>
                        </a:xfrm>
                        <a:prstGeom prst="rect">
                          <a:avLst/>
                        </a:prstGeom>
                        <a:solidFill>
                          <a:schemeClr val="bg1">
                            <a:lumMod val="95000"/>
                          </a:schemeClr>
                        </a:solidFill>
                        <a:ln w="9525">
                          <a:solidFill>
                            <a:srgbClr val="000000"/>
                          </a:solidFill>
                          <a:miter lim="800000"/>
                          <a:headEnd/>
                          <a:tailEnd/>
                        </a:ln>
                      </wps:spPr>
                      <wps:txbx>
                        <w:txbxContent>
                          <w:p w14:paraId="76EC695E" w14:textId="77777777" w:rsidR="00CA062D" w:rsidRPr="000B3FB0" w:rsidRDefault="00CA062D" w:rsidP="00C8260F">
                            <w:pPr>
                              <w:spacing w:before="0" w:after="120"/>
                              <w:rPr>
                                <w:b/>
                                <w:szCs w:val="22"/>
                              </w:rPr>
                            </w:pPr>
                            <w:r w:rsidRPr="000B3FB0">
                              <w:rPr>
                                <w:b/>
                                <w:szCs w:val="22"/>
                              </w:rPr>
                              <w:t>Key findings:</w:t>
                            </w:r>
                          </w:p>
                          <w:p w14:paraId="76EC695F" w14:textId="5A21CC61" w:rsidR="00CA062D" w:rsidRPr="00CB4E50" w:rsidRDefault="00CA062D" w:rsidP="000B3FB0">
                            <w:pPr>
                              <w:pStyle w:val="Bullet1"/>
                              <w:numPr>
                                <w:ilvl w:val="0"/>
                                <w:numId w:val="47"/>
                              </w:numPr>
                              <w:spacing w:after="120"/>
                              <w:rPr>
                                <w:szCs w:val="22"/>
                              </w:rPr>
                            </w:pPr>
                            <w:r w:rsidRPr="00CB4E50">
                              <w:rPr>
                                <w:szCs w:val="22"/>
                              </w:rPr>
                              <w:t>Games-related projects have successfully captured the interest of large numbers of people across the country, as evidenced by attendance at events including 15 million people seeing the Olympic Torch Relay.</w:t>
                            </w:r>
                          </w:p>
                          <w:p w14:paraId="76EC6960" w14:textId="5DAA7DF4" w:rsidR="00CA062D" w:rsidRPr="00CB4E50" w:rsidRDefault="00CA062D" w:rsidP="000B3FB0">
                            <w:pPr>
                              <w:pStyle w:val="Bullet1"/>
                              <w:numPr>
                                <w:ilvl w:val="0"/>
                                <w:numId w:val="47"/>
                              </w:numPr>
                              <w:spacing w:after="120"/>
                              <w:rPr>
                                <w:szCs w:val="22"/>
                              </w:rPr>
                            </w:pPr>
                            <w:r w:rsidRPr="00CB4E50">
                              <w:rPr>
                                <w:szCs w:val="22"/>
                              </w:rPr>
                              <w:t>The Games has provided many new opportunities for volunteering, including up to 70,000 people recruited as Games Makers.</w:t>
                            </w:r>
                          </w:p>
                          <w:p w14:paraId="75BDB445" w14:textId="6ACA1A38" w:rsidR="00686AC2" w:rsidRPr="00686AC2" w:rsidRDefault="00CA062D" w:rsidP="00686AC2">
                            <w:pPr>
                              <w:pStyle w:val="Bullet1"/>
                              <w:numPr>
                                <w:ilvl w:val="0"/>
                                <w:numId w:val="47"/>
                              </w:numPr>
                              <w:spacing w:after="120"/>
                              <w:rPr>
                                <w:szCs w:val="22"/>
                              </w:rPr>
                            </w:pPr>
                            <w:r w:rsidRPr="00CB4E50">
                              <w:rPr>
                                <w:szCs w:val="22"/>
                              </w:rPr>
                              <w:t xml:space="preserve">Prior to the Games it was estimated that </w:t>
                            </w:r>
                            <w:r w:rsidR="00686AC2">
                              <w:rPr>
                                <w:szCs w:val="22"/>
                              </w:rPr>
                              <w:t xml:space="preserve">there had </w:t>
                            </w:r>
                            <w:r w:rsidRPr="00CB4E50">
                              <w:rPr>
                                <w:szCs w:val="22"/>
                              </w:rPr>
                              <w:t>already</w:t>
                            </w:r>
                            <w:r w:rsidR="00686AC2">
                              <w:rPr>
                                <w:szCs w:val="22"/>
                              </w:rPr>
                              <w:t xml:space="preserve"> been</w:t>
                            </w:r>
                            <w:r w:rsidRPr="00CB4E50">
                              <w:rPr>
                                <w:szCs w:val="22"/>
                              </w:rPr>
                              <w:t xml:space="preserve"> more than 16 million </w:t>
                            </w:r>
                            <w:r w:rsidR="00686AC2">
                              <w:rPr>
                                <w:szCs w:val="22"/>
                              </w:rPr>
                              <w:t>attendances at</w:t>
                            </w:r>
                            <w:r w:rsidRPr="00CB4E50">
                              <w:rPr>
                                <w:szCs w:val="22"/>
                              </w:rPr>
                              <w:t xml:space="preserve"> Cultural Olympiad</w:t>
                            </w:r>
                            <w:r w:rsidR="00686AC2">
                              <w:rPr>
                                <w:szCs w:val="22"/>
                              </w:rPr>
                              <w:t xml:space="preserve"> events</w:t>
                            </w:r>
                            <w:r w:rsidRPr="00CB4E50">
                              <w:rPr>
                                <w:szCs w:val="22"/>
                              </w:rPr>
                              <w:t>.</w:t>
                            </w:r>
                            <w:r w:rsidR="00686AC2">
                              <w:rPr>
                                <w:szCs w:val="22"/>
                              </w:rPr>
                              <w:t xml:space="preserve"> </w:t>
                            </w:r>
                          </w:p>
                          <w:p w14:paraId="76EC6962" w14:textId="77777777" w:rsidR="00CA062D" w:rsidRPr="00CB4E50" w:rsidRDefault="00CA062D" w:rsidP="000B3FB0">
                            <w:pPr>
                              <w:pStyle w:val="Bullet1"/>
                              <w:numPr>
                                <w:ilvl w:val="0"/>
                                <w:numId w:val="47"/>
                              </w:numPr>
                              <w:spacing w:after="120"/>
                              <w:rPr>
                                <w:szCs w:val="22"/>
                              </w:rPr>
                            </w:pPr>
                            <w:r w:rsidRPr="00CB4E50">
                              <w:rPr>
                                <w:szCs w:val="22"/>
                              </w:rPr>
                              <w:t>The Games has provided a unique opportunity to inspire children and young people, including extensive work with schools, colleges and universities. Over 26,000 schools registered with Get Set, a scheme to use the Games to enhance the learning experience.</w:t>
                            </w:r>
                          </w:p>
                          <w:p w14:paraId="76EC6963" w14:textId="77777777" w:rsidR="00CA062D" w:rsidRPr="00CB4E50" w:rsidRDefault="00CA062D" w:rsidP="000B3FB0">
                            <w:pPr>
                              <w:pStyle w:val="Bullet1"/>
                              <w:numPr>
                                <w:ilvl w:val="0"/>
                                <w:numId w:val="47"/>
                              </w:numPr>
                              <w:spacing w:after="120"/>
                              <w:rPr>
                                <w:szCs w:val="22"/>
                              </w:rPr>
                            </w:pPr>
                            <w:r w:rsidRPr="00CB4E50">
                              <w:rPr>
                                <w:szCs w:val="22"/>
                              </w:rPr>
                              <w:t>The sustainability commitments associated with the Games are being used as means to encourage uptake of more sustainable behaviours.</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01.45pt;height:2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" fillcolor="#f2f2f2 [3052]">
                <v:textbox>
                  <w:txbxContent>
                    <w:p w14:paraId="76EC695E" w14:textId="77777777" w:rsidR="00CA062D" w:rsidRPr="000B3FB0" w:rsidRDefault="00CA062D" w:rsidP="00C8260F">
                      <w:pPr>
                        <w:spacing w:before="0" w:after="120"/>
                        <w:rPr>
                          <w:b/>
                          <w:szCs w:val="22"/>
                        </w:rPr>
                      </w:pPr>
                      <w:r w:rsidRPr="000B3FB0">
                        <w:rPr>
                          <w:b/>
                          <w:szCs w:val="22"/>
                        </w:rPr>
                        <w:t>Key findings:</w:t>
                      </w:r>
                    </w:p>
                    <w:p w14:paraId="76EC695F" w14:textId="5A21CC61" w:rsidR="00CA062D" w:rsidRPr="00CB4E50" w:rsidRDefault="00CA062D" w:rsidP="000B3FB0">
                      <w:pPr>
                        <w:pStyle w:val="Bullet1"/>
                        <w:numPr>
                          <w:ilvl w:val="0"/>
                          <w:numId w:val="47"/>
                        </w:numPr>
                        <w:spacing w:after="120"/>
                        <w:rPr>
                          <w:szCs w:val="22"/>
                        </w:rPr>
                      </w:pPr>
                      <w:r w:rsidRPr="00CB4E50">
                        <w:rPr>
                          <w:szCs w:val="22"/>
                        </w:rPr>
                        <w:t>Games-related projects have successfully captured the interest of large numbers of people across the country, as evidenced by attendance at events including 15 million people seeing the Olympic Torch Relay.</w:t>
                      </w:r>
                    </w:p>
                    <w:p w14:paraId="76EC6960" w14:textId="5DAA7DF4" w:rsidR="00CA062D" w:rsidRPr="00CB4E50" w:rsidRDefault="00CA062D" w:rsidP="000B3FB0">
                      <w:pPr>
                        <w:pStyle w:val="Bullet1"/>
                        <w:numPr>
                          <w:ilvl w:val="0"/>
                          <w:numId w:val="47"/>
                        </w:numPr>
                        <w:spacing w:after="120"/>
                        <w:rPr>
                          <w:szCs w:val="22"/>
                        </w:rPr>
                      </w:pPr>
                      <w:r w:rsidRPr="00CB4E50">
                        <w:rPr>
                          <w:szCs w:val="22"/>
                        </w:rPr>
                        <w:t>The Games has provided many new opportunities for volunteering, including up to 70,000 people recruited as Games Makers.</w:t>
                      </w:r>
                    </w:p>
                    <w:p w14:paraId="75BDB445" w14:textId="6ACA1A38" w:rsidR="00686AC2" w:rsidRPr="00686AC2" w:rsidRDefault="00CA062D" w:rsidP="00686AC2">
                      <w:pPr>
                        <w:pStyle w:val="Bullet1"/>
                        <w:numPr>
                          <w:ilvl w:val="0"/>
                          <w:numId w:val="47"/>
                        </w:numPr>
                        <w:spacing w:after="120"/>
                        <w:rPr>
                          <w:szCs w:val="22"/>
                        </w:rPr>
                      </w:pPr>
                      <w:r w:rsidRPr="00CB4E50">
                        <w:rPr>
                          <w:szCs w:val="22"/>
                        </w:rPr>
                        <w:t xml:space="preserve">Prior to the Games it was estimated that </w:t>
                      </w:r>
                      <w:r w:rsidR="00686AC2">
                        <w:rPr>
                          <w:szCs w:val="22"/>
                        </w:rPr>
                        <w:t xml:space="preserve">there had </w:t>
                      </w:r>
                      <w:r w:rsidRPr="00CB4E50">
                        <w:rPr>
                          <w:szCs w:val="22"/>
                        </w:rPr>
                        <w:t>already</w:t>
                      </w:r>
                      <w:r w:rsidR="00686AC2">
                        <w:rPr>
                          <w:szCs w:val="22"/>
                        </w:rPr>
                        <w:t xml:space="preserve"> been</w:t>
                      </w:r>
                      <w:r w:rsidRPr="00CB4E50">
                        <w:rPr>
                          <w:szCs w:val="22"/>
                        </w:rPr>
                        <w:t xml:space="preserve"> more than 16 million </w:t>
                      </w:r>
                      <w:r w:rsidR="00686AC2">
                        <w:rPr>
                          <w:szCs w:val="22"/>
                        </w:rPr>
                        <w:t>attendances at</w:t>
                      </w:r>
                      <w:r w:rsidRPr="00CB4E50">
                        <w:rPr>
                          <w:szCs w:val="22"/>
                        </w:rPr>
                        <w:t xml:space="preserve"> Cultural Olympiad</w:t>
                      </w:r>
                      <w:r w:rsidR="00686AC2">
                        <w:rPr>
                          <w:szCs w:val="22"/>
                        </w:rPr>
                        <w:t xml:space="preserve"> events</w:t>
                      </w:r>
                      <w:r w:rsidRPr="00CB4E50">
                        <w:rPr>
                          <w:szCs w:val="22"/>
                        </w:rPr>
                        <w:t>.</w:t>
                      </w:r>
                      <w:r w:rsidR="00686AC2">
                        <w:rPr>
                          <w:szCs w:val="22"/>
                        </w:rPr>
                        <w:t xml:space="preserve"> </w:t>
                      </w:r>
                    </w:p>
                    <w:p w14:paraId="76EC6962" w14:textId="77777777" w:rsidR="00CA062D" w:rsidRPr="00CB4E50" w:rsidRDefault="00CA062D" w:rsidP="000B3FB0">
                      <w:pPr>
                        <w:pStyle w:val="Bullet1"/>
                        <w:numPr>
                          <w:ilvl w:val="0"/>
                          <w:numId w:val="47"/>
                        </w:numPr>
                        <w:spacing w:after="120"/>
                        <w:rPr>
                          <w:szCs w:val="22"/>
                        </w:rPr>
                      </w:pPr>
                      <w:r w:rsidRPr="00CB4E50">
                        <w:rPr>
                          <w:szCs w:val="22"/>
                        </w:rPr>
                        <w:t>The Games has provided a unique opportunity to inspire children and young people, including extensive work with schools, colleges and universities. Over 26,000 schools registered with Get Set, a scheme to use the Games to enhance the learning experience.</w:t>
                      </w:r>
                    </w:p>
                    <w:p w14:paraId="76EC6963" w14:textId="77777777" w:rsidR="00CA062D" w:rsidRPr="00CB4E50" w:rsidRDefault="00CA062D" w:rsidP="000B3FB0">
                      <w:pPr>
                        <w:pStyle w:val="Bullet1"/>
                        <w:numPr>
                          <w:ilvl w:val="0"/>
                          <w:numId w:val="47"/>
                        </w:numPr>
                        <w:spacing w:after="120"/>
                        <w:rPr>
                          <w:szCs w:val="22"/>
                        </w:rPr>
                      </w:pPr>
                      <w:r w:rsidRPr="00CB4E50">
                        <w:rPr>
                          <w:szCs w:val="22"/>
                        </w:rPr>
                        <w:t>The sustainability commitments associated with the Games are being used as means to encourage uptake of more sustainable behaviours.</w:t>
                      </w:r>
                    </w:p>
                  </w:txbxContent>
                </v:textbox>
                <w10:anchorlock/>
              </v:shape>
            </w:pict>
          </mc:Fallback>
        </mc:AlternateContent>
      </w:r>
    </w:p>
    <w:p w14:paraId="76EC67D5" w14:textId="77777777" w:rsidR="0068495A" w:rsidRDefault="0068495A" w:rsidP="0068495A">
      <w:pPr>
        <w:rPr>
          <w:lang w:eastAsia="en-GB"/>
        </w:rPr>
      </w:pPr>
      <w:r>
        <w:rPr>
          <w:lang w:eastAsia="en-GB"/>
        </w:rPr>
        <w:t xml:space="preserve">The aim of this legacy theme is to promote community engagement and participation to make the most of the potential of the 2012 Games to drive social change in order to create more cohesive and proactive communities. </w:t>
      </w:r>
    </w:p>
    <w:p w14:paraId="76EC67D6" w14:textId="77777777" w:rsidR="0068495A" w:rsidRDefault="0068495A" w:rsidP="0068495A">
      <w:r w:rsidRPr="005A5994">
        <w:t>There is already some early evidence to suggest that the Games are having a positive social impact. Activity concerned with community engagement and volunteerin</w:t>
      </w:r>
      <w:r>
        <w:t>g continued to gather pace</w:t>
      </w:r>
      <w:r w:rsidRPr="005A5994">
        <w:t xml:space="preserve"> during Games-time</w:t>
      </w:r>
      <w:r w:rsidR="00AB5ADD">
        <w:t>,</w:t>
      </w:r>
      <w:r w:rsidRPr="005A5994">
        <w:t xml:space="preserve"> although a</w:t>
      </w:r>
      <w:r>
        <w:t xml:space="preserve"> significant number of events had already taken place prior to the Opening Ceremony.</w:t>
      </w:r>
    </w:p>
    <w:p w14:paraId="76EC67D7" w14:textId="77777777" w:rsidR="00BF37F1" w:rsidRDefault="00BF37F1" w:rsidP="00BF37F1">
      <w:pPr>
        <w:pStyle w:val="Heading2"/>
      </w:pPr>
      <w:r>
        <w:t xml:space="preserve">Volunteering and social action </w:t>
      </w:r>
    </w:p>
    <w:p w14:paraId="76EC67D8" w14:textId="77777777" w:rsidR="00BF37F1" w:rsidRDefault="00BF37F1" w:rsidP="00BF37F1">
      <w:pPr>
        <w:autoSpaceDE w:val="0"/>
        <w:autoSpaceDN w:val="0"/>
        <w:adjustRightInd w:val="0"/>
        <w:spacing w:before="0" w:after="78"/>
        <w:rPr>
          <w:rFonts w:cs="Garamond"/>
          <w:color w:val="000000"/>
          <w:szCs w:val="22"/>
          <w:lang w:eastAsia="en-GB"/>
        </w:rPr>
      </w:pPr>
      <w:r>
        <w:rPr>
          <w:rFonts w:cs="Garamond"/>
          <w:color w:val="000000"/>
          <w:szCs w:val="22"/>
          <w:lang w:eastAsia="en-GB"/>
        </w:rPr>
        <w:t xml:space="preserve">Activity in this sub-theme is concerned with increasing opportunities for volunteering and encouraging social action in order to bring direct benefits to people and communities, and is centred on three major initiatives: </w:t>
      </w:r>
    </w:p>
    <w:p w14:paraId="76EC67D9" w14:textId="7B01AC95" w:rsidR="00BF37F1" w:rsidRDefault="00BF37F1" w:rsidP="000A2096">
      <w:pPr>
        <w:pStyle w:val="BulletOne"/>
        <w:rPr>
          <w:lang w:eastAsia="en-GB"/>
        </w:rPr>
      </w:pPr>
      <w:r>
        <w:rPr>
          <w:lang w:eastAsia="en-GB"/>
        </w:rPr>
        <w:t>Games Maker</w:t>
      </w:r>
      <w:r w:rsidR="002974A2">
        <w:rPr>
          <w:lang w:eastAsia="en-GB"/>
        </w:rPr>
        <w:t xml:space="preserve">: </w:t>
      </w:r>
      <w:r>
        <w:rPr>
          <w:lang w:eastAsia="en-GB"/>
        </w:rPr>
        <w:t>the London 2012 volunteer programme;</w:t>
      </w:r>
    </w:p>
    <w:p w14:paraId="76EC67DA" w14:textId="0A46B942" w:rsidR="00BF37F1" w:rsidRDefault="00BF37F1" w:rsidP="000A2096">
      <w:pPr>
        <w:pStyle w:val="BulletOne"/>
        <w:rPr>
          <w:lang w:eastAsia="en-GB"/>
        </w:rPr>
      </w:pPr>
      <w:r>
        <w:rPr>
          <w:lang w:eastAsia="en-GB"/>
        </w:rPr>
        <w:t>London 2012 Inspire Mark</w:t>
      </w:r>
      <w:r w:rsidR="002974A2">
        <w:rPr>
          <w:lang w:eastAsia="en-GB"/>
        </w:rPr>
        <w:t xml:space="preserve">: </w:t>
      </w:r>
      <w:r>
        <w:rPr>
          <w:lang w:eastAsia="en-GB"/>
        </w:rPr>
        <w:t xml:space="preserve">which provides recognition for community projects which are inspired by the Games; </w:t>
      </w:r>
    </w:p>
    <w:p w14:paraId="76EC67DB" w14:textId="563DD1D9" w:rsidR="00BF37F1" w:rsidRDefault="00BF37F1" w:rsidP="000A2096">
      <w:pPr>
        <w:pStyle w:val="BulletOne"/>
        <w:rPr>
          <w:lang w:eastAsia="en-GB"/>
        </w:rPr>
      </w:pPr>
      <w:r>
        <w:rPr>
          <w:lang w:eastAsia="en-GB"/>
        </w:rPr>
        <w:t>Olympic and Paralympic Torch Relays</w:t>
      </w:r>
      <w:r w:rsidR="002974A2">
        <w:rPr>
          <w:lang w:eastAsia="en-GB"/>
        </w:rPr>
        <w:t xml:space="preserve">: </w:t>
      </w:r>
      <w:r>
        <w:rPr>
          <w:lang w:eastAsia="en-GB"/>
        </w:rPr>
        <w:t>which travelled around the UK aiming to bring together and inspire communities.</w:t>
      </w:r>
    </w:p>
    <w:p w14:paraId="76EC67DC" w14:textId="4C7C8933" w:rsidR="00BF37F1" w:rsidRDefault="00BF37F1" w:rsidP="00BF37F1">
      <w:pPr>
        <w:autoSpaceDE w:val="0"/>
        <w:autoSpaceDN w:val="0"/>
        <w:adjustRightInd w:val="0"/>
        <w:spacing w:before="0" w:after="78"/>
        <w:rPr>
          <w:rFonts w:cs="Garamond"/>
          <w:color w:val="000000"/>
          <w:szCs w:val="22"/>
          <w:lang w:eastAsia="en-GB"/>
        </w:rPr>
      </w:pPr>
      <w:r>
        <w:rPr>
          <w:rFonts w:cs="Garamond"/>
          <w:color w:val="000000"/>
          <w:szCs w:val="22"/>
          <w:lang w:eastAsia="en-GB"/>
        </w:rPr>
        <w:t>In addition, there have been numerous other volunteering programmes which are related to, or inspired by, the Games</w:t>
      </w:r>
      <w:r w:rsidR="00AE6304">
        <w:rPr>
          <w:rFonts w:cs="Garamond"/>
          <w:color w:val="000000"/>
          <w:szCs w:val="22"/>
          <w:lang w:eastAsia="en-GB"/>
        </w:rPr>
        <w:t>, such as Host City Ambassador programmes,</w:t>
      </w:r>
      <w:r>
        <w:rPr>
          <w:rFonts w:cs="Garamond"/>
          <w:color w:val="000000"/>
          <w:szCs w:val="22"/>
          <w:lang w:eastAsia="en-GB"/>
        </w:rPr>
        <w:t xml:space="preserve"> along with efforts to support volunteering more widely. </w:t>
      </w:r>
    </w:p>
    <w:p w14:paraId="76EC67DD" w14:textId="4FC53EA6" w:rsidR="00BF37F1" w:rsidRDefault="00BF37F1" w:rsidP="00BF37F1">
      <w:pPr>
        <w:autoSpaceDE w:val="0"/>
        <w:autoSpaceDN w:val="0"/>
        <w:adjustRightInd w:val="0"/>
        <w:spacing w:before="0" w:after="78"/>
        <w:rPr>
          <w:rFonts w:cs="Garamond"/>
          <w:color w:val="000000"/>
          <w:szCs w:val="22"/>
          <w:lang w:eastAsia="en-GB"/>
        </w:rPr>
      </w:pPr>
      <w:r w:rsidRPr="00E01AE8">
        <w:rPr>
          <w:rFonts w:cs="Garamond"/>
          <w:color w:val="000000"/>
          <w:szCs w:val="22"/>
          <w:lang w:eastAsia="en-GB"/>
        </w:rPr>
        <w:t xml:space="preserve">Our baseline analysis shows that participation in volunteering has experienced a small decline year on year since peaking </w:t>
      </w:r>
      <w:r w:rsidR="00A500F3">
        <w:rPr>
          <w:rFonts w:cs="Garamond"/>
          <w:color w:val="000000"/>
          <w:szCs w:val="22"/>
          <w:lang w:eastAsia="en-GB"/>
        </w:rPr>
        <w:t xml:space="preserve">at 44% </w:t>
      </w:r>
      <w:r w:rsidRPr="00E01AE8">
        <w:rPr>
          <w:rFonts w:cs="Garamond"/>
          <w:color w:val="000000"/>
          <w:szCs w:val="22"/>
          <w:lang w:eastAsia="en-GB"/>
        </w:rPr>
        <w:t>in 2005</w:t>
      </w:r>
      <w:r w:rsidR="00A500F3">
        <w:rPr>
          <w:rFonts w:cs="Garamond"/>
          <w:color w:val="000000"/>
          <w:szCs w:val="22"/>
          <w:lang w:eastAsia="en-GB"/>
        </w:rPr>
        <w:t xml:space="preserve"> and falling to 40% in 2009-10</w:t>
      </w:r>
      <w:r w:rsidR="00AF7D1C">
        <w:rPr>
          <w:rFonts w:cs="Garamond"/>
          <w:color w:val="000000"/>
          <w:szCs w:val="22"/>
          <w:lang w:eastAsia="en-GB"/>
        </w:rPr>
        <w:t>.</w:t>
      </w:r>
      <w:r w:rsidRPr="00E01AE8">
        <w:rPr>
          <w:rStyle w:val="FootnoteReference"/>
          <w:color w:val="000000"/>
          <w:szCs w:val="22"/>
          <w:lang w:eastAsia="en-GB"/>
        </w:rPr>
        <w:footnoteReference w:id="23"/>
      </w:r>
      <w:r w:rsidR="00AB5ADD">
        <w:rPr>
          <w:rFonts w:cs="Garamond"/>
          <w:color w:val="000000"/>
          <w:szCs w:val="22"/>
          <w:lang w:eastAsia="en-GB"/>
        </w:rPr>
        <w:t xml:space="preserve"> In </w:t>
      </w:r>
      <w:r w:rsidRPr="00E01AE8">
        <w:rPr>
          <w:rFonts w:cs="Garamond"/>
          <w:color w:val="000000"/>
          <w:szCs w:val="22"/>
          <w:lang w:eastAsia="en-GB"/>
        </w:rPr>
        <w:t>t</w:t>
      </w:r>
      <w:r>
        <w:rPr>
          <w:rFonts w:cs="Garamond"/>
          <w:color w:val="000000"/>
          <w:szCs w:val="22"/>
          <w:lang w:eastAsia="en-GB"/>
        </w:rPr>
        <w:t xml:space="preserve">he absence of the Games, this trend would have been expected to continue; however, it is hoped that efforts </w:t>
      </w:r>
      <w:r>
        <w:rPr>
          <w:rFonts w:cs="Garamond"/>
          <w:color w:val="000000"/>
          <w:szCs w:val="22"/>
          <w:lang w:eastAsia="en-GB"/>
        </w:rPr>
        <w:lastRenderedPageBreak/>
        <w:t xml:space="preserve">to use the Games as a means to inspire volunteering and social action will generate an increase in volunteering behaviour. </w:t>
      </w:r>
    </w:p>
    <w:p w14:paraId="76EC67DE" w14:textId="7EA58014" w:rsidR="00BF37F1" w:rsidRDefault="00BF37F1" w:rsidP="00BF37F1">
      <w:r>
        <w:t xml:space="preserve">Games-related projects have been successful in capturing the interest of </w:t>
      </w:r>
      <w:r w:rsidR="007624E1">
        <w:t xml:space="preserve">large numbers of </w:t>
      </w:r>
      <w:r>
        <w:t>people across the country, which has resulted in the recruitment of volunteers and engagement with local communities. Over 240,000 people applied to be Games Makers and in the region of 70,000 were recruited to take on a wide variety of roles. There is also some evidence that those who have participated in Games-related activity (notably Inspire Mark projects and Spots v Stripes</w:t>
      </w:r>
      <w:r>
        <w:rPr>
          <w:rStyle w:val="FootnoteReference"/>
        </w:rPr>
        <w:footnoteReference w:id="24"/>
      </w:r>
      <w:r>
        <w:t xml:space="preserve">) intend to continue being involved in their local community and perceive that this activity has helped to increase community cohesion in their neighbourhood, suggesting that this activity is having a positive social impact. However, a more extensive evidence base will begin to emerge </w:t>
      </w:r>
      <w:r w:rsidR="00A73360">
        <w:t xml:space="preserve">by the end </w:t>
      </w:r>
      <w:proofErr w:type="gramStart"/>
      <w:r w:rsidR="00A73360">
        <w:t>of</w:t>
      </w:r>
      <w:r>
        <w:t xml:space="preserve">  2012</w:t>
      </w:r>
      <w:proofErr w:type="gramEnd"/>
      <w:r>
        <w:t xml:space="preserve">, including findings from a survey of Games Makers (which will provide important evidence related to the motivations and experience of volunteers). </w:t>
      </w:r>
    </w:p>
    <w:p w14:paraId="76EC67DF" w14:textId="77777777" w:rsidR="00BF37F1" w:rsidRDefault="00BF37F1" w:rsidP="00BF37F1">
      <w:pPr>
        <w:pStyle w:val="Heading2"/>
      </w:pPr>
      <w:r w:rsidRPr="00766979">
        <w:t>Culture</w:t>
      </w:r>
      <w:r>
        <w:t xml:space="preserve"> </w:t>
      </w:r>
    </w:p>
    <w:p w14:paraId="76EC67E0" w14:textId="77777777" w:rsidR="00BF37F1" w:rsidRDefault="00BF37F1" w:rsidP="00BF37F1">
      <w:pPr>
        <w:autoSpaceDE w:val="0"/>
        <w:autoSpaceDN w:val="0"/>
        <w:adjustRightInd w:val="0"/>
        <w:spacing w:before="0" w:after="78"/>
        <w:rPr>
          <w:rFonts w:cs="Garamond"/>
          <w:color w:val="000000"/>
          <w:szCs w:val="22"/>
          <w:lang w:eastAsia="en-GB"/>
        </w:rPr>
      </w:pPr>
      <w:r>
        <w:rPr>
          <w:rFonts w:cs="Garamond"/>
          <w:color w:val="000000"/>
          <w:szCs w:val="22"/>
          <w:lang w:eastAsia="en-GB"/>
        </w:rPr>
        <w:t xml:space="preserve">Engaging and inspiring the next generation of performers and audiences is a key legacy objective to be met by providing an opportunity for everyone to celebrate London 2012. It is also intended that this activity will leave a lasting legacy for culture and the arts across the UK. </w:t>
      </w:r>
    </w:p>
    <w:p w14:paraId="76EC67E1" w14:textId="6BC777F7" w:rsidR="00BF37F1" w:rsidRDefault="00073AFC" w:rsidP="00BF37F1">
      <w:pPr>
        <w:autoSpaceDE w:val="0"/>
        <w:autoSpaceDN w:val="0"/>
        <w:adjustRightInd w:val="0"/>
        <w:rPr>
          <w:rFonts w:cs="Garamond"/>
          <w:color w:val="000000"/>
          <w:szCs w:val="22"/>
          <w:lang w:eastAsia="en-GB"/>
        </w:rPr>
      </w:pPr>
      <w:r>
        <w:rPr>
          <w:rFonts w:cs="Garamond"/>
          <w:color w:val="000000"/>
          <w:szCs w:val="22"/>
          <w:lang w:eastAsia="en-GB"/>
        </w:rPr>
        <w:t>L</w:t>
      </w:r>
      <w:r w:rsidR="00BF37F1" w:rsidRPr="00E01AE8">
        <w:rPr>
          <w:rFonts w:cs="Garamond"/>
          <w:color w:val="000000"/>
          <w:szCs w:val="22"/>
          <w:lang w:eastAsia="en-GB"/>
        </w:rPr>
        <w:t>evels of engagement with the arts, and culture more generally, in the adult population has remained unchanged in recent years prior to 2012</w:t>
      </w:r>
      <w:r w:rsidR="00BF37F1" w:rsidRPr="00E01AE8">
        <w:rPr>
          <w:rStyle w:val="FootnoteReference"/>
          <w:color w:val="000000"/>
          <w:szCs w:val="22"/>
          <w:lang w:eastAsia="en-GB"/>
        </w:rPr>
        <w:footnoteReference w:id="25"/>
      </w:r>
      <w:r w:rsidR="00BF37F1" w:rsidRPr="00E01AE8">
        <w:rPr>
          <w:rFonts w:cs="Garamond"/>
          <w:color w:val="000000"/>
          <w:szCs w:val="22"/>
          <w:lang w:eastAsia="en-GB"/>
        </w:rPr>
        <w:t xml:space="preserve"> a</w:t>
      </w:r>
      <w:r w:rsidR="00BF37F1">
        <w:rPr>
          <w:rFonts w:cs="Garamond"/>
          <w:color w:val="000000"/>
          <w:szCs w:val="22"/>
          <w:lang w:eastAsia="en-GB"/>
        </w:rPr>
        <w:t xml:space="preserve">nd in the absence of the Games it is expected that this </w:t>
      </w:r>
      <w:r>
        <w:rPr>
          <w:rFonts w:cs="Garamond"/>
          <w:color w:val="000000"/>
          <w:szCs w:val="22"/>
          <w:lang w:eastAsia="en-GB"/>
        </w:rPr>
        <w:t xml:space="preserve">static </w:t>
      </w:r>
      <w:r w:rsidR="00BF37F1">
        <w:rPr>
          <w:rFonts w:cs="Garamond"/>
          <w:color w:val="000000"/>
          <w:szCs w:val="22"/>
          <w:lang w:eastAsia="en-GB"/>
        </w:rPr>
        <w:t>trend would have continued. However, the extensive programme of cultural activity which accompanies the Games provides an opportunity to stimulate an increase in participation.</w:t>
      </w:r>
    </w:p>
    <w:p w14:paraId="76EC67E2" w14:textId="021214F2" w:rsidR="00BF37F1" w:rsidRDefault="00BF37F1" w:rsidP="00BF37F1">
      <w:r>
        <w:t>The London 2012 Cultural Olympiad was a four year programme of activity comprised of a range of programmes and projects inspired by the Games and culminating in the London 2012 Festival which took place between 21</w:t>
      </w:r>
      <w:r>
        <w:rPr>
          <w:vertAlign w:val="superscript"/>
        </w:rPr>
        <w:t>st</w:t>
      </w:r>
      <w:r>
        <w:t xml:space="preserve"> June and 9</w:t>
      </w:r>
      <w:r>
        <w:rPr>
          <w:vertAlign w:val="superscript"/>
        </w:rPr>
        <w:t>th</w:t>
      </w:r>
      <w:r>
        <w:t xml:space="preserve"> September 2012. Overall, the programme </w:t>
      </w:r>
      <w:r w:rsidR="00354CDB">
        <w:t>enabled</w:t>
      </w:r>
      <w:r>
        <w:t xml:space="preserve"> thousands of events and activities across the full range of art</w:t>
      </w:r>
      <w:r w:rsidR="00354CDB">
        <w:t xml:space="preserve"> and cultural</w:t>
      </w:r>
      <w:r>
        <w:t xml:space="preserve"> forms. </w:t>
      </w:r>
    </w:p>
    <w:p w14:paraId="76EC67E3" w14:textId="69826162" w:rsidR="00BF37F1" w:rsidRDefault="00BF37F1" w:rsidP="00BF37F1">
      <w:r>
        <w:t>Th</w:t>
      </w:r>
      <w:r w:rsidR="00073AFC">
        <w:t xml:space="preserve">e culture </w:t>
      </w:r>
      <w:r>
        <w:t xml:space="preserve">sub-theme has strong links to the Inspire Mark programme with culture </w:t>
      </w:r>
      <w:r w:rsidR="00073AFC">
        <w:t xml:space="preserve">(chosen by 22% of respondents) </w:t>
      </w:r>
      <w:r>
        <w:t>emerging as the second most popular project theme after sport in the first wave survey of Inspire Mark project leads. In addition, 31% of respondents overall reported that their project had links to the</w:t>
      </w:r>
      <w:r w:rsidR="00F13775">
        <w:t xml:space="preserve"> Cultural Olympiad (see Figure 6-1)</w:t>
      </w:r>
      <w:r w:rsidR="00400E37">
        <w:t>.</w:t>
      </w:r>
      <w:r>
        <w:rPr>
          <w:rStyle w:val="FootnoteReference"/>
        </w:rPr>
        <w:footnoteReference w:id="26"/>
      </w:r>
      <w:r>
        <w:t xml:space="preserve"> </w:t>
      </w:r>
    </w:p>
    <w:p w14:paraId="76EC67E4" w14:textId="3C5F4ADB" w:rsidR="00BF37F1" w:rsidRDefault="00F13775" w:rsidP="00BF37F1">
      <w:pPr>
        <w:pStyle w:val="Caption"/>
      </w:pPr>
      <w:r>
        <w:t xml:space="preserve">Figure </w:t>
      </w:r>
      <w:r w:rsidR="009B7975">
        <w:fldChar w:fldCharType="begin"/>
      </w:r>
      <w:r w:rsidR="009B7975">
        <w:instrText xml:space="preserve"> STY</w:instrText>
      </w:r>
      <w:r w:rsidR="009B7975">
        <w:instrText xml:space="preserve">LEREF 1 \s </w:instrText>
      </w:r>
      <w:r w:rsidR="009B7975">
        <w:fldChar w:fldCharType="separate"/>
      </w:r>
      <w:r w:rsidR="003D22DB">
        <w:rPr>
          <w:noProof/>
        </w:rPr>
        <w:t>6</w:t>
      </w:r>
      <w:r w:rsidR="009B7975">
        <w:rPr>
          <w:noProof/>
        </w:rPr>
        <w:fldChar w:fldCharType="end"/>
      </w:r>
      <w:r>
        <w:noBreakHyphen/>
      </w:r>
      <w:r w:rsidR="009B7975">
        <w:fldChar w:fldCharType="begin"/>
      </w:r>
      <w:r w:rsidR="009B7975">
        <w:instrText xml:space="preserve"> SEQ Figure \* ARABIC \s 1 </w:instrText>
      </w:r>
      <w:r w:rsidR="009B7975">
        <w:fldChar w:fldCharType="separate"/>
      </w:r>
      <w:r w:rsidR="003D22DB">
        <w:rPr>
          <w:noProof/>
        </w:rPr>
        <w:t>1</w:t>
      </w:r>
      <w:r w:rsidR="009B7975">
        <w:rPr>
          <w:noProof/>
        </w:rPr>
        <w:fldChar w:fldCharType="end"/>
      </w:r>
      <w:r w:rsidR="00BF37F1">
        <w:t xml:space="preserve">: </w:t>
      </w:r>
      <w:r w:rsidR="002A073A">
        <w:t>'</w:t>
      </w:r>
      <w:r w:rsidR="00073AFC">
        <w:t>D</w:t>
      </w:r>
      <w:r w:rsidR="00BF37F1">
        <w:t>oes your project link to or support any of the following Olympic or Paralympic related projects or activities?</w:t>
      </w:r>
      <w:r w:rsidR="002A073A">
        <w:t>'</w:t>
      </w:r>
      <w:r w:rsidR="00BF37F1">
        <w:t xml:space="preserve"> (</w:t>
      </w:r>
      <w:proofErr w:type="gramStart"/>
      <w:r w:rsidR="00BF37F1">
        <w:t>multiple</w:t>
      </w:r>
      <w:proofErr w:type="gramEnd"/>
      <w:r w:rsidR="00BF37F1">
        <w:t xml:space="preserve"> responses permitted; n=290)</w:t>
      </w:r>
    </w:p>
    <w:p w14:paraId="76EC67E5" w14:textId="77777777" w:rsidR="00BF37F1" w:rsidRDefault="001200F7" w:rsidP="00657D47">
      <w:pPr>
        <w:keepNext/>
        <w:spacing w:after="0"/>
      </w:pPr>
      <w:r w:rsidRPr="009B1D60">
        <w:rPr>
          <w:noProof/>
          <w:lang w:eastAsia="en-GB"/>
        </w:rPr>
        <w:drawing>
          <wp:inline distT="0" distB="0" distL="0" distR="0" wp14:anchorId="76EC68EA" wp14:editId="76EC68EB">
            <wp:extent cx="4320000" cy="2520000"/>
            <wp:effectExtent l="0" t="0" r="4445" b="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2520000"/>
                    </a:xfrm>
                    <a:prstGeom prst="rect">
                      <a:avLst/>
                    </a:prstGeom>
                    <a:noFill/>
                    <a:ln>
                      <a:noFill/>
                    </a:ln>
                  </pic:spPr>
                </pic:pic>
              </a:graphicData>
            </a:graphic>
          </wp:inline>
        </w:drawing>
      </w:r>
    </w:p>
    <w:p w14:paraId="5277C32F" w14:textId="15F327FE" w:rsidR="00073AFC" w:rsidRPr="00657D47" w:rsidRDefault="00073AFC" w:rsidP="00BF37F1">
      <w:pPr>
        <w:rPr>
          <w:i/>
          <w:sz w:val="18"/>
          <w:szCs w:val="18"/>
        </w:rPr>
      </w:pPr>
      <w:r w:rsidRPr="00657D47">
        <w:rPr>
          <w:i/>
          <w:sz w:val="18"/>
          <w:szCs w:val="18"/>
        </w:rPr>
        <w:t>Source: Survey of Inspire Mark project leads</w:t>
      </w:r>
      <w:r w:rsidR="00CA062D">
        <w:rPr>
          <w:i/>
          <w:sz w:val="18"/>
          <w:szCs w:val="18"/>
        </w:rPr>
        <w:t xml:space="preserve"> (Nielsen/LOCOG, 2012)</w:t>
      </w:r>
      <w:r w:rsidR="008141EB">
        <w:rPr>
          <w:i/>
          <w:sz w:val="18"/>
          <w:szCs w:val="18"/>
        </w:rPr>
        <w:t>.</w:t>
      </w:r>
      <w:r w:rsidRPr="00657D47">
        <w:rPr>
          <w:i/>
          <w:sz w:val="18"/>
          <w:szCs w:val="18"/>
        </w:rPr>
        <w:t xml:space="preserve"> </w:t>
      </w:r>
    </w:p>
    <w:p w14:paraId="76EC67E6" w14:textId="0CA1721F" w:rsidR="00172D64" w:rsidRDefault="00BF37F1" w:rsidP="00BF37F1">
      <w:pPr>
        <w:pStyle w:val="BulletOne"/>
        <w:numPr>
          <w:ilvl w:val="0"/>
          <w:numId w:val="0"/>
        </w:numPr>
        <w:rPr>
          <w:szCs w:val="22"/>
          <w:lang w:eastAsia="en-GB"/>
        </w:rPr>
      </w:pPr>
      <w:r w:rsidRPr="00570DC4">
        <w:rPr>
          <w:szCs w:val="22"/>
          <w:lang w:eastAsia="en-GB"/>
        </w:rPr>
        <w:lastRenderedPageBreak/>
        <w:t xml:space="preserve">Prior to the Games, it was estimated that </w:t>
      </w:r>
      <w:r w:rsidR="00686AC2">
        <w:rPr>
          <w:szCs w:val="22"/>
          <w:lang w:eastAsia="en-GB"/>
        </w:rPr>
        <w:t xml:space="preserve">there had been </w:t>
      </w:r>
      <w:r w:rsidRPr="00570DC4">
        <w:rPr>
          <w:szCs w:val="22"/>
          <w:lang w:eastAsia="en-GB"/>
        </w:rPr>
        <w:t xml:space="preserve">more than 16 million </w:t>
      </w:r>
      <w:r w:rsidR="00686AC2">
        <w:rPr>
          <w:szCs w:val="22"/>
          <w:lang w:eastAsia="en-GB"/>
        </w:rPr>
        <w:t xml:space="preserve">attendances across the UK at </w:t>
      </w:r>
      <w:r w:rsidRPr="00570DC4">
        <w:rPr>
          <w:szCs w:val="22"/>
          <w:lang w:eastAsia="en-GB"/>
        </w:rPr>
        <w:t>Cultural Olympiad</w:t>
      </w:r>
      <w:r w:rsidR="00686AC2">
        <w:rPr>
          <w:szCs w:val="22"/>
          <w:lang w:eastAsia="en-GB"/>
        </w:rPr>
        <w:t xml:space="preserve"> events</w:t>
      </w:r>
      <w:r w:rsidRPr="00570DC4">
        <w:rPr>
          <w:szCs w:val="22"/>
          <w:lang w:eastAsia="en-GB"/>
        </w:rPr>
        <w:t xml:space="preserve"> and over 169,000 </w:t>
      </w:r>
      <w:r w:rsidR="00686AC2">
        <w:rPr>
          <w:szCs w:val="22"/>
          <w:lang w:eastAsia="en-GB"/>
        </w:rPr>
        <w:t>attendances at</w:t>
      </w:r>
      <w:r w:rsidRPr="00570DC4">
        <w:rPr>
          <w:szCs w:val="22"/>
          <w:lang w:eastAsia="en-GB"/>
        </w:rPr>
        <w:t xml:space="preserve"> more than 8,300 workshops.</w:t>
      </w:r>
      <w:r w:rsidRPr="00570DC4">
        <w:rPr>
          <w:rStyle w:val="FootnoteReference"/>
          <w:szCs w:val="22"/>
          <w:lang w:eastAsia="en-GB"/>
        </w:rPr>
        <w:footnoteReference w:id="27"/>
      </w:r>
      <w:r w:rsidRPr="00570DC4">
        <w:rPr>
          <w:szCs w:val="22"/>
          <w:lang w:eastAsia="en-GB"/>
        </w:rPr>
        <w:t xml:space="preserve"> </w:t>
      </w:r>
    </w:p>
    <w:p w14:paraId="76EC67E7" w14:textId="77777777" w:rsidR="00BF37F1" w:rsidRPr="00570DC4" w:rsidRDefault="00BF37F1" w:rsidP="00BF37F1">
      <w:pPr>
        <w:pStyle w:val="BulletOne"/>
        <w:numPr>
          <w:ilvl w:val="0"/>
          <w:numId w:val="0"/>
        </w:numPr>
        <w:rPr>
          <w:szCs w:val="22"/>
          <w:lang w:eastAsia="en-GB"/>
        </w:rPr>
      </w:pPr>
      <w:r w:rsidRPr="00570DC4">
        <w:rPr>
          <w:szCs w:val="22"/>
        </w:rPr>
        <w:t>Evaluation of the Cultural Olympiad is underway, includi</w:t>
      </w:r>
      <w:r>
        <w:rPr>
          <w:szCs w:val="22"/>
        </w:rPr>
        <w:t xml:space="preserve">ng an audience survey, and </w:t>
      </w:r>
      <w:r w:rsidRPr="00570DC4">
        <w:rPr>
          <w:szCs w:val="22"/>
        </w:rPr>
        <w:t xml:space="preserve">this </w:t>
      </w:r>
      <w:r>
        <w:rPr>
          <w:szCs w:val="22"/>
        </w:rPr>
        <w:t xml:space="preserve">will </w:t>
      </w:r>
      <w:r w:rsidRPr="00570DC4">
        <w:rPr>
          <w:szCs w:val="22"/>
        </w:rPr>
        <w:t>provide a valuable insight into the achievement of the legacy objectives for the arts and culture. Data from Legacy Trust UK</w:t>
      </w:r>
      <w:r>
        <w:rPr>
          <w:rStyle w:val="FootnoteReference"/>
          <w:szCs w:val="22"/>
        </w:rPr>
        <w:footnoteReference w:id="28"/>
      </w:r>
      <w:r>
        <w:rPr>
          <w:szCs w:val="22"/>
        </w:rPr>
        <w:t xml:space="preserve"> and the Inspire Mark project s</w:t>
      </w:r>
      <w:r w:rsidRPr="00570DC4">
        <w:rPr>
          <w:szCs w:val="22"/>
        </w:rPr>
        <w:t xml:space="preserve">urvey also show that projects have successfully attracted a significant number of participants/audience members </w:t>
      </w:r>
      <w:r>
        <w:rPr>
          <w:szCs w:val="22"/>
        </w:rPr>
        <w:t xml:space="preserve">indicating </w:t>
      </w:r>
      <w:r w:rsidRPr="00570DC4">
        <w:rPr>
          <w:szCs w:val="22"/>
        </w:rPr>
        <w:t xml:space="preserve">a positive effect on community engagement. </w:t>
      </w:r>
    </w:p>
    <w:p w14:paraId="76EC67E8" w14:textId="77777777" w:rsidR="00BF37F1" w:rsidRDefault="00BF37F1" w:rsidP="00BF37F1">
      <w:pPr>
        <w:pStyle w:val="Heading2"/>
      </w:pPr>
      <w:r w:rsidRPr="00766979">
        <w:t>Engaging children and young people</w:t>
      </w:r>
      <w:r>
        <w:t xml:space="preserve"> </w:t>
      </w:r>
    </w:p>
    <w:p w14:paraId="76EC67E9" w14:textId="77777777" w:rsidR="00BF37F1" w:rsidRDefault="00BF37F1" w:rsidP="00BF37F1">
      <w:pPr>
        <w:autoSpaceDE w:val="0"/>
        <w:autoSpaceDN w:val="0"/>
        <w:adjustRightInd w:val="0"/>
        <w:spacing w:before="0" w:after="78"/>
        <w:rPr>
          <w:rFonts w:cs="Garamond"/>
          <w:color w:val="000000"/>
          <w:szCs w:val="22"/>
          <w:lang w:eastAsia="en-GB"/>
        </w:rPr>
      </w:pPr>
      <w:r>
        <w:rPr>
          <w:rFonts w:cs="Garamond"/>
          <w:color w:val="000000"/>
          <w:szCs w:val="22"/>
          <w:lang w:eastAsia="en-GB"/>
        </w:rPr>
        <w:t xml:space="preserve">The success of the 2012 Games in inspiring and enhancing the education of children and young people, and in promoting social inclusion is the focus for this sub-theme. </w:t>
      </w:r>
    </w:p>
    <w:p w14:paraId="76EC67EA" w14:textId="77777777" w:rsidR="00BF37F1" w:rsidRDefault="00BF37F1" w:rsidP="00BF37F1">
      <w:pPr>
        <w:autoSpaceDE w:val="0"/>
        <w:autoSpaceDN w:val="0"/>
        <w:adjustRightInd w:val="0"/>
        <w:spacing w:before="0" w:after="78"/>
        <w:rPr>
          <w:rFonts w:cs="Garamond"/>
          <w:color w:val="000000"/>
          <w:szCs w:val="22"/>
          <w:lang w:eastAsia="en-GB"/>
        </w:rPr>
      </w:pPr>
      <w:r w:rsidRPr="00E01AE8">
        <w:rPr>
          <w:rFonts w:cs="Garamond"/>
          <w:color w:val="000000"/>
          <w:szCs w:val="22"/>
          <w:lang w:eastAsia="en-GB"/>
        </w:rPr>
        <w:t>Educational attainment and attendance in schools has generally been improving across England in recent years</w:t>
      </w:r>
      <w:r>
        <w:rPr>
          <w:rFonts w:cs="Garamond"/>
          <w:color w:val="000000"/>
          <w:szCs w:val="22"/>
          <w:lang w:eastAsia="en-GB"/>
        </w:rPr>
        <w:t>,</w:t>
      </w:r>
      <w:r w:rsidRPr="00E01AE8">
        <w:rPr>
          <w:rFonts w:cs="Garamond"/>
          <w:color w:val="000000"/>
          <w:szCs w:val="22"/>
          <w:lang w:eastAsia="en-GB"/>
        </w:rPr>
        <w:t xml:space="preserve"> as highlighted in our baseline report. However, performance in the </w:t>
      </w:r>
      <w:r w:rsidR="00461073">
        <w:rPr>
          <w:rFonts w:cs="Garamond"/>
          <w:color w:val="000000"/>
          <w:szCs w:val="22"/>
          <w:lang w:eastAsia="en-GB"/>
        </w:rPr>
        <w:t>h</w:t>
      </w:r>
      <w:r w:rsidRPr="00E01AE8">
        <w:rPr>
          <w:rFonts w:cs="Garamond"/>
          <w:color w:val="000000"/>
          <w:szCs w:val="22"/>
          <w:lang w:eastAsia="en-GB"/>
        </w:rPr>
        <w:t xml:space="preserve">ost </w:t>
      </w:r>
      <w:r w:rsidR="00461073">
        <w:rPr>
          <w:rFonts w:cs="Garamond"/>
          <w:color w:val="000000"/>
          <w:szCs w:val="22"/>
          <w:lang w:eastAsia="en-GB"/>
        </w:rPr>
        <w:t>b</w:t>
      </w:r>
      <w:r w:rsidRPr="00E01AE8">
        <w:rPr>
          <w:rFonts w:cs="Garamond"/>
          <w:color w:val="000000"/>
          <w:szCs w:val="22"/>
          <w:lang w:eastAsia="en-GB"/>
        </w:rPr>
        <w:t>oroughs has tended to lag behind the national average and it is hoped that the inspiring effect of the Games will help to encourage an improvement</w:t>
      </w:r>
      <w:r w:rsidR="00BE6AF0">
        <w:rPr>
          <w:rFonts w:cs="Garamond"/>
          <w:color w:val="000000"/>
          <w:szCs w:val="22"/>
          <w:lang w:eastAsia="en-GB"/>
        </w:rPr>
        <w:t>.</w:t>
      </w:r>
      <w:r w:rsidRPr="00E01AE8">
        <w:rPr>
          <w:rStyle w:val="FootnoteReference"/>
          <w:color w:val="000000"/>
          <w:szCs w:val="22"/>
          <w:lang w:eastAsia="en-GB"/>
        </w:rPr>
        <w:footnoteReference w:id="29"/>
      </w:r>
      <w:r>
        <w:rPr>
          <w:rFonts w:cs="Garamond"/>
          <w:color w:val="000000"/>
          <w:szCs w:val="22"/>
          <w:lang w:eastAsia="en-GB"/>
        </w:rPr>
        <w:t xml:space="preserve"> </w:t>
      </w:r>
    </w:p>
    <w:p w14:paraId="76EC67EB" w14:textId="77777777" w:rsidR="00BF37F1" w:rsidRDefault="00BF37F1" w:rsidP="00BF37F1">
      <w:r>
        <w:t>Get Set was the official London 2012 education programme</w:t>
      </w:r>
      <w:r w:rsidR="00172D64">
        <w:t>. It was</w:t>
      </w:r>
      <w:r>
        <w:t xml:space="preserve"> developed for schools and colleges across the UK and delivered through an online platform which provided a range of resources targeted at 3-19 year olds, aiming to enhance their learning experience. </w:t>
      </w:r>
    </w:p>
    <w:p w14:paraId="76EC67EC" w14:textId="77777777" w:rsidR="00BF37F1" w:rsidRDefault="00BF37F1" w:rsidP="00BF37F1">
      <w:r>
        <w:t xml:space="preserve">Other activities relevant to this sub-theme include: </w:t>
      </w:r>
    </w:p>
    <w:p w14:paraId="76EC67ED" w14:textId="2EC79AF6" w:rsidR="00BF37F1" w:rsidRPr="00570DC4" w:rsidRDefault="00BF37F1" w:rsidP="00BF37F1">
      <w:pPr>
        <w:pStyle w:val="BulletOne"/>
        <w:tabs>
          <w:tab w:val="num" w:pos="342"/>
        </w:tabs>
        <w:rPr>
          <w:szCs w:val="22"/>
        </w:rPr>
      </w:pPr>
      <w:r w:rsidRPr="00570DC4">
        <w:rPr>
          <w:szCs w:val="22"/>
        </w:rPr>
        <w:t>Podium</w:t>
      </w:r>
      <w:r w:rsidR="00073AFC">
        <w:rPr>
          <w:szCs w:val="22"/>
        </w:rPr>
        <w:t xml:space="preserve">: </w:t>
      </w:r>
      <w:r w:rsidRPr="00570DC4">
        <w:rPr>
          <w:szCs w:val="22"/>
        </w:rPr>
        <w:t>the further and higher education unit for the</w:t>
      </w:r>
      <w:r>
        <w:rPr>
          <w:szCs w:val="22"/>
        </w:rPr>
        <w:t xml:space="preserve"> Games;</w:t>
      </w:r>
      <w:r w:rsidRPr="00570DC4">
        <w:rPr>
          <w:szCs w:val="22"/>
        </w:rPr>
        <w:t xml:space="preserve"> </w:t>
      </w:r>
    </w:p>
    <w:p w14:paraId="76EC67EE" w14:textId="58C9BE2B" w:rsidR="00BF37F1" w:rsidRPr="00570DC4" w:rsidRDefault="00BF37F1" w:rsidP="00BF37F1">
      <w:pPr>
        <w:pStyle w:val="BulletOne"/>
        <w:tabs>
          <w:tab w:val="num" w:pos="342"/>
        </w:tabs>
        <w:rPr>
          <w:snapToGrid w:val="0"/>
          <w:szCs w:val="22"/>
        </w:rPr>
      </w:pPr>
      <w:r w:rsidRPr="00570DC4">
        <w:rPr>
          <w:szCs w:val="22"/>
        </w:rPr>
        <w:t>Higher Education Funding Council for England</w:t>
      </w:r>
      <w:r w:rsidR="00073AFC">
        <w:rPr>
          <w:szCs w:val="22"/>
        </w:rPr>
        <w:t>: w</w:t>
      </w:r>
      <w:r w:rsidR="00073AFC" w:rsidRPr="00570DC4">
        <w:rPr>
          <w:szCs w:val="22"/>
        </w:rPr>
        <w:t xml:space="preserve">ork </w:t>
      </w:r>
      <w:r w:rsidRPr="00570DC4">
        <w:rPr>
          <w:szCs w:val="22"/>
        </w:rPr>
        <w:t>to inform and support the higher education sector</w:t>
      </w:r>
      <w:r w:rsidR="002A073A">
        <w:rPr>
          <w:szCs w:val="22"/>
        </w:rPr>
        <w:t>'</w:t>
      </w:r>
      <w:r w:rsidRPr="00570DC4">
        <w:rPr>
          <w:szCs w:val="22"/>
        </w:rPr>
        <w:t>s response to oppor</w:t>
      </w:r>
      <w:r>
        <w:rPr>
          <w:szCs w:val="22"/>
        </w:rPr>
        <w:t>tunities provided by the Games;</w:t>
      </w:r>
    </w:p>
    <w:p w14:paraId="76EC67EF" w14:textId="4E91634B" w:rsidR="00BF37F1" w:rsidRPr="00570DC4" w:rsidRDefault="00BF37F1" w:rsidP="00BF37F1">
      <w:pPr>
        <w:pStyle w:val="BulletOne"/>
        <w:tabs>
          <w:tab w:val="num" w:pos="342"/>
        </w:tabs>
        <w:rPr>
          <w:szCs w:val="22"/>
          <w:lang w:eastAsia="en-GB"/>
        </w:rPr>
      </w:pPr>
      <w:r w:rsidRPr="00570DC4">
        <w:rPr>
          <w:snapToGrid w:val="0"/>
          <w:szCs w:val="22"/>
        </w:rPr>
        <w:t>Opportunity Inspired by London 2012</w:t>
      </w:r>
      <w:r w:rsidR="00073AFC">
        <w:rPr>
          <w:snapToGrid w:val="0"/>
          <w:szCs w:val="22"/>
        </w:rPr>
        <w:t xml:space="preserve">: </w:t>
      </w:r>
      <w:r w:rsidRPr="00570DC4">
        <w:rPr>
          <w:snapToGrid w:val="0"/>
          <w:szCs w:val="22"/>
        </w:rPr>
        <w:t>working with disadvantaged young people to give them the skills they need to put them on the next step towards emplo</w:t>
      </w:r>
      <w:r>
        <w:rPr>
          <w:snapToGrid w:val="0"/>
          <w:szCs w:val="22"/>
        </w:rPr>
        <w:t xml:space="preserve">yment, training or volunteering; </w:t>
      </w:r>
    </w:p>
    <w:p w14:paraId="76EC67F0" w14:textId="3A9B0EC3" w:rsidR="00BF37F1" w:rsidRPr="002F3BE0" w:rsidRDefault="00BF37F1" w:rsidP="00BF37F1">
      <w:pPr>
        <w:pStyle w:val="BulletOne"/>
        <w:tabs>
          <w:tab w:val="num" w:pos="342"/>
        </w:tabs>
        <w:rPr>
          <w:szCs w:val="22"/>
          <w:lang w:eastAsia="en-GB"/>
        </w:rPr>
      </w:pPr>
      <w:r w:rsidRPr="00570DC4">
        <w:rPr>
          <w:szCs w:val="22"/>
          <w:lang w:eastAsia="en-GB"/>
        </w:rPr>
        <w:t>Young Leaders</w:t>
      </w:r>
      <w:r w:rsidR="00073AFC">
        <w:rPr>
          <w:szCs w:val="22"/>
          <w:lang w:eastAsia="en-GB"/>
        </w:rPr>
        <w:t xml:space="preserve">: </w:t>
      </w:r>
      <w:r w:rsidRPr="00570DC4">
        <w:rPr>
          <w:szCs w:val="22"/>
          <w:lang w:eastAsia="en-GB"/>
        </w:rPr>
        <w:t xml:space="preserve">giving a group of disadvantaged young people the chance to make positive change to their lives, providing an opportunity for personal development through formal </w:t>
      </w:r>
      <w:r w:rsidRPr="002F3BE0">
        <w:rPr>
          <w:szCs w:val="22"/>
          <w:lang w:eastAsia="en-GB"/>
        </w:rPr>
        <w:t>training, development and leadership coaching support.</w:t>
      </w:r>
    </w:p>
    <w:p w14:paraId="76EC67F1" w14:textId="3762E24A" w:rsidR="00BF37F1" w:rsidRPr="006A580B" w:rsidRDefault="00CC3F0B" w:rsidP="00BF37F1">
      <w:r w:rsidRPr="00657D47">
        <w:t>The e</w:t>
      </w:r>
      <w:r w:rsidR="00BF37F1" w:rsidRPr="002F3BE0">
        <w:t>valuation</w:t>
      </w:r>
      <w:r w:rsidR="002F3BE0">
        <w:t xml:space="preserve"> of Get Set</w:t>
      </w:r>
      <w:r w:rsidR="002F3BE0" w:rsidRPr="006A580B">
        <w:rPr>
          <w:rStyle w:val="FootnoteReference"/>
        </w:rPr>
        <w:footnoteReference w:id="30"/>
      </w:r>
      <w:r w:rsidR="00BF37F1" w:rsidRPr="002F3BE0">
        <w:t xml:space="preserve"> undertaken to date demonstrates that </w:t>
      </w:r>
      <w:r w:rsidR="002F3BE0" w:rsidRPr="002F3BE0">
        <w:t xml:space="preserve">programme </w:t>
      </w:r>
      <w:r w:rsidR="00BF37F1" w:rsidRPr="002F3BE0">
        <w:t xml:space="preserve">activities have successfully increased engagement and involvement in the Games amongst young people. </w:t>
      </w:r>
      <w:r w:rsidRPr="002F3BE0">
        <w:t xml:space="preserve">The evaluation concluded that the programme </w:t>
      </w:r>
      <w:r w:rsidR="00BF37F1" w:rsidRPr="002F3BE0">
        <w:t>achieved high penetration in terms of the proportion of eligible establishments which registered with the programme</w:t>
      </w:r>
      <w:r w:rsidR="00D63120" w:rsidRPr="002F3BE0">
        <w:t xml:space="preserve"> with over 26,000 schools registered</w:t>
      </w:r>
      <w:r w:rsidR="00BF37F1" w:rsidRPr="002F3BE0">
        <w:t xml:space="preserve">. </w:t>
      </w:r>
      <w:r w:rsidRPr="002F3BE0">
        <w:t xml:space="preserve">In addition, that </w:t>
      </w:r>
      <w:r w:rsidR="00BF37F1" w:rsidRPr="002F3BE0">
        <w:t>participation had a positive effect on</w:t>
      </w:r>
      <w:r w:rsidR="00BF37F1" w:rsidRPr="006A580B">
        <w:t xml:space="preserve"> pupils and teachers and the view of te</w:t>
      </w:r>
      <w:r w:rsidR="00BF37F1">
        <w:t>achers is that the programme</w:t>
      </w:r>
      <w:r w:rsidR="00BF37F1" w:rsidRPr="006A580B">
        <w:t xml:space="preserve"> helped to raise pupil aspirations, confidence/self-esteem and engagement in learning</w:t>
      </w:r>
      <w:r w:rsidR="00BE6AF0">
        <w:t>.</w:t>
      </w:r>
      <w:r w:rsidR="00BF37F1" w:rsidRPr="006A580B">
        <w:t xml:space="preserve"> </w:t>
      </w:r>
    </w:p>
    <w:p w14:paraId="76EC67F2" w14:textId="77777777" w:rsidR="00BF37F1" w:rsidRDefault="00BF37F1" w:rsidP="00BF37F1">
      <w:r>
        <w:t xml:space="preserve">The Young Leaders programme </w:t>
      </w:r>
      <w:r w:rsidRPr="006A580B">
        <w:t>successfully engaged with a group of disadvantaged young</w:t>
      </w:r>
      <w:r>
        <w:t xml:space="preserve"> people and a high proportion reported that they had improved skills and built confidence as a result of taking part which suggests that the programme could have a positive impact on their future life opportunities</w:t>
      </w:r>
      <w:r w:rsidR="00BE6AF0">
        <w:t>.</w:t>
      </w:r>
      <w:r>
        <w:rPr>
          <w:rStyle w:val="FootnoteReference"/>
        </w:rPr>
        <w:footnoteReference w:id="31"/>
      </w:r>
      <w:r>
        <w:t xml:space="preserve"> In addition, Opportunity Inspired by 2012 has made good progress towards achieving its target of supporting 500 disadvantaged young people. </w:t>
      </w:r>
    </w:p>
    <w:p w14:paraId="76EC67F3" w14:textId="77777777" w:rsidR="00BF37F1" w:rsidRDefault="00BF37F1" w:rsidP="00BF37F1">
      <w:pPr>
        <w:pStyle w:val="Heading2"/>
      </w:pPr>
      <w:r w:rsidRPr="00766979">
        <w:t>Sustainable living</w:t>
      </w:r>
      <w:r>
        <w:t xml:space="preserve"> </w:t>
      </w:r>
    </w:p>
    <w:p w14:paraId="76EC67F4" w14:textId="0B6E1445" w:rsidR="00BF37F1" w:rsidRDefault="00BF37F1" w:rsidP="00BF37F1">
      <w:pPr>
        <w:autoSpaceDE w:val="0"/>
        <w:autoSpaceDN w:val="0"/>
        <w:adjustRightInd w:val="0"/>
        <w:spacing w:before="0" w:after="78"/>
        <w:rPr>
          <w:rFonts w:cs="Garamond"/>
          <w:color w:val="000000"/>
          <w:szCs w:val="22"/>
          <w:lang w:eastAsia="en-GB"/>
        </w:rPr>
      </w:pPr>
      <w:r>
        <w:rPr>
          <w:rFonts w:cs="Garamond"/>
          <w:color w:val="000000"/>
          <w:szCs w:val="22"/>
          <w:lang w:eastAsia="en-GB"/>
        </w:rPr>
        <w:t xml:space="preserve">This sub-theme considers the extent to which the Games </w:t>
      </w:r>
      <w:r w:rsidR="00F613EE">
        <w:rPr>
          <w:rFonts w:cs="Garamond"/>
          <w:color w:val="000000"/>
          <w:szCs w:val="22"/>
          <w:lang w:eastAsia="en-GB"/>
        </w:rPr>
        <w:t xml:space="preserve">has </w:t>
      </w:r>
      <w:r>
        <w:rPr>
          <w:rFonts w:cs="Garamond"/>
          <w:color w:val="000000"/>
          <w:szCs w:val="22"/>
          <w:lang w:eastAsia="en-GB"/>
        </w:rPr>
        <w:t>inspire</w:t>
      </w:r>
      <w:r w:rsidR="00F613EE">
        <w:rPr>
          <w:rFonts w:cs="Garamond"/>
          <w:color w:val="000000"/>
          <w:szCs w:val="22"/>
          <w:lang w:eastAsia="en-GB"/>
        </w:rPr>
        <w:t>d</w:t>
      </w:r>
      <w:r>
        <w:rPr>
          <w:rFonts w:cs="Garamond"/>
          <w:color w:val="000000"/>
          <w:szCs w:val="22"/>
          <w:lang w:eastAsia="en-GB"/>
        </w:rPr>
        <w:t xml:space="preserve"> people to live more sustainably, for example by encouraging people to reduce their carbon footprint, be more </w:t>
      </w:r>
      <w:r>
        <w:rPr>
          <w:rFonts w:cs="Garamond"/>
          <w:color w:val="000000"/>
          <w:szCs w:val="22"/>
          <w:lang w:eastAsia="en-GB"/>
        </w:rPr>
        <w:lastRenderedPageBreak/>
        <w:t xml:space="preserve">energy efficient, make more sustainable travel choices and increase the amount of waste recycled. </w:t>
      </w:r>
    </w:p>
    <w:p w14:paraId="76EC67F5" w14:textId="51EA97E8" w:rsidR="00BF37F1" w:rsidRDefault="007E4307" w:rsidP="00BF37F1">
      <w:pPr>
        <w:autoSpaceDE w:val="0"/>
        <w:autoSpaceDN w:val="0"/>
        <w:adjustRightInd w:val="0"/>
        <w:spacing w:before="0" w:after="78"/>
        <w:rPr>
          <w:rFonts w:cs="Garamond"/>
          <w:color w:val="000000"/>
          <w:szCs w:val="22"/>
          <w:lang w:eastAsia="en-GB"/>
        </w:rPr>
      </w:pPr>
      <w:r>
        <w:rPr>
          <w:rFonts w:cs="Garamond"/>
          <w:color w:val="000000"/>
          <w:szCs w:val="22"/>
          <w:lang w:eastAsia="en-GB"/>
        </w:rPr>
        <w:t>Patterns of energy use, waste production and travel behaviour already indicate sustainable behaviour is improving</w:t>
      </w:r>
      <w:r w:rsidR="00BE6AF0">
        <w:rPr>
          <w:rFonts w:cs="Garamond"/>
          <w:color w:val="000000"/>
          <w:szCs w:val="22"/>
          <w:lang w:eastAsia="en-GB"/>
        </w:rPr>
        <w:t>.</w:t>
      </w:r>
      <w:r w:rsidR="00BF37F1" w:rsidRPr="00E01AE8">
        <w:rPr>
          <w:rStyle w:val="FootnoteReference"/>
          <w:color w:val="000000"/>
          <w:szCs w:val="22"/>
          <w:lang w:eastAsia="en-GB"/>
        </w:rPr>
        <w:footnoteReference w:id="32"/>
      </w:r>
      <w:r w:rsidR="00BF37F1">
        <w:rPr>
          <w:rFonts w:cs="Garamond"/>
          <w:color w:val="000000"/>
          <w:szCs w:val="22"/>
          <w:lang w:eastAsia="en-GB"/>
        </w:rPr>
        <w:t xml:space="preserve"> </w:t>
      </w:r>
      <w:r>
        <w:rPr>
          <w:rFonts w:cs="Garamond"/>
          <w:color w:val="000000"/>
          <w:szCs w:val="22"/>
          <w:lang w:eastAsia="en-GB"/>
        </w:rPr>
        <w:t>T</w:t>
      </w:r>
      <w:r w:rsidR="00BF37F1">
        <w:rPr>
          <w:rFonts w:cs="Garamond"/>
          <w:color w:val="000000"/>
          <w:szCs w:val="22"/>
          <w:lang w:eastAsia="en-GB"/>
        </w:rPr>
        <w:t xml:space="preserve">he </w:t>
      </w:r>
      <w:r>
        <w:rPr>
          <w:rFonts w:cs="Garamond"/>
          <w:color w:val="000000"/>
          <w:szCs w:val="22"/>
          <w:lang w:eastAsia="en-GB"/>
        </w:rPr>
        <w:t xml:space="preserve">2012 </w:t>
      </w:r>
      <w:r w:rsidR="00BF37F1">
        <w:rPr>
          <w:rFonts w:cs="Garamond"/>
          <w:color w:val="000000"/>
          <w:szCs w:val="22"/>
          <w:lang w:eastAsia="en-GB"/>
        </w:rPr>
        <w:t xml:space="preserve">Games </w:t>
      </w:r>
      <w:r w:rsidR="005C405F">
        <w:rPr>
          <w:rFonts w:cs="Garamond"/>
          <w:color w:val="000000"/>
          <w:szCs w:val="22"/>
          <w:lang w:eastAsia="en-GB"/>
        </w:rPr>
        <w:t xml:space="preserve">were used as a means </w:t>
      </w:r>
      <w:r w:rsidR="00BF37F1">
        <w:rPr>
          <w:rFonts w:cs="Garamond"/>
          <w:color w:val="000000"/>
          <w:szCs w:val="22"/>
          <w:lang w:eastAsia="en-GB"/>
        </w:rPr>
        <w:t xml:space="preserve">to convey messages around sustainability </w:t>
      </w:r>
      <w:r>
        <w:rPr>
          <w:rFonts w:cs="Garamond"/>
          <w:color w:val="000000"/>
          <w:szCs w:val="22"/>
          <w:lang w:eastAsia="en-GB"/>
        </w:rPr>
        <w:t xml:space="preserve">in order to </w:t>
      </w:r>
      <w:r w:rsidR="005C405F">
        <w:rPr>
          <w:rFonts w:cs="Garamond"/>
          <w:color w:val="000000"/>
          <w:szCs w:val="22"/>
          <w:lang w:eastAsia="en-GB"/>
        </w:rPr>
        <w:t xml:space="preserve">accelerate positive </w:t>
      </w:r>
      <w:r w:rsidR="00BF37F1">
        <w:rPr>
          <w:rFonts w:cs="Garamond"/>
          <w:color w:val="000000"/>
          <w:szCs w:val="22"/>
          <w:lang w:eastAsia="en-GB"/>
        </w:rPr>
        <w:t xml:space="preserve">attitudes towards sustainability and </w:t>
      </w:r>
      <w:r w:rsidR="005C405F">
        <w:rPr>
          <w:rFonts w:cs="Garamond"/>
          <w:color w:val="000000"/>
          <w:szCs w:val="22"/>
          <w:lang w:eastAsia="en-GB"/>
        </w:rPr>
        <w:t xml:space="preserve">further increase </w:t>
      </w:r>
      <w:r w:rsidR="00BF37F1">
        <w:rPr>
          <w:rFonts w:cs="Garamond"/>
          <w:color w:val="000000"/>
          <w:szCs w:val="22"/>
          <w:lang w:eastAsia="en-GB"/>
        </w:rPr>
        <w:t xml:space="preserve">the uptake of pro-environmental behaviours. </w:t>
      </w:r>
    </w:p>
    <w:p w14:paraId="76EC67F6" w14:textId="74C4F698" w:rsidR="00BF37F1" w:rsidRDefault="00BF37F1" w:rsidP="00BF37F1">
      <w:r>
        <w:t>DEFRA</w:t>
      </w:r>
      <w:r w:rsidR="002A073A">
        <w:t>'</w:t>
      </w:r>
      <w:r>
        <w:t xml:space="preserve">s Inspiring Sustainable Living programme provided start-up grants for </w:t>
      </w:r>
      <w:r w:rsidR="005C405F">
        <w:t xml:space="preserve">the following </w:t>
      </w:r>
      <w:r>
        <w:t>four projects aiming to help people to live more sustainable lives by drawing upon London 2012 as inspiration:</w:t>
      </w:r>
    </w:p>
    <w:p w14:paraId="76EC67F7" w14:textId="67AE7417" w:rsidR="00BF37F1" w:rsidRPr="000A2096" w:rsidRDefault="00BF37F1" w:rsidP="00BF37F1">
      <w:pPr>
        <w:pStyle w:val="BulletOne"/>
        <w:rPr>
          <w:szCs w:val="22"/>
        </w:rPr>
      </w:pPr>
      <w:r w:rsidRPr="000A2096">
        <w:rPr>
          <w:szCs w:val="22"/>
        </w:rPr>
        <w:t>Bio-Regional</w:t>
      </w:r>
      <w:r w:rsidR="002A073A">
        <w:rPr>
          <w:szCs w:val="22"/>
        </w:rPr>
        <w:t>'</w:t>
      </w:r>
      <w:r w:rsidRPr="000A2096">
        <w:rPr>
          <w:szCs w:val="22"/>
        </w:rPr>
        <w:t>s One Planet Experience</w:t>
      </w:r>
      <w:r w:rsidR="005C405F">
        <w:rPr>
          <w:szCs w:val="22"/>
        </w:rPr>
        <w:t xml:space="preserve">: </w:t>
      </w:r>
      <w:r w:rsidRPr="000A2096">
        <w:rPr>
          <w:szCs w:val="22"/>
        </w:rPr>
        <w:t>an interactive exhibition centre in the London Borough of Sutton</w:t>
      </w:r>
      <w:r w:rsidR="00172D64" w:rsidRPr="000A2096">
        <w:rPr>
          <w:szCs w:val="22"/>
        </w:rPr>
        <w:t>,</w:t>
      </w:r>
      <w:r w:rsidRPr="000A2096">
        <w:rPr>
          <w:szCs w:val="22"/>
        </w:rPr>
        <w:t xml:space="preserve"> plus an additional exhibition located in the Athletes</w:t>
      </w:r>
      <w:r w:rsidR="002A073A">
        <w:rPr>
          <w:szCs w:val="22"/>
        </w:rPr>
        <w:t>'</w:t>
      </w:r>
      <w:r w:rsidRPr="000A2096">
        <w:rPr>
          <w:szCs w:val="22"/>
        </w:rPr>
        <w:t xml:space="preserve"> Village and </w:t>
      </w:r>
      <w:r w:rsidR="00F613EE" w:rsidRPr="000A2096">
        <w:rPr>
          <w:szCs w:val="22"/>
        </w:rPr>
        <w:t>related workshops offering practical help on energy saving, renewable energy</w:t>
      </w:r>
      <w:r w:rsidR="00985FA0">
        <w:rPr>
          <w:szCs w:val="22"/>
        </w:rPr>
        <w:t>,</w:t>
      </w:r>
      <w:r w:rsidR="00F613EE" w:rsidRPr="000A2096">
        <w:rPr>
          <w:szCs w:val="22"/>
        </w:rPr>
        <w:t xml:space="preserve"> </w:t>
      </w:r>
      <w:proofErr w:type="spellStart"/>
      <w:r w:rsidR="00F613EE" w:rsidRPr="000A2096">
        <w:rPr>
          <w:szCs w:val="22"/>
        </w:rPr>
        <w:t>etc</w:t>
      </w:r>
      <w:proofErr w:type="spellEnd"/>
      <w:r w:rsidRPr="000A2096">
        <w:rPr>
          <w:szCs w:val="22"/>
        </w:rPr>
        <w:t>;</w:t>
      </w:r>
    </w:p>
    <w:p w14:paraId="76EC67F8" w14:textId="6586263D" w:rsidR="00BF37F1" w:rsidRPr="000A2096" w:rsidRDefault="00BF37F1" w:rsidP="00BF37F1">
      <w:pPr>
        <w:pStyle w:val="BulletOne"/>
        <w:tabs>
          <w:tab w:val="num" w:pos="342"/>
        </w:tabs>
        <w:rPr>
          <w:szCs w:val="22"/>
        </w:rPr>
      </w:pPr>
      <w:r w:rsidRPr="000A2096">
        <w:rPr>
          <w:szCs w:val="22"/>
        </w:rPr>
        <w:t>Groundwork London</w:t>
      </w:r>
      <w:r w:rsidR="002A073A">
        <w:rPr>
          <w:szCs w:val="22"/>
        </w:rPr>
        <w:t>'</w:t>
      </w:r>
      <w:r w:rsidRPr="000A2096">
        <w:rPr>
          <w:szCs w:val="22"/>
        </w:rPr>
        <w:t>s Transform Project</w:t>
      </w:r>
      <w:r w:rsidR="005C405F">
        <w:rPr>
          <w:szCs w:val="22"/>
        </w:rPr>
        <w:t xml:space="preserve">: </w:t>
      </w:r>
      <w:r w:rsidRPr="000A2096">
        <w:rPr>
          <w:szCs w:val="22"/>
        </w:rPr>
        <w:t xml:space="preserve">transformed derelict and neglected sites into local green spaces/community gardens, supported residents to create less waste/recycle more, and encouraged environmental volunteering and community involvement in the </w:t>
      </w:r>
      <w:r w:rsidR="00A91D36" w:rsidRPr="000A2096">
        <w:rPr>
          <w:szCs w:val="22"/>
        </w:rPr>
        <w:t>h</w:t>
      </w:r>
      <w:r w:rsidRPr="000A2096">
        <w:rPr>
          <w:szCs w:val="22"/>
        </w:rPr>
        <w:t xml:space="preserve">ost </w:t>
      </w:r>
      <w:r w:rsidR="00A91D36" w:rsidRPr="000A2096">
        <w:rPr>
          <w:szCs w:val="22"/>
        </w:rPr>
        <w:t>b</w:t>
      </w:r>
      <w:r w:rsidRPr="000A2096">
        <w:rPr>
          <w:szCs w:val="22"/>
        </w:rPr>
        <w:t>oroughs;</w:t>
      </w:r>
    </w:p>
    <w:p w14:paraId="76EC67F9" w14:textId="51C39ACA" w:rsidR="00BF37F1" w:rsidRPr="000A2096" w:rsidRDefault="00BF37F1" w:rsidP="00BF37F1">
      <w:pPr>
        <w:pStyle w:val="BulletOne"/>
        <w:rPr>
          <w:szCs w:val="22"/>
        </w:rPr>
      </w:pPr>
      <w:r w:rsidRPr="000A2096">
        <w:rPr>
          <w:szCs w:val="22"/>
        </w:rPr>
        <w:t>East Potential Inspired to Sustainable Living</w:t>
      </w:r>
      <w:r w:rsidR="005C405F">
        <w:rPr>
          <w:szCs w:val="22"/>
        </w:rPr>
        <w:t xml:space="preserve">: </w:t>
      </w:r>
      <w:r w:rsidRPr="000A2096">
        <w:rPr>
          <w:szCs w:val="22"/>
        </w:rPr>
        <w:t xml:space="preserve">provided practical advice and support </w:t>
      </w:r>
      <w:r w:rsidRPr="00E01AE8">
        <w:rPr>
          <w:szCs w:val="22"/>
        </w:rPr>
        <w:t xml:space="preserve">to East Thames residents in Newham to increase understanding and practice of sustainable behaviours, plus work with Focus E15 Foyer residents to encourage healthy eating; </w:t>
      </w:r>
    </w:p>
    <w:p w14:paraId="76EC67FA" w14:textId="58161CE9" w:rsidR="00BF37F1" w:rsidRPr="00E01AE8" w:rsidRDefault="00BF37F1" w:rsidP="00BF37F1">
      <w:pPr>
        <w:pStyle w:val="BulletOne"/>
        <w:rPr>
          <w:szCs w:val="22"/>
        </w:rPr>
      </w:pPr>
      <w:proofErr w:type="spellStart"/>
      <w:r w:rsidRPr="000A2096">
        <w:rPr>
          <w:szCs w:val="22"/>
        </w:rPr>
        <w:t>Sustrans</w:t>
      </w:r>
      <w:proofErr w:type="spellEnd"/>
      <w:r w:rsidRPr="000A2096">
        <w:rPr>
          <w:szCs w:val="22"/>
        </w:rPr>
        <w:t xml:space="preserve"> Active Travel Champions</w:t>
      </w:r>
      <w:r w:rsidR="005C405F">
        <w:rPr>
          <w:szCs w:val="22"/>
        </w:rPr>
        <w:t xml:space="preserve">: </w:t>
      </w:r>
      <w:r w:rsidRPr="000A2096">
        <w:rPr>
          <w:szCs w:val="22"/>
        </w:rPr>
        <w:t>provided training and support for volunteers to act as champions to encourage people to make healthier and more environmentally friendly</w:t>
      </w:r>
      <w:r w:rsidRPr="00E01AE8">
        <w:rPr>
          <w:szCs w:val="22"/>
        </w:rPr>
        <w:t xml:space="preserve"> travel choices in communities located close to Olympic venues in London and the South of England.</w:t>
      </w:r>
    </w:p>
    <w:p w14:paraId="76EC67FB" w14:textId="77777777" w:rsidR="00BF37F1" w:rsidRDefault="00BF37F1" w:rsidP="00BF37F1">
      <w:r>
        <w:t>The ODA and LOCOG have also contributed to activity in this sub-theme:</w:t>
      </w:r>
    </w:p>
    <w:p w14:paraId="76EC67FC" w14:textId="635FF534" w:rsidR="00BF37F1" w:rsidRDefault="00BF37F1" w:rsidP="00BF37F1">
      <w:pPr>
        <w:numPr>
          <w:ilvl w:val="0"/>
          <w:numId w:val="42"/>
        </w:numPr>
        <w:tabs>
          <w:tab w:val="clear" w:pos="720"/>
          <w:tab w:val="num" w:pos="342"/>
        </w:tabs>
        <w:ind w:left="342" w:hanging="342"/>
      </w:pPr>
      <w:r>
        <w:t>ODA provided funding to increase the capacity of the Mayor of London</w:t>
      </w:r>
      <w:r w:rsidR="002A073A">
        <w:t>'</w:t>
      </w:r>
      <w:r>
        <w:t xml:space="preserve">s RE:NEW and RE:FIT programmes (designed to improve energy efficiency in the </w:t>
      </w:r>
      <w:r w:rsidR="00A91D36">
        <w:t>h</w:t>
      </w:r>
      <w:r>
        <w:t xml:space="preserve">ost </w:t>
      </w:r>
      <w:r w:rsidR="00A91D36">
        <w:t>b</w:t>
      </w:r>
      <w:r>
        <w:t>oroughs</w:t>
      </w:r>
      <w:r w:rsidR="005C405F">
        <w:t>)</w:t>
      </w:r>
      <w:r>
        <w:t xml:space="preserve">; </w:t>
      </w:r>
    </w:p>
    <w:p w14:paraId="76EC67FD" w14:textId="25A1FBB6" w:rsidR="00BF37F1" w:rsidRDefault="00BF37F1" w:rsidP="00BF37F1">
      <w:pPr>
        <w:numPr>
          <w:ilvl w:val="0"/>
          <w:numId w:val="42"/>
        </w:numPr>
        <w:tabs>
          <w:tab w:val="clear" w:pos="720"/>
          <w:tab w:val="num" w:pos="342"/>
        </w:tabs>
        <w:ind w:left="342" w:hanging="342"/>
      </w:pPr>
      <w:r>
        <w:t>LOCOG developed plans for communicating sustainability messages during Games-time</w:t>
      </w:r>
      <w:r w:rsidR="0032258B">
        <w:t xml:space="preserve"> to the media and directly to the public</w:t>
      </w:r>
      <w:r>
        <w:t xml:space="preserve">, including production of a </w:t>
      </w:r>
      <w:r w:rsidR="0032258B">
        <w:t xml:space="preserve">Spectator App </w:t>
      </w:r>
      <w:r>
        <w:t xml:space="preserve">and the Walk in the </w:t>
      </w:r>
      <w:r w:rsidR="00652B38">
        <w:t xml:space="preserve">Olympic </w:t>
      </w:r>
      <w:r>
        <w:t xml:space="preserve">Park trail. </w:t>
      </w:r>
    </w:p>
    <w:p w14:paraId="76EC67FE" w14:textId="734EAE92" w:rsidR="00BF37F1" w:rsidRPr="00CB1C7C" w:rsidRDefault="00BF37F1" w:rsidP="00BF37F1">
      <w:r w:rsidRPr="0084676F">
        <w:t>Activity to ins</w:t>
      </w:r>
      <w:r>
        <w:t>pire sustainable living has</w:t>
      </w:r>
      <w:r w:rsidRPr="0084676F">
        <w:t xml:space="preserve"> made good progress in terms of engagement with its target audiences. The specially commissioned survey of East London residents found that 21% of those who were aware of the sustainability commitments connected to the Games</w:t>
      </w:r>
      <w:r>
        <w:t xml:space="preserve"> reported that they had been influenced by this, for example by recycling more. This is a positive outcome as it demonstrates that the sustainability messages connected to the Games are already encouraging local residents to adopt sustainable behaviours. </w:t>
      </w:r>
      <w:r>
        <w:rPr>
          <w:rFonts w:cs="Garamond"/>
          <w:color w:val="000000"/>
          <w:szCs w:val="22"/>
          <w:lang w:eastAsia="en-GB"/>
        </w:rPr>
        <w:t xml:space="preserve">As behavioural change can take time to </w:t>
      </w:r>
      <w:r w:rsidR="00FE7F9F">
        <w:rPr>
          <w:rFonts w:cs="Garamond"/>
          <w:color w:val="000000"/>
          <w:szCs w:val="22"/>
          <w:lang w:eastAsia="en-GB"/>
        </w:rPr>
        <w:t xml:space="preserve">occur </w:t>
      </w:r>
      <w:r>
        <w:rPr>
          <w:rFonts w:cs="Garamond"/>
          <w:color w:val="000000"/>
          <w:szCs w:val="22"/>
          <w:lang w:eastAsia="en-GB"/>
        </w:rPr>
        <w:t xml:space="preserve">and embed, data on the full extent of achievements related to this sub-theme can be expected to emerge over time. </w:t>
      </w:r>
    </w:p>
    <w:p w14:paraId="76EC67FF" w14:textId="77777777" w:rsidR="00BF37F1" w:rsidRDefault="00BF37F1" w:rsidP="00BF37F1">
      <w:pPr>
        <w:pStyle w:val="Heading2"/>
      </w:pPr>
      <w:r w:rsidRPr="00766979">
        <w:t>Influencing attitudes towards disabled people</w:t>
      </w:r>
      <w:r>
        <w:t xml:space="preserve"> </w:t>
      </w:r>
    </w:p>
    <w:p w14:paraId="76EC6800" w14:textId="77777777" w:rsidR="00BF37F1" w:rsidRDefault="00BF37F1" w:rsidP="00BF37F1">
      <w:pPr>
        <w:rPr>
          <w:lang w:eastAsia="en-GB"/>
        </w:rPr>
      </w:pPr>
      <w:r>
        <w:rPr>
          <w:lang w:eastAsia="en-GB"/>
        </w:rPr>
        <w:t>The 2012 Olympic and Paralympic Games provided a mechanism for influencing attitudes towards and perceptions of disabled people.</w:t>
      </w:r>
    </w:p>
    <w:p w14:paraId="76EC6801" w14:textId="77777777" w:rsidR="00BF37F1" w:rsidRDefault="00BF37F1" w:rsidP="00BF37F1">
      <w:pPr>
        <w:rPr>
          <w:lang w:eastAsia="en-GB"/>
        </w:rPr>
      </w:pPr>
      <w:r>
        <w:rPr>
          <w:lang w:eastAsia="en-GB"/>
        </w:rPr>
        <w:t>Our baseline study showed that there has been some improvement in attitudes towards disability in recent years</w:t>
      </w:r>
      <w:r w:rsidR="00BE6AF0">
        <w:rPr>
          <w:lang w:eastAsia="en-GB"/>
        </w:rPr>
        <w:t>.</w:t>
      </w:r>
      <w:r>
        <w:rPr>
          <w:rStyle w:val="FootnoteReference"/>
          <w:lang w:eastAsia="en-GB"/>
        </w:rPr>
        <w:footnoteReference w:id="33"/>
      </w:r>
      <w:r>
        <w:rPr>
          <w:lang w:eastAsia="en-GB"/>
        </w:rPr>
        <w:t xml:space="preserve"> The Games provided a significant opportunity to generate media coverage conveying positive messages about disabled people. It is hoped this will generate a significant change in public attitudes and perceptions. </w:t>
      </w:r>
    </w:p>
    <w:p w14:paraId="76EC6802" w14:textId="77777777" w:rsidR="00BF37F1" w:rsidRDefault="00BF37F1" w:rsidP="00BF37F1">
      <w:pPr>
        <w:rPr>
          <w:lang w:eastAsia="en-GB"/>
        </w:rPr>
      </w:pPr>
      <w:r>
        <w:rPr>
          <w:lang w:eastAsia="en-GB"/>
        </w:rPr>
        <w:lastRenderedPageBreak/>
        <w:t xml:space="preserve">Activity was focused on providing comprehensive television and multi-media coverage of the London 2012 Paralympic Games, alongside work to improve understanding of disability and encourage disabled people to participate in community activity and social action. </w:t>
      </w:r>
    </w:p>
    <w:p w14:paraId="76EC6803" w14:textId="040C5A11" w:rsidR="00BF37F1" w:rsidRDefault="00BF37F1" w:rsidP="00BF37F1">
      <w:pPr>
        <w:autoSpaceDE w:val="0"/>
        <w:autoSpaceDN w:val="0"/>
        <w:adjustRightInd w:val="0"/>
      </w:pPr>
      <w:r>
        <w:rPr>
          <w:rFonts w:cs="Effra-Regular"/>
          <w:szCs w:val="22"/>
          <w:lang w:eastAsia="en-GB"/>
        </w:rPr>
        <w:t xml:space="preserve">Channel 4 </w:t>
      </w:r>
      <w:r w:rsidR="00172D64">
        <w:rPr>
          <w:rFonts w:cs="Effra-Regular"/>
          <w:szCs w:val="22"/>
          <w:lang w:eastAsia="en-GB"/>
        </w:rPr>
        <w:t>undertook</w:t>
      </w:r>
      <w:r>
        <w:rPr>
          <w:rFonts w:cs="Effra-Regular"/>
          <w:szCs w:val="22"/>
          <w:lang w:eastAsia="en-GB"/>
        </w:rPr>
        <w:t xml:space="preserve"> significant work to raise the profile of Paralympic sports and athletes in the two years prior to the Games, and stated its intention to use the event as an opportunity to influence perceptions towards disabled people. </w:t>
      </w:r>
      <w:r>
        <w:t>Viewing figures for Channel 4</w:t>
      </w:r>
      <w:r w:rsidR="002A073A">
        <w:t>'</w:t>
      </w:r>
      <w:r>
        <w:t xml:space="preserve">s pre-Games programming demonstrated </w:t>
      </w:r>
      <w:r w:rsidR="00172D64">
        <w:t>public</w:t>
      </w:r>
      <w:r>
        <w:t xml:space="preserve"> interest in learning more about disability and the Paralympics</w:t>
      </w:r>
      <w:r w:rsidR="002F3BE0">
        <w:t xml:space="preserve"> (</w:t>
      </w:r>
      <w:proofErr w:type="spellStart"/>
      <w:r w:rsidR="002F3BE0">
        <w:t>eg</w:t>
      </w:r>
      <w:proofErr w:type="spellEnd"/>
      <w:r w:rsidR="002F3BE0">
        <w:t xml:space="preserve"> '</w:t>
      </w:r>
      <w:r w:rsidR="002F3BE0" w:rsidRPr="002F3BE0">
        <w:t>That Paralympic Show</w:t>
      </w:r>
      <w:r w:rsidR="002F3BE0">
        <w:t>'</w:t>
      </w:r>
      <w:r w:rsidR="002F3BE0" w:rsidRPr="002F3BE0">
        <w:t xml:space="preserve"> was estimated to have reached 5.4 million people overall</w:t>
      </w:r>
      <w:r w:rsidR="002F3BE0">
        <w:t>)</w:t>
      </w:r>
      <w:r>
        <w:t xml:space="preserve">. Channel 4 also successfully completed a talent search, resulting in the recruitment and training of seven new </w:t>
      </w:r>
      <w:r w:rsidR="009756E2">
        <w:t xml:space="preserve">disabled </w:t>
      </w:r>
      <w:r>
        <w:t xml:space="preserve">presenters who appeared on screen during the Games. </w:t>
      </w:r>
    </w:p>
    <w:p w14:paraId="76EC6804" w14:textId="77777777" w:rsidR="00BF37F1" w:rsidRDefault="00BF37F1" w:rsidP="00BF37F1">
      <w:r>
        <w:t>In addition, programmes such as Get Set helped to raise awareness of the Paralympics amongst children and young people. Half of the participating teachers surveyed in the Get Set evaluation believed that involvement in Get Set had helped to generate a positive change in pupil attitudes towards disability</w:t>
      </w:r>
      <w:r w:rsidR="00BE6AF0">
        <w:t>.</w:t>
      </w:r>
      <w:r w:rsidRPr="006A580B">
        <w:rPr>
          <w:rStyle w:val="FootnoteReference"/>
        </w:rPr>
        <w:footnoteReference w:id="34"/>
      </w:r>
    </w:p>
    <w:p w14:paraId="76EC6805" w14:textId="77777777" w:rsidR="002F6DF1" w:rsidRDefault="002F6DF1" w:rsidP="00E41C3B">
      <w:pPr>
        <w:pStyle w:val="Heading1"/>
      </w:pPr>
      <w:bookmarkStart w:id="28" w:name="_Toc338746879"/>
      <w:r w:rsidRPr="002F6DF1">
        <w:lastRenderedPageBreak/>
        <w:t>Driving the regeneration of East London</w:t>
      </w:r>
      <w:bookmarkEnd w:id="23"/>
      <w:bookmarkEnd w:id="28"/>
      <w:r w:rsidR="003723D2">
        <w:t xml:space="preserve"> </w:t>
      </w:r>
    </w:p>
    <w:p w14:paraId="76EC6806" w14:textId="77777777" w:rsidR="006864C9" w:rsidRPr="002670A4" w:rsidRDefault="00F64BA5" w:rsidP="006864C9">
      <w:pPr>
        <w:pBdr>
          <w:top w:val="single" w:sz="4" w:space="1" w:color="auto"/>
          <w:left w:val="single" w:sz="4" w:space="4" w:color="auto"/>
          <w:bottom w:val="single" w:sz="4" w:space="1" w:color="auto"/>
          <w:right w:val="single" w:sz="4" w:space="4" w:color="auto"/>
        </w:pBdr>
        <w:shd w:val="clear" w:color="auto" w:fill="CC99FF"/>
        <w:rPr>
          <w:i/>
        </w:rPr>
      </w:pPr>
      <w:r>
        <w:rPr>
          <w:i/>
        </w:rPr>
        <w:t xml:space="preserve">Headline </w:t>
      </w:r>
      <w:r w:rsidR="006864C9">
        <w:rPr>
          <w:i/>
        </w:rPr>
        <w:t xml:space="preserve">research question: </w:t>
      </w:r>
      <w:r w:rsidR="004B074B" w:rsidRPr="004B074B">
        <w:rPr>
          <w:i/>
        </w:rPr>
        <w:t xml:space="preserve">What have been the impacts of the Games on East London, and in particular socio-economic and organisational change? </w:t>
      </w:r>
    </w:p>
    <w:p w14:paraId="76EC6807" w14:textId="77777777" w:rsidR="0084780E" w:rsidRDefault="0084780E" w:rsidP="00CD1C0E">
      <w:r w:rsidRPr="005539C2">
        <w:rPr>
          <w:noProof/>
          <w:lang w:eastAsia="en-GB"/>
        </w:rPr>
        <mc:AlternateContent>
          <mc:Choice Requires="wps">
            <w:drawing>
              <wp:inline distT="0" distB="0" distL="0" distR="0" wp14:anchorId="76EC68EC" wp14:editId="76EC68ED">
                <wp:extent cx="5098415" cy="2984740"/>
                <wp:effectExtent l="0" t="0" r="26035" b="254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2984740"/>
                        </a:xfrm>
                        <a:prstGeom prst="rect">
                          <a:avLst/>
                        </a:prstGeom>
                        <a:solidFill>
                          <a:schemeClr val="bg1">
                            <a:lumMod val="95000"/>
                          </a:schemeClr>
                        </a:solidFill>
                        <a:ln w="9525">
                          <a:solidFill>
                            <a:srgbClr val="000000"/>
                          </a:solidFill>
                          <a:miter lim="800000"/>
                          <a:headEnd/>
                          <a:tailEnd/>
                        </a:ln>
                      </wps:spPr>
                      <wps:txbx>
                        <w:txbxContent>
                          <w:p w14:paraId="76EC6964" w14:textId="77777777" w:rsidR="00CA062D" w:rsidRDefault="00CA062D" w:rsidP="0084780E">
                            <w:pPr>
                              <w:spacing w:before="0" w:after="120"/>
                              <w:rPr>
                                <w:color w:val="FF0000"/>
                                <w:sz w:val="20"/>
                                <w:szCs w:val="20"/>
                              </w:rPr>
                            </w:pPr>
                            <w:r>
                              <w:rPr>
                                <w:b/>
                                <w:szCs w:val="22"/>
                              </w:rPr>
                              <w:t>Key findings:</w:t>
                            </w:r>
                          </w:p>
                          <w:p w14:paraId="76EC6965" w14:textId="397C6A0A" w:rsidR="00CA062D" w:rsidRPr="00CB4E50" w:rsidRDefault="00CA062D" w:rsidP="0084780E">
                            <w:pPr>
                              <w:pStyle w:val="BulletOne"/>
                            </w:pPr>
                            <w:r w:rsidRPr="00CB4E50">
                              <w:t>Parts of East London now look, feels and function differently. The Games have created new sporting venues, catalysed significant transport and public realm improvements and leveraged wider private sector investment.</w:t>
                            </w:r>
                          </w:p>
                          <w:p w14:paraId="76EC6966" w14:textId="70AED5E0" w:rsidR="00CA062D" w:rsidRPr="00CB4E50" w:rsidRDefault="00CA062D" w:rsidP="0084780E">
                            <w:pPr>
                              <w:pStyle w:val="BulletOne"/>
                            </w:pPr>
                            <w:r w:rsidRPr="00CB4E50">
                              <w:t xml:space="preserve">By being bold and visionary the 2012 Games have </w:t>
                            </w:r>
                            <w:r w:rsidRPr="00CB4E50">
                              <w:rPr>
                                <w:i/>
                              </w:rPr>
                              <w:t>"raised the bar"</w:t>
                            </w:r>
                            <w:r w:rsidRPr="00CB4E50">
                              <w:t xml:space="preserve"> in delivering a lasting legacy, and in doing so </w:t>
                            </w:r>
                            <w:r w:rsidRPr="00CB4E50">
                              <w:rPr>
                                <w:i/>
                              </w:rPr>
                              <w:t>"created a legacy blueprint for future Games"</w:t>
                            </w:r>
                            <w:r w:rsidRPr="00CB4E50">
                              <w:t>.</w:t>
                            </w:r>
                          </w:p>
                          <w:p w14:paraId="76EC6967" w14:textId="77777777" w:rsidR="00CA062D" w:rsidRPr="00CB4E50" w:rsidRDefault="00CA062D" w:rsidP="0084780E">
                            <w:pPr>
                              <w:pStyle w:val="BulletOne"/>
                            </w:pPr>
                            <w:r w:rsidRPr="00CB4E50">
                              <w:t>Nearly 10,000 new homes will be built in East London as part of the Games legacy –42% of which will be family housing and 35% affordable housing.</w:t>
                            </w:r>
                          </w:p>
                          <w:p w14:paraId="76EC6968" w14:textId="2CF1A052" w:rsidR="00CA062D" w:rsidRPr="00CB4E50" w:rsidRDefault="00CA062D" w:rsidP="0084780E">
                            <w:pPr>
                              <w:pStyle w:val="BulletOne"/>
                            </w:pPr>
                            <w:r w:rsidRPr="00CB4E50">
                              <w:t>Over 5,000 host borough residents were employed in the demolition and build of the Olympic Park and 4,000 in the building of the Athletes' Village.</w:t>
                            </w:r>
                          </w:p>
                          <w:p w14:paraId="76EC6969" w14:textId="77777777" w:rsidR="00CA062D" w:rsidRPr="00CB4E50" w:rsidRDefault="00CA062D" w:rsidP="000B3FB0">
                            <w:pPr>
                              <w:pStyle w:val="BulletOne"/>
                              <w:rPr>
                                <w:lang w:val="en-US"/>
                              </w:rPr>
                            </w:pPr>
                            <w:r w:rsidRPr="00CB4E50">
                              <w:t xml:space="preserve">69% of East London residents surveyed </w:t>
                            </w:r>
                            <w:r w:rsidRPr="00CB4E50">
                              <w:rPr>
                                <w:lang w:val="en-US"/>
                              </w:rPr>
                              <w:t>thought that the Games would be good for London as a whole.</w:t>
                            </w:r>
                          </w:p>
                          <w:p w14:paraId="76EC696A" w14:textId="77777777" w:rsidR="00CA062D" w:rsidRPr="00CB4E50" w:rsidRDefault="00CA062D" w:rsidP="000B3FB0">
                            <w:pPr>
                              <w:pStyle w:val="BulletOne"/>
                            </w:pPr>
                            <w:r w:rsidRPr="00CB4E50">
                              <w:rPr>
                                <w:lang w:val="en-US"/>
                              </w:rPr>
                              <w:t>Based on key socio-economic indicators East London appears to be 'closing the gap' with the rest of London.</w:t>
                            </w:r>
                          </w:p>
                        </w:txbxContent>
                      </wps:txbx>
                      <wps:bodyPr rot="0" vert="horz" wrap="square" lIns="91440" tIns="45720" rIns="91440" bIns="45720" anchor="t" anchorCtr="0" upright="1">
                        <a:noAutofit/>
                      </wps:bodyPr>
                    </wps:wsp>
                  </a:graphicData>
                </a:graphic>
              </wp:inline>
            </w:drawing>
          </mc:Choice>
          <mc:Fallback>
            <w:pict>
              <v:shape id="Text Box 9" o:spid="_x0000_s1030" type="#_x0000_t202" style="width:401.4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" fillcolor="#f2f2f2 [3052]">
                <v:textbox>
                  <w:txbxContent>
                    <w:p w14:paraId="76EC6964" w14:textId="77777777" w:rsidR="00F81A7B" w:rsidRDefault="00F81A7B" w:rsidP="0084780E">
                      <w:pPr>
                        <w:spacing w:before="0" w:after="120"/>
                        <w:rPr>
                          <w:color w:val="FF0000"/>
                          <w:sz w:val="20"/>
                          <w:szCs w:val="20"/>
                        </w:rPr>
                      </w:pPr>
                      <w:r>
                        <w:rPr>
                          <w:b/>
                          <w:szCs w:val="22"/>
                        </w:rPr>
                        <w:t>Key findings:</w:t>
                      </w:r>
                    </w:p>
                    <w:p w14:paraId="76EC6965" w14:textId="397C6A0A" w:rsidR="00F81A7B" w:rsidRPr="00CB4E50" w:rsidRDefault="00F81A7B" w:rsidP="0084780E">
                      <w:pPr>
                        <w:pStyle w:val="BulletOne"/>
                      </w:pPr>
                      <w:r w:rsidRPr="00CB4E50">
                        <w:t>Parts of East London now look, feels and function differently. The Games have created new sporting venues, catalysed significant transport and public realm improvements and leveraged wider private sector investment.</w:t>
                      </w:r>
                    </w:p>
                    <w:p w14:paraId="76EC6966" w14:textId="70AED5E0" w:rsidR="00F81A7B" w:rsidRPr="00CB4E50" w:rsidRDefault="00F81A7B" w:rsidP="0084780E">
                      <w:pPr>
                        <w:pStyle w:val="BulletOne"/>
                      </w:pPr>
                      <w:r w:rsidRPr="00CB4E50">
                        <w:t xml:space="preserve">By being bold and visionary the 2012 Games have </w:t>
                      </w:r>
                      <w:r w:rsidRPr="00CB4E50">
                        <w:rPr>
                          <w:i/>
                        </w:rPr>
                        <w:t>"raised the bar"</w:t>
                      </w:r>
                      <w:r w:rsidRPr="00CB4E50">
                        <w:t xml:space="preserve"> in delivering a lasting legacy, and in doing so </w:t>
                      </w:r>
                      <w:r w:rsidRPr="00CB4E50">
                        <w:rPr>
                          <w:i/>
                        </w:rPr>
                        <w:t>"created a legacy blueprint for future Games"</w:t>
                      </w:r>
                      <w:r w:rsidRPr="00CB4E50">
                        <w:t>.</w:t>
                      </w:r>
                    </w:p>
                    <w:p w14:paraId="76EC6967" w14:textId="77777777" w:rsidR="00F81A7B" w:rsidRPr="00CB4E50" w:rsidRDefault="00F81A7B" w:rsidP="0084780E">
                      <w:pPr>
                        <w:pStyle w:val="BulletOne"/>
                      </w:pPr>
                      <w:r w:rsidRPr="00CB4E50">
                        <w:t>Nearly 10,000 new homes will be built in East London as part of the Games legacy –42% of which will be family housing and 35% affordable housing.</w:t>
                      </w:r>
                    </w:p>
                    <w:p w14:paraId="76EC6968" w14:textId="2CF1A052" w:rsidR="00F81A7B" w:rsidRPr="00CB4E50" w:rsidRDefault="00F81A7B" w:rsidP="0084780E">
                      <w:pPr>
                        <w:pStyle w:val="BulletOne"/>
                      </w:pPr>
                      <w:r w:rsidRPr="00CB4E50">
                        <w:t>Over 5,000 host borough residents were employed in the demolition and build of the Olympic Park and 4,000 in the building of the Athletes' Village.</w:t>
                      </w:r>
                    </w:p>
                    <w:p w14:paraId="76EC6969" w14:textId="77777777" w:rsidR="00F81A7B" w:rsidRPr="00CB4E50" w:rsidRDefault="00F81A7B" w:rsidP="000B3FB0">
                      <w:pPr>
                        <w:pStyle w:val="BulletOne"/>
                        <w:rPr>
                          <w:lang w:val="en-US"/>
                        </w:rPr>
                      </w:pPr>
                      <w:r w:rsidRPr="00CB4E50">
                        <w:t xml:space="preserve">69% of East London residents surveyed </w:t>
                      </w:r>
                      <w:r w:rsidRPr="00CB4E50">
                        <w:rPr>
                          <w:lang w:val="en-US"/>
                        </w:rPr>
                        <w:t>thought that the Games would be good for London as a whole.</w:t>
                      </w:r>
                    </w:p>
                    <w:p w14:paraId="76EC696A" w14:textId="77777777" w:rsidR="00F81A7B" w:rsidRPr="00CB4E50" w:rsidRDefault="00F81A7B" w:rsidP="000B3FB0">
                      <w:pPr>
                        <w:pStyle w:val="BulletOne"/>
                      </w:pPr>
                      <w:r w:rsidRPr="00CB4E50">
                        <w:rPr>
                          <w:lang w:val="en-US"/>
                        </w:rPr>
                        <w:t>Based on key socio-economic indicators East London appears to be 'closing the gap' with the rest of London.</w:t>
                      </w:r>
                    </w:p>
                  </w:txbxContent>
                </v:textbox>
                <w10:anchorlock/>
              </v:shape>
            </w:pict>
          </mc:Fallback>
        </mc:AlternateContent>
      </w:r>
    </w:p>
    <w:p w14:paraId="76EC6808" w14:textId="2C8BF959" w:rsidR="00CD1C0E" w:rsidRDefault="00CD1C0E" w:rsidP="00CD1C0E">
      <w:r>
        <w:t xml:space="preserve">The regeneration of East London is a central component of the legacy of the 2012 Games. East London has suffered from long-standing problems of multiple </w:t>
      </w:r>
      <w:proofErr w:type="gramStart"/>
      <w:r>
        <w:t>deprivation</w:t>
      </w:r>
      <w:proofErr w:type="gramEnd"/>
      <w:r>
        <w:t xml:space="preserve"> and as a result it has historically been one of the poorest parts of the UK, </w:t>
      </w:r>
      <w:r w:rsidR="00FE7F9F" w:rsidRPr="00FE7F9F">
        <w:t>struggling to keep pace with many of the socio-economic advances experienced elsewhere in London</w:t>
      </w:r>
      <w:r w:rsidR="00FE7F9F">
        <w:t xml:space="preserve">. </w:t>
      </w:r>
      <w:r>
        <w:t>The Games</w:t>
      </w:r>
      <w:r w:rsidR="008A2FAF">
        <w:t xml:space="preserve"> provide</w:t>
      </w:r>
      <w:r w:rsidR="005963F2">
        <w:t>d</w:t>
      </w:r>
      <w:r>
        <w:t xml:space="preserve"> a unique opportunity to tackle these issues </w:t>
      </w:r>
      <w:r w:rsidR="00813FDF">
        <w:t>and as such the legacy plans centre on:</w:t>
      </w:r>
      <w:r w:rsidR="00903EBE">
        <w:t xml:space="preserve"> </w:t>
      </w:r>
    </w:p>
    <w:p w14:paraId="76EC6809" w14:textId="10E98ACD" w:rsidR="00CD1C0E" w:rsidRDefault="00CD1C0E" w:rsidP="00CD1C0E">
      <w:pPr>
        <w:pStyle w:val="BulletOne"/>
        <w:numPr>
          <w:ilvl w:val="1"/>
          <w:numId w:val="40"/>
        </w:numPr>
        <w:ind w:left="340"/>
      </w:pPr>
      <w:r>
        <w:t>Ensuring that the Olympic Park can be developed after the Games as one of the principal drivers of regeneration in East London</w:t>
      </w:r>
      <w:r w:rsidR="005963F2">
        <w:t xml:space="preserve"> </w:t>
      </w:r>
      <w:r>
        <w:t>maximi</w:t>
      </w:r>
      <w:r w:rsidR="00FE7F9F">
        <w:t>s</w:t>
      </w:r>
      <w:r>
        <w:t>ing the investment made in venues, infrastructure</w:t>
      </w:r>
      <w:r w:rsidR="00674BA7">
        <w:t>, utilities and the environment;</w:t>
      </w:r>
    </w:p>
    <w:p w14:paraId="76EC680A" w14:textId="77777777" w:rsidR="00CD1C0E" w:rsidRDefault="00CD1C0E" w:rsidP="00CD1C0E">
      <w:pPr>
        <w:pStyle w:val="BulletOne"/>
        <w:numPr>
          <w:ilvl w:val="1"/>
          <w:numId w:val="40"/>
        </w:numPr>
        <w:ind w:left="340"/>
      </w:pPr>
      <w:r>
        <w:t>Securing a socio-economic legacy from the Games in the host boroughs</w:t>
      </w:r>
      <w:r>
        <w:rPr>
          <w:rStyle w:val="FootnoteReference"/>
        </w:rPr>
        <w:footnoteReference w:id="35"/>
      </w:r>
      <w:r>
        <w:t xml:space="preserve"> so that, "</w:t>
      </w:r>
      <w:r>
        <w:rPr>
          <w:i/>
        </w:rPr>
        <w:t>within 20 years, the communities which host the 2012 Olympic and Paralympic Games will enjoy the same social and economic chances as their neighbours across London</w:t>
      </w:r>
      <w:r>
        <w:t>"</w:t>
      </w:r>
      <w:r w:rsidR="00674BA7">
        <w:t>.</w:t>
      </w:r>
      <w:r w:rsidRPr="00657D47">
        <w:rPr>
          <w:rStyle w:val="FootnoteReference"/>
        </w:rPr>
        <w:footnoteReference w:id="36"/>
      </w:r>
    </w:p>
    <w:p w14:paraId="76EC680B" w14:textId="77777777" w:rsidR="00DD24A6" w:rsidRDefault="00DD24A6" w:rsidP="00DD24A6">
      <w:pPr>
        <w:pStyle w:val="Heading2"/>
      </w:pPr>
      <w:bookmarkStart w:id="29" w:name="_Toc332901263"/>
      <w:r w:rsidRPr="00DD24A6">
        <w:t>Transforming place</w:t>
      </w:r>
      <w:bookmarkEnd w:id="29"/>
      <w:r w:rsidRPr="00DD24A6">
        <w:t xml:space="preserve"> </w:t>
      </w:r>
    </w:p>
    <w:p w14:paraId="76EC680C" w14:textId="3A371819" w:rsidR="006475C5" w:rsidRDefault="00C241FA" w:rsidP="00C97F28">
      <w:r>
        <w:t>The transforming place sub-</w:t>
      </w:r>
      <w:r w:rsidR="00213674">
        <w:t xml:space="preserve">theme is focused on the legacy effects and impacts arising from the </w:t>
      </w:r>
      <w:r w:rsidR="00C97F28">
        <w:t xml:space="preserve">planning, remediation and </w:t>
      </w:r>
      <w:r w:rsidR="00213674">
        <w:t xml:space="preserve">physical </w:t>
      </w:r>
      <w:r w:rsidR="00C97F28">
        <w:t>development of the Olympic Park</w:t>
      </w:r>
      <w:r w:rsidR="009321A3">
        <w:t>,</w:t>
      </w:r>
      <w:r w:rsidR="00C97F28">
        <w:t xml:space="preserve"> </w:t>
      </w:r>
      <w:r w:rsidR="00613DF7">
        <w:t>coupled</w:t>
      </w:r>
      <w:r w:rsidR="00C97F28">
        <w:t xml:space="preserve"> with improvements to public transport and the public</w:t>
      </w:r>
      <w:r w:rsidR="00213674">
        <w:t xml:space="preserve"> realm</w:t>
      </w:r>
      <w:r w:rsidR="008A2FAF">
        <w:t xml:space="preserve">, as well as </w:t>
      </w:r>
      <w:r w:rsidR="00C97F28">
        <w:t>wider private sector investment</w:t>
      </w:r>
      <w:r w:rsidR="00613DF7">
        <w:t xml:space="preserve"> in the immediate surrounding area</w:t>
      </w:r>
      <w:r w:rsidR="00213674">
        <w:t>.</w:t>
      </w:r>
    </w:p>
    <w:p w14:paraId="76EC680D" w14:textId="77777777" w:rsidR="00CC05AA" w:rsidRDefault="00975312" w:rsidP="00975312">
      <w:r>
        <w:t>It is a suite of activity that has already made a significant contribution to the physical transformation of East London.</w:t>
      </w:r>
      <w:r w:rsidR="008A2FAF">
        <w:t xml:space="preserve"> </w:t>
      </w:r>
      <w:r>
        <w:t xml:space="preserve">Based on the evidence available it </w:t>
      </w:r>
      <w:r w:rsidR="00CC05AA">
        <w:t>is apparent</w:t>
      </w:r>
      <w:r>
        <w:t xml:space="preserve"> that</w:t>
      </w:r>
      <w:r w:rsidR="00CC05AA">
        <w:t>:</w:t>
      </w:r>
      <w:r>
        <w:t xml:space="preserve"> </w:t>
      </w:r>
    </w:p>
    <w:p w14:paraId="459B3A37" w14:textId="396D7289" w:rsidR="00BA307A" w:rsidRPr="00BA307A" w:rsidRDefault="00BA307A" w:rsidP="00BA307A">
      <w:pPr>
        <w:pStyle w:val="BulletOne"/>
      </w:pPr>
      <w:r w:rsidRPr="00BA307A">
        <w:t xml:space="preserve">Without the Games the remediation and clean-up of 2.5 </w:t>
      </w:r>
      <w:proofErr w:type="spellStart"/>
      <w:r w:rsidRPr="00BA307A">
        <w:t>sq</w:t>
      </w:r>
      <w:proofErr w:type="spellEnd"/>
      <w:r w:rsidRPr="00BA307A">
        <w:t xml:space="preserve"> km of largely derelict, polluted and inaccessible land would not have occurred.</w:t>
      </w:r>
      <w:r w:rsidR="00B73D10">
        <w:t xml:space="preserve"> </w:t>
      </w:r>
      <w:r w:rsidRPr="00BA307A">
        <w:t xml:space="preserve">This process included the undergrounding of 52 power pylons, the demolition of more than 200 buildings, the creation of 100 hectares of </w:t>
      </w:r>
      <w:proofErr w:type="spellStart"/>
      <w:r w:rsidRPr="00BA307A">
        <w:t>greenspace</w:t>
      </w:r>
      <w:proofErr w:type="spellEnd"/>
      <w:r w:rsidRPr="00BA307A">
        <w:t>, the creation of a new utilities network and building</w:t>
      </w:r>
      <w:r>
        <w:t xml:space="preserve"> 30 new bridges and connections;</w:t>
      </w:r>
    </w:p>
    <w:p w14:paraId="76EC680E" w14:textId="77777777" w:rsidR="00CC05AA" w:rsidRDefault="00CC05AA" w:rsidP="00975312">
      <w:pPr>
        <w:pStyle w:val="BulletOne"/>
      </w:pPr>
      <w:r>
        <w:lastRenderedPageBreak/>
        <w:t>W</w:t>
      </w:r>
      <w:r w:rsidR="00975312">
        <w:t xml:space="preserve">ithout the Games the new Olympic venues would not have been constructed and the Olympic Park would </w:t>
      </w:r>
      <w:r w:rsidR="00674BA7">
        <w:t>not exist;</w:t>
      </w:r>
    </w:p>
    <w:p w14:paraId="76EC680F" w14:textId="77777777" w:rsidR="00CC05AA" w:rsidRDefault="00CC05AA" w:rsidP="00975312">
      <w:pPr>
        <w:pStyle w:val="BulletOne"/>
      </w:pPr>
      <w:r>
        <w:t>T</w:t>
      </w:r>
      <w:r w:rsidR="00975312">
        <w:t>he hosting of the G</w:t>
      </w:r>
      <w:r>
        <w:t xml:space="preserve">ames has had </w:t>
      </w:r>
      <w:r w:rsidR="00D63120">
        <w:t xml:space="preserve">a </w:t>
      </w:r>
      <w:r>
        <w:t>catalytic effect</w:t>
      </w:r>
      <w:r w:rsidR="00D63120">
        <w:t xml:space="preserve"> on</w:t>
      </w:r>
      <w:r w:rsidR="00975312">
        <w:t xml:space="preserve"> a number of significant transport improvements at Stratford station and on the North London Line, to name but two, as well as a number of public realm improvements throughout the host bo</w:t>
      </w:r>
      <w:r w:rsidR="00674BA7">
        <w:t xml:space="preserve">roughs; </w:t>
      </w:r>
    </w:p>
    <w:p w14:paraId="76EC6810" w14:textId="597E76FA" w:rsidR="00CC05AA" w:rsidRDefault="00CC05AA" w:rsidP="00975312">
      <w:pPr>
        <w:pStyle w:val="BulletOne"/>
      </w:pPr>
      <w:r>
        <w:t>T</w:t>
      </w:r>
      <w:r w:rsidR="00975312">
        <w:t>he Games also leveraged wider private sector benefits</w:t>
      </w:r>
      <w:r w:rsidR="008A2FAF">
        <w:t xml:space="preserve">. The most notable </w:t>
      </w:r>
      <w:r w:rsidR="00975312">
        <w:t xml:space="preserve">is the role that the Games played in bringing forward the Westfield </w:t>
      </w:r>
      <w:r w:rsidR="008A2FAF">
        <w:t xml:space="preserve">shopping centre </w:t>
      </w:r>
      <w:r w:rsidR="00975312">
        <w:t>at Stratford City – and all the employment and economic benefits associated with it – by between five and seven years.</w:t>
      </w:r>
    </w:p>
    <w:p w14:paraId="4D2C7B2D" w14:textId="7723C183" w:rsidR="0036732D" w:rsidRDefault="0036732D" w:rsidP="00CC05AA">
      <w:pPr>
        <w:pStyle w:val="BulletOne"/>
        <w:numPr>
          <w:ilvl w:val="0"/>
          <w:numId w:val="0"/>
        </w:numPr>
      </w:pPr>
      <w:r w:rsidRPr="0036732D">
        <w:t>As a result of this activity</w:t>
      </w:r>
      <w:r w:rsidR="00C67555">
        <w:t>,</w:t>
      </w:r>
      <w:r w:rsidRPr="0036732D">
        <w:t xml:space="preserve"> parts of East London look, feel and function differently to how they did before London was awarded the right to host the Games</w:t>
      </w:r>
      <w:r w:rsidR="00DD4978">
        <w:t xml:space="preserve"> and, more importantly, to how they </w:t>
      </w:r>
      <w:r w:rsidR="00D76577">
        <w:t xml:space="preserve">otherwise </w:t>
      </w:r>
      <w:r w:rsidR="00DD4978">
        <w:t xml:space="preserve">would </w:t>
      </w:r>
      <w:r w:rsidR="00C67555">
        <w:t xml:space="preserve">be </w:t>
      </w:r>
      <w:r w:rsidR="00DD4978">
        <w:t>had London not hosted the 2012 Games.</w:t>
      </w:r>
      <w:r w:rsidR="00C67555">
        <w:t xml:space="preserve"> An illustration of the contrast between 20</w:t>
      </w:r>
      <w:r w:rsidR="00985FA0">
        <w:t>12</w:t>
      </w:r>
      <w:r w:rsidR="00C67555">
        <w:t xml:space="preserve"> and 20</w:t>
      </w:r>
      <w:r w:rsidR="00985FA0">
        <w:t>08</w:t>
      </w:r>
      <w:r w:rsidR="00C67555">
        <w:t xml:space="preserve"> is given below. </w:t>
      </w:r>
    </w:p>
    <w:p w14:paraId="76EC6812" w14:textId="18CABC09" w:rsidR="00CC05AA" w:rsidRDefault="00F13775" w:rsidP="00450165">
      <w:pPr>
        <w:pStyle w:val="Caption"/>
      </w:pPr>
      <w:r>
        <w:t xml:space="preserve">Figure </w:t>
      </w:r>
      <w:r w:rsidR="009B7975">
        <w:fldChar w:fldCharType="begin"/>
      </w:r>
      <w:r w:rsidR="009B7975">
        <w:instrText xml:space="preserve"> STYLEREF 1 \s </w:instrText>
      </w:r>
      <w:r w:rsidR="009B7975">
        <w:fldChar w:fldCharType="separate"/>
      </w:r>
      <w:r w:rsidR="003D22DB">
        <w:rPr>
          <w:noProof/>
        </w:rPr>
        <w:t>7</w:t>
      </w:r>
      <w:r w:rsidR="009B7975">
        <w:rPr>
          <w:noProof/>
        </w:rPr>
        <w:fldChar w:fldCharType="end"/>
      </w:r>
      <w:r>
        <w:noBreakHyphen/>
      </w:r>
      <w:r w:rsidR="009B7975">
        <w:fldChar w:fldCharType="begin"/>
      </w:r>
      <w:r w:rsidR="009B7975">
        <w:instrText xml:space="preserve"> SEQ Figure \* ARABIC \s 1 </w:instrText>
      </w:r>
      <w:r w:rsidR="009B7975">
        <w:fldChar w:fldCharType="separate"/>
      </w:r>
      <w:r w:rsidR="003D22DB">
        <w:rPr>
          <w:noProof/>
        </w:rPr>
        <w:t>1</w:t>
      </w:r>
      <w:r w:rsidR="009B7975">
        <w:rPr>
          <w:noProof/>
        </w:rPr>
        <w:fldChar w:fldCharType="end"/>
      </w:r>
      <w:r w:rsidR="009210A0" w:rsidRPr="00450165">
        <w:t xml:space="preserve">: The </w:t>
      </w:r>
      <w:r w:rsidR="00C241FA">
        <w:t>Olympic Park</w:t>
      </w:r>
      <w:r w:rsidR="00C7472D">
        <w:t xml:space="preserve"> </w:t>
      </w:r>
      <w:r w:rsidR="003A3B04">
        <w:t xml:space="preserve">in </w:t>
      </w:r>
      <w:r w:rsidR="009210A0" w:rsidRPr="00450165">
        <w:t>2012</w:t>
      </w:r>
      <w:r w:rsidR="00C241FA">
        <w:t xml:space="preserve"> </w:t>
      </w:r>
      <w:r w:rsidR="00DD4978">
        <w:t>and 2008</w:t>
      </w:r>
    </w:p>
    <w:p w14:paraId="76EC6814" w14:textId="77777777" w:rsidR="00C241FA" w:rsidRDefault="00C7472D" w:rsidP="00657D47">
      <w:pPr>
        <w:keepNext/>
        <w:spacing w:before="0" w:after="0"/>
      </w:pPr>
      <w:r>
        <w:rPr>
          <w:noProof/>
          <w:lang w:eastAsia="en-GB"/>
        </w:rPr>
        <w:drawing>
          <wp:inline distT="0" distB="0" distL="0" distR="0" wp14:anchorId="76EC68F0" wp14:editId="760594DE">
            <wp:extent cx="4511615" cy="2967798"/>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North 201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11615" cy="2967798"/>
                    </a:xfrm>
                    <a:prstGeom prst="rect">
                      <a:avLst/>
                    </a:prstGeom>
                  </pic:spPr>
                </pic:pic>
              </a:graphicData>
            </a:graphic>
          </wp:inline>
        </w:drawing>
      </w:r>
    </w:p>
    <w:p w14:paraId="37083A94" w14:textId="77777777" w:rsidR="00DD4978" w:rsidRDefault="00DD4978" w:rsidP="00657D47">
      <w:pPr>
        <w:keepNext/>
        <w:spacing w:before="0" w:after="0"/>
      </w:pPr>
      <w:r>
        <w:rPr>
          <w:noProof/>
          <w:lang w:eastAsia="en-GB"/>
        </w:rPr>
        <w:drawing>
          <wp:inline distT="0" distB="0" distL="0" distR="0" wp14:anchorId="58AB1BD3" wp14:editId="2D37C5EA">
            <wp:extent cx="4511615" cy="301009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North 200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11615" cy="3010094"/>
                    </a:xfrm>
                    <a:prstGeom prst="rect">
                      <a:avLst/>
                    </a:prstGeom>
                  </pic:spPr>
                </pic:pic>
              </a:graphicData>
            </a:graphic>
          </wp:inline>
        </w:drawing>
      </w:r>
      <w:r>
        <w:t xml:space="preserve"> </w:t>
      </w:r>
    </w:p>
    <w:p w14:paraId="4C4304BE" w14:textId="34515B5D" w:rsidR="00C67555" w:rsidRPr="00657D47" w:rsidRDefault="00C67555" w:rsidP="00657D47">
      <w:pPr>
        <w:spacing w:before="0" w:after="0"/>
        <w:rPr>
          <w:i/>
          <w:sz w:val="18"/>
          <w:szCs w:val="18"/>
        </w:rPr>
      </w:pPr>
      <w:r w:rsidRPr="00657D47">
        <w:rPr>
          <w:i/>
          <w:sz w:val="18"/>
          <w:szCs w:val="18"/>
        </w:rPr>
        <w:t>Source: Olympic Delivery Authority. 2012 photograph looks South from Eton manor. 2008 photograph</w:t>
      </w:r>
      <w:r>
        <w:rPr>
          <w:i/>
          <w:sz w:val="18"/>
          <w:szCs w:val="18"/>
        </w:rPr>
        <w:t xml:space="preserve"> </w:t>
      </w:r>
      <w:r w:rsidRPr="00657D47">
        <w:rPr>
          <w:i/>
          <w:sz w:val="18"/>
          <w:szCs w:val="18"/>
        </w:rPr>
        <w:t xml:space="preserve">looks South West across </w:t>
      </w:r>
      <w:r w:rsidR="003A3B04">
        <w:rPr>
          <w:i/>
          <w:sz w:val="18"/>
          <w:szCs w:val="18"/>
        </w:rPr>
        <w:t xml:space="preserve">the </w:t>
      </w:r>
      <w:r w:rsidRPr="00657D47">
        <w:rPr>
          <w:i/>
          <w:sz w:val="18"/>
          <w:szCs w:val="18"/>
        </w:rPr>
        <w:t xml:space="preserve">northern part of </w:t>
      </w:r>
      <w:r w:rsidR="003A3B04">
        <w:rPr>
          <w:i/>
          <w:sz w:val="18"/>
          <w:szCs w:val="18"/>
        </w:rPr>
        <w:t xml:space="preserve">the </w:t>
      </w:r>
      <w:r w:rsidRPr="00657D47">
        <w:rPr>
          <w:i/>
          <w:sz w:val="18"/>
          <w:szCs w:val="18"/>
        </w:rPr>
        <w:t>Olympic Park.</w:t>
      </w:r>
    </w:p>
    <w:p w14:paraId="76EC6815" w14:textId="6BF4D39B" w:rsidR="0072263E" w:rsidRDefault="00C241FA" w:rsidP="006475C5">
      <w:r>
        <w:lastRenderedPageBreak/>
        <w:t xml:space="preserve">Organisations involved in delivering the physical transformation of </w:t>
      </w:r>
      <w:r w:rsidR="00864FC2">
        <w:t xml:space="preserve">the Olympic Park </w:t>
      </w:r>
      <w:r>
        <w:t>demonstrate</w:t>
      </w:r>
      <w:r w:rsidR="009F5FF1">
        <w:t>d</w:t>
      </w:r>
      <w:r>
        <w:t xml:space="preserve"> a </w:t>
      </w:r>
      <w:r w:rsidR="007E2561" w:rsidRPr="00C241FA">
        <w:t>boldness</w:t>
      </w:r>
      <w:r w:rsidR="0072263E" w:rsidRPr="00C241FA">
        <w:t xml:space="preserve"> (perhaps most apparent in the willingness to provide early investment in activities before the bid had even been won)</w:t>
      </w:r>
      <w:r>
        <w:t xml:space="preserve"> and </w:t>
      </w:r>
      <w:r w:rsidR="006475C5">
        <w:t>vision</w:t>
      </w:r>
      <w:r w:rsidR="007E2561">
        <w:t xml:space="preserve"> that not only enabled the Olympic Park site to be developed on schedule but </w:t>
      </w:r>
      <w:r w:rsidR="009F5FF1">
        <w:t>also</w:t>
      </w:r>
      <w:r w:rsidR="007E2561">
        <w:t xml:space="preserve"> ensured that the regeneration benefits of the</w:t>
      </w:r>
      <w:r w:rsidR="00674BA7">
        <w:t xml:space="preserve"> 2012</w:t>
      </w:r>
      <w:r w:rsidR="007E2561">
        <w:t xml:space="preserve"> Games legacy for East London were driven forward from the earliest point possible.</w:t>
      </w:r>
    </w:p>
    <w:p w14:paraId="76EC6816" w14:textId="77777777" w:rsidR="006475C5" w:rsidRPr="002B0A3B" w:rsidRDefault="007E2561" w:rsidP="006475C5">
      <w:pPr>
        <w:rPr>
          <w:lang w:val="en"/>
        </w:rPr>
      </w:pPr>
      <w:r>
        <w:t xml:space="preserve">It was an approach </w:t>
      </w:r>
      <w:r w:rsidR="006475C5">
        <w:t>that lead Jacques Rogge</w:t>
      </w:r>
      <w:r w:rsidR="00C241FA">
        <w:t xml:space="preserve">, </w:t>
      </w:r>
      <w:r w:rsidR="006475C5">
        <w:t>President of the IOC</w:t>
      </w:r>
      <w:r w:rsidR="00C241FA">
        <w:t>, to comment</w:t>
      </w:r>
      <w:r w:rsidR="006475C5">
        <w:t xml:space="preserve"> on his final inspection visit in March 2012 that London had </w:t>
      </w:r>
      <w:r w:rsidR="006475C5" w:rsidRPr="00657D47">
        <w:t>"</w:t>
      </w:r>
      <w:r w:rsidR="006475C5" w:rsidRPr="002B0A3B">
        <w:rPr>
          <w:i/>
        </w:rPr>
        <w:t>raised the bar on how to deliver a lasting legacy by incorporating long-range planning in every aspect of the 2012 Games</w:t>
      </w:r>
      <w:r w:rsidR="000F0C28" w:rsidRPr="00657D47">
        <w:t>"</w:t>
      </w:r>
      <w:r w:rsidR="000F0C28">
        <w:t xml:space="preserve"> and</w:t>
      </w:r>
      <w:r w:rsidR="006475C5">
        <w:t xml:space="preserve"> in doing so had </w:t>
      </w:r>
      <w:r w:rsidR="006475C5" w:rsidRPr="00657D47">
        <w:t>"</w:t>
      </w:r>
      <w:r w:rsidR="006475C5" w:rsidRPr="002B0A3B">
        <w:rPr>
          <w:i/>
        </w:rPr>
        <w:t>created a legacy blueprint for future Games hosts</w:t>
      </w:r>
      <w:r w:rsidR="000F0C28" w:rsidRPr="00657D47">
        <w:t>"</w:t>
      </w:r>
      <w:r w:rsidR="000F0C28">
        <w:t xml:space="preserve"> </w:t>
      </w:r>
      <w:r w:rsidR="000F0C28" w:rsidRPr="00527924">
        <w:rPr>
          <w:lang w:val="en"/>
        </w:rPr>
        <w:t>with</w:t>
      </w:r>
      <w:r w:rsidR="006475C5">
        <w:rPr>
          <w:lang w:val="en"/>
        </w:rPr>
        <w:t xml:space="preserve"> the </w:t>
      </w:r>
      <w:r w:rsidR="006475C5" w:rsidRPr="00657D47">
        <w:rPr>
          <w:lang w:val="en"/>
        </w:rPr>
        <w:t>"</w:t>
      </w:r>
      <w:r w:rsidR="006475C5" w:rsidRPr="002B0A3B">
        <w:rPr>
          <w:i/>
          <w:lang w:val="en"/>
        </w:rPr>
        <w:t>tangible results</w:t>
      </w:r>
      <w:r w:rsidR="006475C5" w:rsidRPr="00657D47">
        <w:rPr>
          <w:lang w:val="en"/>
        </w:rPr>
        <w:t>"</w:t>
      </w:r>
      <w:r w:rsidR="006475C5">
        <w:rPr>
          <w:lang w:val="en"/>
        </w:rPr>
        <w:t xml:space="preserve"> already apparent in </w:t>
      </w:r>
      <w:r w:rsidR="006475C5" w:rsidRPr="00657D47">
        <w:rPr>
          <w:lang w:val="en"/>
        </w:rPr>
        <w:t>"</w:t>
      </w:r>
      <w:r w:rsidR="006475C5" w:rsidRPr="002B0A3B">
        <w:rPr>
          <w:i/>
          <w:lang w:val="en"/>
        </w:rPr>
        <w:t>the remarkable rejuvenation of East London</w:t>
      </w:r>
      <w:r w:rsidR="006475C5" w:rsidRPr="00657D47">
        <w:rPr>
          <w:lang w:val="en"/>
        </w:rPr>
        <w:t>"</w:t>
      </w:r>
      <w:r w:rsidR="00BE6AF0">
        <w:rPr>
          <w:i/>
          <w:lang w:val="en"/>
        </w:rPr>
        <w:t>.</w:t>
      </w:r>
      <w:r w:rsidR="006475C5">
        <w:rPr>
          <w:rStyle w:val="FootnoteReference"/>
          <w:sz w:val="19"/>
          <w:szCs w:val="19"/>
          <w:lang w:val="en"/>
        </w:rPr>
        <w:footnoteReference w:id="37"/>
      </w:r>
    </w:p>
    <w:p w14:paraId="76EC6817" w14:textId="77777777" w:rsidR="0072263E" w:rsidRDefault="0072263E" w:rsidP="0037516A">
      <w:pPr>
        <w:pStyle w:val="Heading2"/>
      </w:pPr>
      <w:bookmarkStart w:id="30" w:name="_Toc332901264"/>
      <w:r>
        <w:t>Transforming communities</w:t>
      </w:r>
      <w:bookmarkEnd w:id="30"/>
    </w:p>
    <w:p w14:paraId="76EC6818" w14:textId="77777777" w:rsidR="00A626F9" w:rsidRDefault="00C241FA" w:rsidP="00A626F9">
      <w:r>
        <w:t xml:space="preserve">The transforming </w:t>
      </w:r>
      <w:proofErr w:type="gramStart"/>
      <w:r>
        <w:t>communities</w:t>
      </w:r>
      <w:proofErr w:type="gramEnd"/>
      <w:r>
        <w:t xml:space="preserve"> sub-theme explores the legacy and impacts for local </w:t>
      </w:r>
      <w:r>
        <w:rPr>
          <w:rFonts w:cs="MPFLD G+ Bliss"/>
          <w:color w:val="000000"/>
          <w:szCs w:val="22"/>
        </w:rPr>
        <w:t xml:space="preserve">communities </w:t>
      </w:r>
      <w:r w:rsidR="008540DB">
        <w:rPr>
          <w:rFonts w:cs="MPFLD G+ Bliss"/>
          <w:color w:val="000000"/>
          <w:szCs w:val="22"/>
        </w:rPr>
        <w:t>resulting from</w:t>
      </w:r>
      <w:r w:rsidR="00A626F9">
        <w:rPr>
          <w:rFonts w:cs="MPFLD G+ Bliss"/>
          <w:color w:val="000000"/>
          <w:szCs w:val="22"/>
        </w:rPr>
        <w:t xml:space="preserve"> t</w:t>
      </w:r>
      <w:r w:rsidR="00A626F9">
        <w:t xml:space="preserve">he construction of new homes, sport, leisure, education and health facilities, meeting the needs of residents, businesses and elite sport and raising satisfaction and improving cohesion. At the heart of this aim is the transformation of the Olympic Park, but it also includes public realm improvements and </w:t>
      </w:r>
      <w:r w:rsidR="00A626F9" w:rsidRPr="0078337D">
        <w:t xml:space="preserve">culture </w:t>
      </w:r>
      <w:r w:rsidR="00A626F9">
        <w:t xml:space="preserve">and </w:t>
      </w:r>
      <w:r w:rsidR="00A626F9" w:rsidRPr="0078337D">
        <w:t>arts</w:t>
      </w:r>
      <w:r w:rsidR="00A626F9">
        <w:t xml:space="preserve"> projects.</w:t>
      </w:r>
    </w:p>
    <w:p w14:paraId="76EC6819" w14:textId="3F5A278B" w:rsidR="006A63AD" w:rsidRDefault="00C6416D" w:rsidP="006A63AD">
      <w:r>
        <w:t xml:space="preserve">In </w:t>
      </w:r>
      <w:r w:rsidRPr="0078337D">
        <w:t xml:space="preserve">its role </w:t>
      </w:r>
      <w:r>
        <w:t xml:space="preserve">as custodian of Olympic Park </w:t>
      </w:r>
      <w:r w:rsidR="00153CF9">
        <w:t>post-</w:t>
      </w:r>
      <w:r>
        <w:t xml:space="preserve">Games, the </w:t>
      </w:r>
      <w:r w:rsidR="009321A3">
        <w:t>LLDC</w:t>
      </w:r>
      <w:r w:rsidR="00B46992">
        <w:t>, formerly the Olympic Park Legacy Company</w:t>
      </w:r>
      <w:r w:rsidR="009321A3">
        <w:t>)</w:t>
      </w:r>
      <w:r>
        <w:t xml:space="preserve"> </w:t>
      </w:r>
      <w:r w:rsidR="00D63120">
        <w:t xml:space="preserve">has </w:t>
      </w:r>
      <w:r>
        <w:t xml:space="preserve">developed a comprehensive programme of </w:t>
      </w:r>
      <w:r w:rsidR="00A626F9">
        <w:t>legacy uses and developments</w:t>
      </w:r>
      <w:r w:rsidR="00D63120">
        <w:t xml:space="preserve"> to be delivered post-Games, including</w:t>
      </w:r>
      <w:r w:rsidR="006A63AD">
        <w:t xml:space="preserve">: </w:t>
      </w:r>
    </w:p>
    <w:p w14:paraId="76EC681A" w14:textId="77777777" w:rsidR="00C6416D" w:rsidRDefault="000A2096" w:rsidP="00C6416D">
      <w:pPr>
        <w:pStyle w:val="BulletOne"/>
        <w:tabs>
          <w:tab w:val="num" w:pos="1420"/>
        </w:tabs>
      </w:pPr>
      <w:r>
        <w:t>N</w:t>
      </w:r>
      <w:r w:rsidR="00C6416D">
        <w:t>early 7,000 new homes</w:t>
      </w:r>
      <w:r w:rsidR="00A626F9">
        <w:t xml:space="preserve">, with </w:t>
      </w:r>
      <w:r w:rsidR="00C6416D">
        <w:t>35% affordable</w:t>
      </w:r>
      <w:r w:rsidR="00A626F9">
        <w:t xml:space="preserve"> and </w:t>
      </w:r>
      <w:r w:rsidR="00C6416D">
        <w:t>42% family homes</w:t>
      </w:r>
      <w:r w:rsidR="00674BA7">
        <w:t>;</w:t>
      </w:r>
    </w:p>
    <w:p w14:paraId="76EC681B" w14:textId="77777777" w:rsidR="00C6416D" w:rsidRDefault="000A2096" w:rsidP="00C6416D">
      <w:pPr>
        <w:pStyle w:val="BulletOne"/>
        <w:tabs>
          <w:tab w:val="num" w:pos="1420"/>
        </w:tabs>
      </w:pPr>
      <w:r>
        <w:t>O</w:t>
      </w:r>
      <w:r w:rsidR="00C6416D">
        <w:t>ver 4,000 new jobs</w:t>
      </w:r>
      <w:r w:rsidR="00A626F9">
        <w:rPr>
          <w:rStyle w:val="FootnoteReference"/>
        </w:rPr>
        <w:footnoteReference w:id="38"/>
      </w:r>
      <w:r w:rsidR="00A626F9">
        <w:t xml:space="preserve">, with </w:t>
      </w:r>
      <w:r w:rsidR="00C6416D">
        <w:t xml:space="preserve">75% for residents of the </w:t>
      </w:r>
      <w:r w:rsidR="00A91D36">
        <w:t>h</w:t>
      </w:r>
      <w:r w:rsidR="00C6416D">
        <w:t xml:space="preserve">ost </w:t>
      </w:r>
      <w:r w:rsidR="00A91D36">
        <w:t>b</w:t>
      </w:r>
      <w:r w:rsidR="00C6416D">
        <w:t>oroug</w:t>
      </w:r>
      <w:r w:rsidR="00A626F9">
        <w:t>hs and 35% for BAME residents</w:t>
      </w:r>
      <w:r w:rsidR="00674BA7">
        <w:t>;</w:t>
      </w:r>
    </w:p>
    <w:p w14:paraId="76EC681C" w14:textId="5DB49348" w:rsidR="00C6416D" w:rsidRDefault="000A2096" w:rsidP="00C6416D">
      <w:pPr>
        <w:pStyle w:val="BulletOne"/>
        <w:tabs>
          <w:tab w:val="num" w:pos="1420"/>
        </w:tabs>
      </w:pPr>
      <w:r>
        <w:t>O</w:t>
      </w:r>
      <w:r w:rsidR="00C6416D">
        <w:t>ver 2,000 construction jobs</w:t>
      </w:r>
      <w:r w:rsidR="00A626F9">
        <w:t xml:space="preserve">, </w:t>
      </w:r>
      <w:r w:rsidR="00C6416D">
        <w:t xml:space="preserve">25% of which </w:t>
      </w:r>
      <w:r w:rsidR="00DA2BD5">
        <w:t xml:space="preserve">are </w:t>
      </w:r>
      <w:r w:rsidR="00A73360">
        <w:t xml:space="preserve">estimated </w:t>
      </w:r>
      <w:r w:rsidR="00DA2BD5">
        <w:t xml:space="preserve">to </w:t>
      </w:r>
      <w:r w:rsidR="00A73360">
        <w:t xml:space="preserve">be </w:t>
      </w:r>
      <w:r w:rsidR="00A626F9">
        <w:t xml:space="preserve">for </w:t>
      </w:r>
      <w:r w:rsidR="00C6416D">
        <w:t>local residents</w:t>
      </w:r>
      <w:r w:rsidR="00674BA7">
        <w:t>;</w:t>
      </w:r>
    </w:p>
    <w:p w14:paraId="76EC681D" w14:textId="77777777" w:rsidR="00C6416D" w:rsidRDefault="00C6416D" w:rsidP="00C6416D">
      <w:pPr>
        <w:pStyle w:val="BulletOne"/>
        <w:tabs>
          <w:tab w:val="num" w:pos="1420"/>
        </w:tabs>
      </w:pPr>
      <w:r>
        <w:t>102 hectares of open space and 45 hectares of bio diverse habitat</w:t>
      </w:r>
      <w:r w:rsidR="00674BA7">
        <w:t>;</w:t>
      </w:r>
    </w:p>
    <w:p w14:paraId="76EC681E" w14:textId="77777777" w:rsidR="00C6416D" w:rsidRDefault="000A2096" w:rsidP="00C6416D">
      <w:pPr>
        <w:pStyle w:val="BulletOne"/>
        <w:tabs>
          <w:tab w:val="num" w:pos="1420"/>
        </w:tabs>
      </w:pPr>
      <w:r>
        <w:t>T</w:t>
      </w:r>
      <w:r w:rsidR="00C6416D">
        <w:t>wo primary schools, one secondary school and nine nurseries</w:t>
      </w:r>
      <w:r w:rsidR="00674BA7">
        <w:t>;</w:t>
      </w:r>
    </w:p>
    <w:p w14:paraId="76EC681F" w14:textId="77777777" w:rsidR="00C6416D" w:rsidRDefault="000A2096" w:rsidP="00C6416D">
      <w:pPr>
        <w:pStyle w:val="BulletOne"/>
        <w:tabs>
          <w:tab w:val="num" w:pos="1420"/>
        </w:tabs>
      </w:pPr>
      <w:r>
        <w:t>T</w:t>
      </w:r>
      <w:r w:rsidR="00C6416D">
        <w:t>hree health centre</w:t>
      </w:r>
      <w:r w:rsidR="00674BA7">
        <w:t>s;</w:t>
      </w:r>
    </w:p>
    <w:p w14:paraId="76EC6820" w14:textId="77777777" w:rsidR="00C6416D" w:rsidRPr="00363840" w:rsidRDefault="000A2096" w:rsidP="00C6416D">
      <w:pPr>
        <w:pStyle w:val="BulletOne"/>
        <w:tabs>
          <w:tab w:val="num" w:pos="1420"/>
        </w:tabs>
      </w:pPr>
      <w:r>
        <w:t>A</w:t>
      </w:r>
      <w:r w:rsidR="00C6416D">
        <w:t xml:space="preserve"> number of multi-purpose community, leisure and cultural spaces</w:t>
      </w:r>
      <w:r w:rsidR="00674BA7">
        <w:t xml:space="preserve">; </w:t>
      </w:r>
    </w:p>
    <w:p w14:paraId="76EC6821" w14:textId="77777777" w:rsidR="00C6416D" w:rsidRPr="006E6E47" w:rsidRDefault="000A2096" w:rsidP="00C6416D">
      <w:pPr>
        <w:pStyle w:val="BulletOne"/>
        <w:tabs>
          <w:tab w:val="num" w:pos="1420"/>
        </w:tabs>
      </w:pPr>
      <w:r>
        <w:t>A</w:t>
      </w:r>
      <w:r w:rsidR="00C6416D">
        <w:t xml:space="preserve"> park and sports venues that </w:t>
      </w:r>
      <w:r w:rsidR="009F5FF1">
        <w:t xml:space="preserve">will </w:t>
      </w:r>
      <w:r w:rsidR="00C6416D">
        <w:t xml:space="preserve">attract millions of visitors. </w:t>
      </w:r>
    </w:p>
    <w:p w14:paraId="76EC6822" w14:textId="70BA88ED" w:rsidR="008E3229" w:rsidRDefault="006A63AD" w:rsidP="008E3229">
      <w:pPr>
        <w:pStyle w:val="BulletOne"/>
        <w:numPr>
          <w:ilvl w:val="0"/>
          <w:numId w:val="0"/>
        </w:numPr>
        <w:rPr>
          <w:lang w:val="en-US"/>
        </w:rPr>
      </w:pPr>
      <w:r>
        <w:t>Th</w:t>
      </w:r>
      <w:r w:rsidR="00C6416D">
        <w:t>e potential of this</w:t>
      </w:r>
      <w:r>
        <w:t xml:space="preserve"> transformation appears to already be impacting on </w:t>
      </w:r>
      <w:r w:rsidR="008540DB">
        <w:t>local communities</w:t>
      </w:r>
      <w:r w:rsidR="008E3229">
        <w:t xml:space="preserve">. When respondents to the </w:t>
      </w:r>
      <w:r w:rsidR="00A91D36">
        <w:t>h</w:t>
      </w:r>
      <w:r w:rsidR="008E3229">
        <w:t xml:space="preserve">ost </w:t>
      </w:r>
      <w:r w:rsidR="00A91D36">
        <w:t>b</w:t>
      </w:r>
      <w:r w:rsidR="008E3229">
        <w:t>orough</w:t>
      </w:r>
      <w:r w:rsidR="00C34219">
        <w:t>s</w:t>
      </w:r>
      <w:r w:rsidR="008E3229">
        <w:t xml:space="preserve"> </w:t>
      </w:r>
      <w:r w:rsidR="008B124B">
        <w:t xml:space="preserve">resident </w:t>
      </w:r>
      <w:r w:rsidR="00A91D36">
        <w:t>s</w:t>
      </w:r>
      <w:r w:rsidR="008E3229">
        <w:t xml:space="preserve">urvey </w:t>
      </w:r>
      <w:r w:rsidR="00A73360">
        <w:t xml:space="preserve">(which was carried out prior to the Games) </w:t>
      </w:r>
      <w:r w:rsidR="008E3229">
        <w:t xml:space="preserve">were asked </w:t>
      </w:r>
      <w:r w:rsidR="008E3229">
        <w:rPr>
          <w:lang w:val="en-US"/>
        </w:rPr>
        <w:t xml:space="preserve">whether they thought that the Games would be good for London as a whole – based on what they had seen or heard – two-thirds (69%) of respondents felt that it </w:t>
      </w:r>
      <w:r w:rsidR="008F561D">
        <w:rPr>
          <w:lang w:val="en-US"/>
        </w:rPr>
        <w:t>would</w:t>
      </w:r>
      <w:r w:rsidR="009321A3">
        <w:rPr>
          <w:lang w:val="en-US"/>
        </w:rPr>
        <w:t>,</w:t>
      </w:r>
      <w:r w:rsidR="008E3229">
        <w:rPr>
          <w:lang w:val="en-US"/>
        </w:rPr>
        <w:t xml:space="preserve"> with 37% 'strongly agreeing'.</w:t>
      </w:r>
      <w:r w:rsidR="00A626F9">
        <w:rPr>
          <w:lang w:val="en-US"/>
        </w:rPr>
        <w:t xml:space="preserve"> </w:t>
      </w:r>
      <w:r w:rsidR="00D53FA1">
        <w:rPr>
          <w:lang w:val="en-US"/>
        </w:rPr>
        <w:t>In addition</w:t>
      </w:r>
      <w:r w:rsidR="00A626F9">
        <w:rPr>
          <w:lang w:val="en-US"/>
        </w:rPr>
        <w:t>, a qu</w:t>
      </w:r>
      <w:r w:rsidR="00D53FA1">
        <w:rPr>
          <w:lang w:val="en-US"/>
        </w:rPr>
        <w:t>arter (26%) of the respondents felt that the Games had made them more satisfied with their area as a place to live</w:t>
      </w:r>
      <w:r w:rsidR="003F5208">
        <w:rPr>
          <w:lang w:val="en-US"/>
        </w:rPr>
        <w:t xml:space="preserve"> (</w:t>
      </w:r>
      <w:r w:rsidR="008540DB">
        <w:rPr>
          <w:lang w:val="en-US"/>
        </w:rPr>
        <w:t xml:space="preserve">compared to </w:t>
      </w:r>
      <w:r w:rsidR="003F5208">
        <w:rPr>
          <w:lang w:val="en-US"/>
        </w:rPr>
        <w:t xml:space="preserve">10% </w:t>
      </w:r>
      <w:r w:rsidR="008540DB">
        <w:rPr>
          <w:lang w:val="en-US"/>
        </w:rPr>
        <w:t xml:space="preserve">who </w:t>
      </w:r>
      <w:r w:rsidR="003F5208">
        <w:rPr>
          <w:lang w:val="en-US"/>
        </w:rPr>
        <w:t>felt that it had made them less satisfied)</w:t>
      </w:r>
      <w:r w:rsidR="00A626F9">
        <w:rPr>
          <w:lang w:val="en-US"/>
        </w:rPr>
        <w:t xml:space="preserve">. </w:t>
      </w:r>
    </w:p>
    <w:p w14:paraId="76EC6823" w14:textId="77777777" w:rsidR="008E3229" w:rsidRDefault="00F13775" w:rsidP="008E3229">
      <w:pPr>
        <w:pStyle w:val="Caption"/>
      </w:pPr>
      <w:r>
        <w:lastRenderedPageBreak/>
        <w:t xml:space="preserve">Figure </w:t>
      </w:r>
      <w:r w:rsidR="009B7975">
        <w:fldChar w:fldCharType="begin"/>
      </w:r>
      <w:r w:rsidR="009B7975">
        <w:instrText xml:space="preserve"> STYLEREF 1 \s </w:instrText>
      </w:r>
      <w:r w:rsidR="009B7975">
        <w:fldChar w:fldCharType="separate"/>
      </w:r>
      <w:r w:rsidR="003D22DB">
        <w:rPr>
          <w:noProof/>
        </w:rPr>
        <w:t>7</w:t>
      </w:r>
      <w:r w:rsidR="009B7975">
        <w:rPr>
          <w:noProof/>
        </w:rPr>
        <w:fldChar w:fldCharType="end"/>
      </w:r>
      <w:r>
        <w:noBreakHyphen/>
      </w:r>
      <w:r w:rsidR="009B7975">
        <w:fldChar w:fldCharType="begin"/>
      </w:r>
      <w:r w:rsidR="009B7975">
        <w:instrText xml:space="preserve"> SEQ Figure \* ARABIC \s 1 </w:instrText>
      </w:r>
      <w:r w:rsidR="009B7975">
        <w:fldChar w:fldCharType="separate"/>
      </w:r>
      <w:r w:rsidR="003D22DB">
        <w:rPr>
          <w:noProof/>
        </w:rPr>
        <w:t>2</w:t>
      </w:r>
      <w:r w:rsidR="009B7975">
        <w:rPr>
          <w:noProof/>
        </w:rPr>
        <w:fldChar w:fldCharType="end"/>
      </w:r>
      <w:r w:rsidR="008E3229">
        <w:t xml:space="preserve">: </w:t>
      </w:r>
      <w:r w:rsidR="008E3229" w:rsidRPr="005A106B">
        <w:t xml:space="preserve">Proportion of respondents 'agreeing' that hosting the 2012 Games would be good for London as a whole </w:t>
      </w:r>
    </w:p>
    <w:p w14:paraId="76EC6824" w14:textId="77777777" w:rsidR="008E3229" w:rsidRDefault="008E3229" w:rsidP="008E3229">
      <w:pPr>
        <w:spacing w:after="0"/>
        <w:rPr>
          <w:lang w:val="en-US"/>
        </w:rPr>
      </w:pPr>
      <w:r>
        <w:rPr>
          <w:noProof/>
          <w:lang w:eastAsia="en-GB"/>
        </w:rPr>
        <w:drawing>
          <wp:inline distT="0" distB="0" distL="0" distR="0" wp14:anchorId="76EC68F2" wp14:editId="2C615729">
            <wp:extent cx="4315968" cy="2594361"/>
            <wp:effectExtent l="0" t="0" r="889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5968" cy="2594361"/>
                    </a:xfrm>
                    <a:prstGeom prst="rect">
                      <a:avLst/>
                    </a:prstGeom>
                    <a:noFill/>
                  </pic:spPr>
                </pic:pic>
              </a:graphicData>
            </a:graphic>
          </wp:inline>
        </w:drawing>
      </w:r>
    </w:p>
    <w:p w14:paraId="72A959E1" w14:textId="43EB15BB" w:rsidR="008141EB" w:rsidRPr="008141EB" w:rsidRDefault="008141EB" w:rsidP="00085897">
      <w:pPr>
        <w:spacing w:before="0" w:after="0"/>
        <w:contextualSpacing/>
        <w:rPr>
          <w:i/>
          <w:sz w:val="18"/>
          <w:szCs w:val="18"/>
        </w:rPr>
      </w:pPr>
      <w:r w:rsidRPr="008141EB">
        <w:rPr>
          <w:i/>
          <w:sz w:val="18"/>
          <w:szCs w:val="18"/>
        </w:rPr>
        <w:t>Source: Host boroughs resident survey</w:t>
      </w:r>
      <w:r w:rsidR="009A43FF">
        <w:rPr>
          <w:i/>
          <w:sz w:val="18"/>
          <w:szCs w:val="18"/>
        </w:rPr>
        <w:t>.</w:t>
      </w:r>
    </w:p>
    <w:p w14:paraId="76EC6825" w14:textId="336A05AD" w:rsidR="008E3229" w:rsidRDefault="008E3229" w:rsidP="00085897">
      <w:pPr>
        <w:tabs>
          <w:tab w:val="center" w:pos="4082"/>
        </w:tabs>
        <w:spacing w:before="0" w:after="0"/>
        <w:contextualSpacing/>
        <w:rPr>
          <w:i/>
          <w:sz w:val="18"/>
          <w:szCs w:val="18"/>
          <w:lang w:val="en-US"/>
        </w:rPr>
      </w:pPr>
      <w:r w:rsidRPr="00085897">
        <w:rPr>
          <w:i/>
          <w:sz w:val="18"/>
          <w:szCs w:val="18"/>
          <w:lang w:val="en-US"/>
        </w:rPr>
        <w:t>Note: Red line shows the total for all respondents</w:t>
      </w:r>
      <w:r w:rsidR="009A43FF">
        <w:rPr>
          <w:i/>
          <w:sz w:val="18"/>
          <w:szCs w:val="18"/>
          <w:lang w:val="en-US"/>
        </w:rPr>
        <w:t>.</w:t>
      </w:r>
    </w:p>
    <w:p w14:paraId="19FF5A51" w14:textId="77777777" w:rsidR="008141EB" w:rsidRPr="00085897" w:rsidRDefault="008141EB" w:rsidP="00085897">
      <w:pPr>
        <w:tabs>
          <w:tab w:val="center" w:pos="4082"/>
        </w:tabs>
        <w:spacing w:before="0" w:after="0"/>
        <w:contextualSpacing/>
        <w:rPr>
          <w:i/>
          <w:sz w:val="18"/>
          <w:szCs w:val="18"/>
          <w:highlight w:val="yellow"/>
          <w:lang w:val="en-US"/>
        </w:rPr>
      </w:pPr>
    </w:p>
    <w:p w14:paraId="76EC6827" w14:textId="407D5DB2" w:rsidR="003F5208" w:rsidRDefault="00A540FD" w:rsidP="00D53FA1">
      <w:r>
        <w:t xml:space="preserve">Respondents to the </w:t>
      </w:r>
      <w:r w:rsidR="00A91D36">
        <w:t>h</w:t>
      </w:r>
      <w:r>
        <w:t xml:space="preserve">ost </w:t>
      </w:r>
      <w:r w:rsidR="00A91D36">
        <w:t>b</w:t>
      </w:r>
      <w:r>
        <w:t>orough</w:t>
      </w:r>
      <w:r w:rsidR="00C34219">
        <w:t>s</w:t>
      </w:r>
      <w:r w:rsidR="00A91D36">
        <w:t xml:space="preserve"> </w:t>
      </w:r>
      <w:r w:rsidR="008B124B">
        <w:t xml:space="preserve">resident </w:t>
      </w:r>
      <w:r w:rsidR="00A91D36">
        <w:t>s</w:t>
      </w:r>
      <w:r>
        <w:t>urvey were also asked to comment on the extent to which the preparations for the 2012 Games had already impacted on their local neighbourhood and the extent to which they will in the future. They were asked to think both positively and negatively</w:t>
      </w:r>
      <w:r w:rsidR="007A53F1">
        <w:t xml:space="preserve">. The most common responses </w:t>
      </w:r>
      <w:r w:rsidR="008540DB">
        <w:t xml:space="preserve">are presented </w:t>
      </w:r>
      <w:r w:rsidR="002927A7">
        <w:t xml:space="preserve">below. </w:t>
      </w:r>
    </w:p>
    <w:p w14:paraId="76EC6828" w14:textId="77777777" w:rsidR="007A53F1" w:rsidRDefault="00F13775" w:rsidP="007A53F1">
      <w:pPr>
        <w:pStyle w:val="Caption"/>
      </w:pPr>
      <w:r>
        <w:t xml:space="preserve">Figure </w:t>
      </w:r>
      <w:r w:rsidR="009B7975">
        <w:fldChar w:fldCharType="begin"/>
      </w:r>
      <w:r w:rsidR="009B7975">
        <w:instrText xml:space="preserve"> STYLEREF 1 \s </w:instrText>
      </w:r>
      <w:r w:rsidR="009B7975">
        <w:fldChar w:fldCharType="separate"/>
      </w:r>
      <w:r w:rsidR="003D22DB">
        <w:rPr>
          <w:noProof/>
        </w:rPr>
        <w:t>7</w:t>
      </w:r>
      <w:r w:rsidR="009B7975">
        <w:rPr>
          <w:noProof/>
        </w:rPr>
        <w:fldChar w:fldCharType="end"/>
      </w:r>
      <w:r>
        <w:noBreakHyphen/>
      </w:r>
      <w:r w:rsidR="009B7975">
        <w:fldChar w:fldCharType="begin"/>
      </w:r>
      <w:r w:rsidR="009B7975">
        <w:instrText xml:space="preserve"> SEQ Figure \* ARABIC \s 1 </w:instrText>
      </w:r>
      <w:r w:rsidR="009B7975">
        <w:fldChar w:fldCharType="separate"/>
      </w:r>
      <w:r w:rsidR="003D22DB">
        <w:rPr>
          <w:noProof/>
        </w:rPr>
        <w:t>3</w:t>
      </w:r>
      <w:r w:rsidR="009B7975">
        <w:rPr>
          <w:noProof/>
        </w:rPr>
        <w:fldChar w:fldCharType="end"/>
      </w:r>
      <w:r>
        <w:t>:</w:t>
      </w:r>
      <w:r w:rsidR="007A53F1" w:rsidRPr="005A106B">
        <w:t xml:space="preserve"> </w:t>
      </w:r>
      <w:r w:rsidR="007A53F1">
        <w:t>Impact of hosting the Games on the local area</w:t>
      </w:r>
      <w:r w:rsidR="007A53F1" w:rsidRPr="005A106B">
        <w:t xml:space="preserve"> </w:t>
      </w:r>
    </w:p>
    <w:tbl>
      <w:tblPr>
        <w:tblW w:w="5000" w:type="pct"/>
        <w:tblLayout w:type="fixed"/>
        <w:tblCellMar>
          <w:top w:w="28" w:type="dxa"/>
          <w:left w:w="0" w:type="dxa"/>
          <w:bottom w:w="28" w:type="dxa"/>
          <w:right w:w="0" w:type="dxa"/>
        </w:tblCellMar>
        <w:tblLook w:val="0000" w:firstRow="0" w:lastRow="0" w:firstColumn="0" w:lastColumn="0" w:noHBand="0" w:noVBand="0"/>
      </w:tblPr>
      <w:tblGrid>
        <w:gridCol w:w="4082"/>
        <w:gridCol w:w="4082"/>
      </w:tblGrid>
      <w:tr w:rsidR="007A53F1" w:rsidRPr="00FA43D2" w14:paraId="76EC682B" w14:textId="77777777" w:rsidTr="007A53F1">
        <w:tc>
          <w:tcPr>
            <w:tcW w:w="4082" w:type="dxa"/>
            <w:shd w:val="clear" w:color="auto" w:fill="CCC0D9" w:themeFill="accent4" w:themeFillTint="66"/>
          </w:tcPr>
          <w:p w14:paraId="76EC6829" w14:textId="77777777" w:rsidR="007A53F1" w:rsidRPr="00D135AC" w:rsidRDefault="007A53F1" w:rsidP="007A53F1">
            <w:pPr>
              <w:pStyle w:val="TableText"/>
              <w:rPr>
                <w:b/>
                <w:sz w:val="18"/>
                <w:szCs w:val="18"/>
              </w:rPr>
            </w:pPr>
            <w:r>
              <w:rPr>
                <w:b/>
                <w:sz w:val="18"/>
                <w:szCs w:val="18"/>
              </w:rPr>
              <w:t>Positive impact of the preparations</w:t>
            </w:r>
            <w:r w:rsidR="002E372C">
              <w:rPr>
                <w:b/>
                <w:sz w:val="18"/>
                <w:szCs w:val="18"/>
              </w:rPr>
              <w:t xml:space="preserve"> for the Games</w:t>
            </w:r>
            <w:r>
              <w:rPr>
                <w:b/>
                <w:sz w:val="18"/>
                <w:szCs w:val="18"/>
              </w:rPr>
              <w:t xml:space="preserve"> to date</w:t>
            </w:r>
          </w:p>
        </w:tc>
        <w:tc>
          <w:tcPr>
            <w:tcW w:w="4082" w:type="dxa"/>
            <w:shd w:val="clear" w:color="auto" w:fill="CCC0D9" w:themeFill="accent4" w:themeFillTint="66"/>
          </w:tcPr>
          <w:p w14:paraId="76EC682A" w14:textId="77777777" w:rsidR="007A53F1" w:rsidRPr="00D135AC" w:rsidRDefault="007A53F1" w:rsidP="007A53F1">
            <w:pPr>
              <w:pStyle w:val="TableText"/>
              <w:rPr>
                <w:b/>
                <w:sz w:val="18"/>
                <w:szCs w:val="18"/>
              </w:rPr>
            </w:pPr>
            <w:r>
              <w:rPr>
                <w:b/>
                <w:sz w:val="18"/>
                <w:szCs w:val="18"/>
              </w:rPr>
              <w:t>Negative impact of the preparations</w:t>
            </w:r>
            <w:r w:rsidR="002E372C">
              <w:rPr>
                <w:b/>
                <w:sz w:val="18"/>
                <w:szCs w:val="18"/>
              </w:rPr>
              <w:t xml:space="preserve"> for the Games</w:t>
            </w:r>
            <w:r>
              <w:rPr>
                <w:b/>
                <w:sz w:val="18"/>
                <w:szCs w:val="18"/>
              </w:rPr>
              <w:t xml:space="preserve"> to date</w:t>
            </w:r>
          </w:p>
        </w:tc>
      </w:tr>
      <w:tr w:rsidR="007A53F1" w14:paraId="76EC6832" w14:textId="77777777" w:rsidTr="007A53F1">
        <w:tc>
          <w:tcPr>
            <w:tcW w:w="4082" w:type="dxa"/>
          </w:tcPr>
          <w:p w14:paraId="76EC682C" w14:textId="77777777" w:rsidR="007A53F1" w:rsidRDefault="002E372C" w:rsidP="007A53F1">
            <w:pPr>
              <w:pStyle w:val="TableBullet"/>
              <w:rPr>
                <w:sz w:val="18"/>
                <w:szCs w:val="18"/>
              </w:rPr>
            </w:pPr>
            <w:r>
              <w:rPr>
                <w:sz w:val="18"/>
                <w:szCs w:val="18"/>
              </w:rPr>
              <w:t>Improvement to retail &amp; shopping facilities (48% )</w:t>
            </w:r>
          </w:p>
          <w:p w14:paraId="76EC682D" w14:textId="77777777" w:rsidR="002E372C" w:rsidRDefault="002E372C" w:rsidP="007A53F1">
            <w:pPr>
              <w:pStyle w:val="TableBullet"/>
              <w:rPr>
                <w:sz w:val="18"/>
                <w:szCs w:val="18"/>
              </w:rPr>
            </w:pPr>
            <w:r>
              <w:rPr>
                <w:sz w:val="18"/>
                <w:szCs w:val="18"/>
              </w:rPr>
              <w:t>Improvement to the image of the local area (48%)</w:t>
            </w:r>
          </w:p>
          <w:p w14:paraId="76EC682E" w14:textId="77777777" w:rsidR="002E372C" w:rsidRPr="00D135AC" w:rsidRDefault="002E372C" w:rsidP="007A53F1">
            <w:pPr>
              <w:pStyle w:val="TableBullet"/>
              <w:rPr>
                <w:sz w:val="18"/>
                <w:szCs w:val="18"/>
              </w:rPr>
            </w:pPr>
            <w:r>
              <w:rPr>
                <w:sz w:val="18"/>
                <w:szCs w:val="18"/>
              </w:rPr>
              <w:t>Improvement to public transport (43%)</w:t>
            </w:r>
          </w:p>
        </w:tc>
        <w:tc>
          <w:tcPr>
            <w:tcW w:w="4082" w:type="dxa"/>
          </w:tcPr>
          <w:p w14:paraId="76EC682F" w14:textId="77777777" w:rsidR="002E372C" w:rsidRDefault="002E372C" w:rsidP="002E372C">
            <w:pPr>
              <w:pStyle w:val="TableBullet"/>
              <w:rPr>
                <w:sz w:val="18"/>
                <w:szCs w:val="18"/>
              </w:rPr>
            </w:pPr>
            <w:r>
              <w:rPr>
                <w:sz w:val="18"/>
                <w:szCs w:val="18"/>
              </w:rPr>
              <w:t>Increased transport congestion in the area (50%)</w:t>
            </w:r>
          </w:p>
          <w:p w14:paraId="76EC6830" w14:textId="77777777" w:rsidR="002E372C" w:rsidRDefault="002E372C" w:rsidP="002E372C">
            <w:pPr>
              <w:pStyle w:val="TableBullet"/>
              <w:rPr>
                <w:sz w:val="18"/>
                <w:szCs w:val="18"/>
              </w:rPr>
            </w:pPr>
            <w:r>
              <w:rPr>
                <w:sz w:val="18"/>
                <w:szCs w:val="18"/>
              </w:rPr>
              <w:t>Increased number of people moving in/out of the area (44%)</w:t>
            </w:r>
          </w:p>
          <w:p w14:paraId="76EC6831" w14:textId="77777777" w:rsidR="007A53F1" w:rsidRPr="002E372C" w:rsidRDefault="007A53F1" w:rsidP="002E372C">
            <w:pPr>
              <w:pStyle w:val="TableBullet"/>
              <w:numPr>
                <w:ilvl w:val="0"/>
                <w:numId w:val="0"/>
              </w:numPr>
              <w:ind w:left="227"/>
              <w:rPr>
                <w:sz w:val="18"/>
                <w:szCs w:val="18"/>
              </w:rPr>
            </w:pPr>
          </w:p>
        </w:tc>
      </w:tr>
      <w:tr w:rsidR="007A53F1" w14:paraId="76EC6835" w14:textId="77777777" w:rsidTr="007A53F1">
        <w:tc>
          <w:tcPr>
            <w:tcW w:w="4082" w:type="dxa"/>
            <w:shd w:val="clear" w:color="auto" w:fill="CCC0D9" w:themeFill="accent4" w:themeFillTint="66"/>
          </w:tcPr>
          <w:p w14:paraId="76EC6833" w14:textId="77777777" w:rsidR="007A53F1" w:rsidRPr="007A53F1" w:rsidRDefault="007A53F1" w:rsidP="007A53F1">
            <w:pPr>
              <w:pStyle w:val="TableText"/>
              <w:rPr>
                <w:b/>
                <w:sz w:val="18"/>
                <w:szCs w:val="18"/>
              </w:rPr>
            </w:pPr>
            <w:r w:rsidRPr="007A53F1">
              <w:rPr>
                <w:b/>
                <w:sz w:val="18"/>
                <w:szCs w:val="18"/>
              </w:rPr>
              <w:t xml:space="preserve">Positive impact expected </w:t>
            </w:r>
            <w:r w:rsidR="002E372C">
              <w:rPr>
                <w:b/>
                <w:sz w:val="18"/>
                <w:szCs w:val="18"/>
              </w:rPr>
              <w:t xml:space="preserve">from the Games </w:t>
            </w:r>
            <w:r w:rsidRPr="007A53F1">
              <w:rPr>
                <w:b/>
                <w:sz w:val="18"/>
                <w:szCs w:val="18"/>
              </w:rPr>
              <w:t>over the longer term</w:t>
            </w:r>
          </w:p>
        </w:tc>
        <w:tc>
          <w:tcPr>
            <w:tcW w:w="4082" w:type="dxa"/>
            <w:shd w:val="clear" w:color="auto" w:fill="CCC0D9" w:themeFill="accent4" w:themeFillTint="66"/>
          </w:tcPr>
          <w:p w14:paraId="76EC6834" w14:textId="77777777" w:rsidR="007A53F1" w:rsidRPr="007A53F1" w:rsidRDefault="007A53F1" w:rsidP="007A53F1">
            <w:pPr>
              <w:pStyle w:val="TableText"/>
              <w:rPr>
                <w:b/>
                <w:sz w:val="18"/>
                <w:szCs w:val="18"/>
              </w:rPr>
            </w:pPr>
            <w:r w:rsidRPr="007A53F1">
              <w:rPr>
                <w:b/>
                <w:sz w:val="18"/>
                <w:szCs w:val="18"/>
              </w:rPr>
              <w:t>Negative impact expected</w:t>
            </w:r>
            <w:r w:rsidR="002E372C">
              <w:rPr>
                <w:b/>
                <w:sz w:val="18"/>
                <w:szCs w:val="18"/>
              </w:rPr>
              <w:t xml:space="preserve"> from the Games</w:t>
            </w:r>
            <w:r w:rsidRPr="007A53F1">
              <w:rPr>
                <w:b/>
                <w:sz w:val="18"/>
                <w:szCs w:val="18"/>
              </w:rPr>
              <w:t xml:space="preserve"> over the longer term</w:t>
            </w:r>
          </w:p>
        </w:tc>
      </w:tr>
      <w:tr w:rsidR="007A53F1" w14:paraId="76EC683C" w14:textId="77777777" w:rsidTr="007A53F1">
        <w:tc>
          <w:tcPr>
            <w:tcW w:w="4082" w:type="dxa"/>
          </w:tcPr>
          <w:p w14:paraId="76EC6836" w14:textId="77777777" w:rsidR="007A53F1" w:rsidRDefault="002E372C" w:rsidP="002E372C">
            <w:pPr>
              <w:pStyle w:val="TableBullet"/>
              <w:rPr>
                <w:sz w:val="18"/>
                <w:szCs w:val="18"/>
              </w:rPr>
            </w:pPr>
            <w:r>
              <w:rPr>
                <w:sz w:val="18"/>
                <w:szCs w:val="18"/>
              </w:rPr>
              <w:t>Improvement to the image of the local area (54%)</w:t>
            </w:r>
          </w:p>
          <w:p w14:paraId="76EC6837" w14:textId="77777777" w:rsidR="002E372C" w:rsidRDefault="002E372C" w:rsidP="002E372C">
            <w:pPr>
              <w:pStyle w:val="TableBullet"/>
              <w:rPr>
                <w:sz w:val="18"/>
                <w:szCs w:val="18"/>
              </w:rPr>
            </w:pPr>
            <w:r>
              <w:rPr>
                <w:sz w:val="18"/>
                <w:szCs w:val="18"/>
              </w:rPr>
              <w:t>Improvement to the sports facilities in the local area (54%)</w:t>
            </w:r>
          </w:p>
          <w:p w14:paraId="76EC6838" w14:textId="77777777" w:rsidR="002E372C" w:rsidRPr="002E372C" w:rsidRDefault="002E372C" w:rsidP="002E372C">
            <w:pPr>
              <w:pStyle w:val="TableBullet"/>
              <w:rPr>
                <w:sz w:val="18"/>
                <w:szCs w:val="18"/>
              </w:rPr>
            </w:pPr>
            <w:r>
              <w:rPr>
                <w:sz w:val="18"/>
                <w:szCs w:val="18"/>
              </w:rPr>
              <w:t>Improvement to retail &amp; shopping facilities (50% )</w:t>
            </w:r>
          </w:p>
        </w:tc>
        <w:tc>
          <w:tcPr>
            <w:tcW w:w="4082" w:type="dxa"/>
          </w:tcPr>
          <w:p w14:paraId="76EC6839" w14:textId="77777777" w:rsidR="002E372C" w:rsidRDefault="002E372C" w:rsidP="002E372C">
            <w:pPr>
              <w:pStyle w:val="TableBullet"/>
              <w:rPr>
                <w:sz w:val="18"/>
                <w:szCs w:val="18"/>
              </w:rPr>
            </w:pPr>
            <w:r>
              <w:rPr>
                <w:sz w:val="18"/>
                <w:szCs w:val="18"/>
              </w:rPr>
              <w:t>Increased transport congestion in the area (49%)</w:t>
            </w:r>
          </w:p>
          <w:p w14:paraId="76EC683A" w14:textId="77777777" w:rsidR="002E372C" w:rsidRDefault="002E372C" w:rsidP="002E372C">
            <w:pPr>
              <w:pStyle w:val="TableBullet"/>
              <w:rPr>
                <w:sz w:val="18"/>
                <w:szCs w:val="18"/>
              </w:rPr>
            </w:pPr>
            <w:r>
              <w:rPr>
                <w:sz w:val="18"/>
                <w:szCs w:val="18"/>
              </w:rPr>
              <w:t>Increased number of people moving in/out of the area (48%)</w:t>
            </w:r>
          </w:p>
          <w:p w14:paraId="76EC683B" w14:textId="77777777" w:rsidR="007A53F1" w:rsidRPr="00D135AC" w:rsidRDefault="007A53F1" w:rsidP="007A53F1">
            <w:pPr>
              <w:pStyle w:val="TableText"/>
              <w:rPr>
                <w:sz w:val="18"/>
                <w:szCs w:val="18"/>
              </w:rPr>
            </w:pPr>
          </w:p>
        </w:tc>
      </w:tr>
    </w:tbl>
    <w:p w14:paraId="3910EA45" w14:textId="44FE51BC" w:rsidR="008141EB" w:rsidRPr="008141EB" w:rsidRDefault="008141EB">
      <w:pPr>
        <w:spacing w:before="0" w:after="0"/>
        <w:contextualSpacing/>
        <w:rPr>
          <w:i/>
          <w:sz w:val="18"/>
          <w:szCs w:val="18"/>
        </w:rPr>
      </w:pPr>
      <w:r w:rsidRPr="008141EB">
        <w:rPr>
          <w:i/>
          <w:sz w:val="18"/>
          <w:szCs w:val="18"/>
        </w:rPr>
        <w:t>Source: Host boroughs resident survey</w:t>
      </w:r>
      <w:r w:rsidR="009A43FF">
        <w:rPr>
          <w:i/>
          <w:sz w:val="18"/>
          <w:szCs w:val="18"/>
        </w:rPr>
        <w:t>.</w:t>
      </w:r>
    </w:p>
    <w:p w14:paraId="76EC683D" w14:textId="6B926413" w:rsidR="007A53F1" w:rsidRDefault="002E372C" w:rsidP="00085897">
      <w:pPr>
        <w:spacing w:before="0" w:after="0"/>
        <w:rPr>
          <w:lang w:val="en-US"/>
        </w:rPr>
      </w:pPr>
      <w:r w:rsidRPr="00085897">
        <w:rPr>
          <w:i/>
          <w:sz w:val="18"/>
          <w:szCs w:val="18"/>
          <w:lang w:val="en-US"/>
        </w:rPr>
        <w:t>Note: Percentage relates to the number of respondents 'agreeing' that this was a positive or negative impact</w:t>
      </w:r>
      <w:r w:rsidR="009A43FF">
        <w:rPr>
          <w:i/>
          <w:sz w:val="18"/>
          <w:szCs w:val="18"/>
          <w:lang w:val="en-US"/>
        </w:rPr>
        <w:t>.</w:t>
      </w:r>
    </w:p>
    <w:p w14:paraId="76EC683E" w14:textId="77777777" w:rsidR="0037516A" w:rsidRDefault="0037516A" w:rsidP="0037516A">
      <w:pPr>
        <w:pStyle w:val="Heading2"/>
      </w:pPr>
      <w:bookmarkStart w:id="31" w:name="_Toc332901265"/>
      <w:r>
        <w:t>T</w:t>
      </w:r>
      <w:r w:rsidRPr="0037516A">
        <w:t>ransforming prospects</w:t>
      </w:r>
      <w:bookmarkEnd w:id="31"/>
    </w:p>
    <w:p w14:paraId="76EC683F" w14:textId="77777777" w:rsidR="00D53FA1" w:rsidRDefault="00A626F9" w:rsidP="00D53FA1">
      <w:r>
        <w:t xml:space="preserve">Transforming prospects focuses on Games activities </w:t>
      </w:r>
      <w:r w:rsidR="00D53FA1">
        <w:t>that have directly</w:t>
      </w:r>
      <w:r w:rsidR="00BF3B65">
        <w:t xml:space="preserve"> or indirectly</w:t>
      </w:r>
      <w:r w:rsidR="00D53FA1">
        <w:t xml:space="preserve"> created employment </w:t>
      </w:r>
      <w:r w:rsidR="00BF3B65">
        <w:t>for East London residents</w:t>
      </w:r>
      <w:r w:rsidR="00153CF9">
        <w:t>,</w:t>
      </w:r>
      <w:r w:rsidR="00BF3B65">
        <w:t xml:space="preserve"> </w:t>
      </w:r>
      <w:r w:rsidR="00D53FA1">
        <w:t xml:space="preserve">along with wider initiatives designed to tackle </w:t>
      </w:r>
      <w:proofErr w:type="spellStart"/>
      <w:r w:rsidR="00D53FA1">
        <w:t>worklessness</w:t>
      </w:r>
      <w:proofErr w:type="spellEnd"/>
      <w:r w:rsidR="00D53FA1">
        <w:t xml:space="preserve">. This includes: </w:t>
      </w:r>
    </w:p>
    <w:p w14:paraId="76EC6840" w14:textId="77777777" w:rsidR="00D53FA1" w:rsidRDefault="00D53FA1" w:rsidP="00D53FA1">
      <w:pPr>
        <w:pStyle w:val="BulletOne"/>
      </w:pPr>
      <w:r>
        <w:t>The construction of the Olympic Park and its associated venues</w:t>
      </w:r>
      <w:r w:rsidR="00674BA7">
        <w:t>;</w:t>
      </w:r>
    </w:p>
    <w:p w14:paraId="76EC6841" w14:textId="6AAA6BB2" w:rsidR="00D53FA1" w:rsidRDefault="00D53FA1" w:rsidP="00D53FA1">
      <w:pPr>
        <w:pStyle w:val="BulletOne"/>
      </w:pPr>
      <w:r>
        <w:t xml:space="preserve">The activities </w:t>
      </w:r>
      <w:r w:rsidR="00AD1F46">
        <w:t xml:space="preserve">of </w:t>
      </w:r>
      <w:r>
        <w:t xml:space="preserve">LEST 2012 </w:t>
      </w:r>
      <w:r w:rsidR="00AD1F46">
        <w:t>that</w:t>
      </w:r>
      <w:r>
        <w:t xml:space="preserve"> were focused on East London residents</w:t>
      </w:r>
      <w:r w:rsidR="00674BA7">
        <w:t>;</w:t>
      </w:r>
      <w:r>
        <w:t xml:space="preserve"> </w:t>
      </w:r>
    </w:p>
    <w:p w14:paraId="76EC6842" w14:textId="05046E04" w:rsidR="00D53FA1" w:rsidRDefault="00D53FA1" w:rsidP="00D53FA1">
      <w:pPr>
        <w:pStyle w:val="BulletOne"/>
      </w:pPr>
      <w:r>
        <w:t>A suite of 2012 Games-related a</w:t>
      </w:r>
      <w:r w:rsidR="00A626F9">
        <w:t xml:space="preserve">ctivities delivered across the </w:t>
      </w:r>
      <w:r w:rsidR="00A91D36">
        <w:t>h</w:t>
      </w:r>
      <w:r>
        <w:t xml:space="preserve">ost </w:t>
      </w:r>
      <w:r w:rsidR="00A91D36">
        <w:t>b</w:t>
      </w:r>
      <w:r>
        <w:t xml:space="preserve">oroughs to tackle </w:t>
      </w:r>
      <w:proofErr w:type="spellStart"/>
      <w:r>
        <w:t>worklessness</w:t>
      </w:r>
      <w:proofErr w:type="spellEnd"/>
      <w:r>
        <w:t xml:space="preserve"> and skills</w:t>
      </w:r>
      <w:r w:rsidR="0068250B">
        <w:t>, such as the Local Employment and Training Framework (LETF)</w:t>
      </w:r>
      <w:r w:rsidR="007E7777">
        <w:t xml:space="preserve">, which is </w:t>
      </w:r>
      <w:r w:rsidR="0068250B">
        <w:t>a £9.6</w:t>
      </w:r>
      <w:r w:rsidR="003C4AC3">
        <w:t xml:space="preserve"> million </w:t>
      </w:r>
      <w:r w:rsidR="0068250B">
        <w:t>project focused on developing skills, accessing work and support</w:t>
      </w:r>
      <w:r w:rsidR="008F561D">
        <w:t>ing</w:t>
      </w:r>
      <w:r w:rsidR="0068250B">
        <w:t xml:space="preserve"> businesses in the </w:t>
      </w:r>
      <w:r w:rsidR="00A91D36">
        <w:t>h</w:t>
      </w:r>
      <w:r w:rsidR="0068250B">
        <w:t xml:space="preserve">ost </w:t>
      </w:r>
      <w:r w:rsidR="00A91D36">
        <w:t>b</w:t>
      </w:r>
      <w:r w:rsidR="0068250B">
        <w:t>oroughs</w:t>
      </w:r>
      <w:r w:rsidR="00674BA7">
        <w:t>;</w:t>
      </w:r>
      <w:r>
        <w:t xml:space="preserve"> </w:t>
      </w:r>
    </w:p>
    <w:p w14:paraId="76EC6843" w14:textId="77777777" w:rsidR="00D53FA1" w:rsidRDefault="00D53FA1" w:rsidP="00D53FA1">
      <w:pPr>
        <w:pStyle w:val="BulletOne"/>
        <w:tabs>
          <w:tab w:val="num" w:pos="1420"/>
        </w:tabs>
      </w:pPr>
      <w:r>
        <w:lastRenderedPageBreak/>
        <w:t xml:space="preserve">The East and </w:t>
      </w:r>
      <w:r w:rsidR="00A626F9">
        <w:t xml:space="preserve">South East London City Strategy, </w:t>
      </w:r>
      <w:r>
        <w:t xml:space="preserve">a pilot scheme aiming to tackle </w:t>
      </w:r>
      <w:proofErr w:type="spellStart"/>
      <w:r>
        <w:t>workless</w:t>
      </w:r>
      <w:r w:rsidR="00D63120">
        <w:t>ness</w:t>
      </w:r>
      <w:proofErr w:type="spellEnd"/>
      <w:r>
        <w:t xml:space="preserve"> and child poverty</w:t>
      </w:r>
      <w:r w:rsidR="00674BA7">
        <w:t xml:space="preserve">; </w:t>
      </w:r>
    </w:p>
    <w:p w14:paraId="76EC6844" w14:textId="77777777" w:rsidR="00D53FA1" w:rsidRPr="00E506C9" w:rsidRDefault="00D53FA1" w:rsidP="00D53FA1">
      <w:pPr>
        <w:pStyle w:val="BulletOne"/>
        <w:tabs>
          <w:tab w:val="num" w:pos="1420"/>
        </w:tabs>
      </w:pPr>
      <w:r>
        <w:t>The legacy uses of the Olympic Park</w:t>
      </w:r>
      <w:r w:rsidR="00A626F9">
        <w:t xml:space="preserve"> </w:t>
      </w:r>
      <w:r>
        <w:t xml:space="preserve">which are expected to create </w:t>
      </w:r>
      <w:r w:rsidR="00AD1F46">
        <w:t>a number of</w:t>
      </w:r>
      <w:r>
        <w:t xml:space="preserve"> employment opportunities.</w:t>
      </w:r>
    </w:p>
    <w:p w14:paraId="76EC6845" w14:textId="77777777" w:rsidR="00D53FA1" w:rsidRDefault="00D53FA1" w:rsidP="00D53FA1">
      <w:r>
        <w:t>The evidence available suggests the preparation for and staging of the 2012 Games create</w:t>
      </w:r>
      <w:r w:rsidR="00AD1F46">
        <w:t>d</w:t>
      </w:r>
      <w:r>
        <w:t xml:space="preserve"> a large number of job opportunities for local residents:</w:t>
      </w:r>
    </w:p>
    <w:p w14:paraId="76EC6846" w14:textId="18A2BAF9" w:rsidR="00D53FA1" w:rsidRDefault="0068250B" w:rsidP="00D53FA1">
      <w:pPr>
        <w:pStyle w:val="BulletOne"/>
      </w:pPr>
      <w:r>
        <w:t>5,241</w:t>
      </w:r>
      <w:r w:rsidR="00A91D36">
        <w:t xml:space="preserve"> h</w:t>
      </w:r>
      <w:r w:rsidR="00D53FA1">
        <w:t xml:space="preserve">ost </w:t>
      </w:r>
      <w:r w:rsidR="00A91D36">
        <w:t>b</w:t>
      </w:r>
      <w:r w:rsidR="00D53FA1">
        <w:t>orough residents were employed in the demolition and build of the Olympic Park</w:t>
      </w:r>
      <w:r w:rsidR="006F6E4A">
        <w:t>. A</w:t>
      </w:r>
      <w:r w:rsidR="00D53FA1">
        <w:t xml:space="preserve"> further </w:t>
      </w:r>
      <w:r>
        <w:t>4,507</w:t>
      </w:r>
      <w:r w:rsidR="00D53FA1">
        <w:t xml:space="preserve"> employment opportunities </w:t>
      </w:r>
      <w:r w:rsidR="006F6E4A">
        <w:t xml:space="preserve">resulted from </w:t>
      </w:r>
      <w:r w:rsidR="00D53FA1">
        <w:t>the building of the Athletes</w:t>
      </w:r>
      <w:r w:rsidR="008F28FF">
        <w:t>'</w:t>
      </w:r>
      <w:r w:rsidR="00D53FA1">
        <w:t xml:space="preserve"> Village </w:t>
      </w:r>
      <w:r w:rsidR="00A626F9">
        <w:t>(</w:t>
      </w:r>
      <w:r w:rsidR="00D53FA1">
        <w:t xml:space="preserve">as of </w:t>
      </w:r>
      <w:r>
        <w:t>December</w:t>
      </w:r>
      <w:r w:rsidR="00D53FA1">
        <w:t xml:space="preserve"> 2011</w:t>
      </w:r>
      <w:r w:rsidR="00A626F9">
        <w:t>)</w:t>
      </w:r>
      <w:r w:rsidR="00BE6AF0">
        <w:t>;</w:t>
      </w:r>
      <w:r w:rsidR="00A626F9">
        <w:rPr>
          <w:rStyle w:val="FootnoteReference"/>
        </w:rPr>
        <w:footnoteReference w:id="39"/>
      </w:r>
    </w:p>
    <w:p w14:paraId="76EC6847" w14:textId="77777777" w:rsidR="0068250B" w:rsidRPr="0068250B" w:rsidRDefault="0068250B" w:rsidP="0068250B">
      <w:pPr>
        <w:pStyle w:val="BulletOne"/>
      </w:pPr>
      <w:r>
        <w:t xml:space="preserve">612 </w:t>
      </w:r>
      <w:r w:rsidR="00A91D36">
        <w:t>h</w:t>
      </w:r>
      <w:r>
        <w:t xml:space="preserve">ost </w:t>
      </w:r>
      <w:r w:rsidR="00A91D36">
        <w:t>b</w:t>
      </w:r>
      <w:r>
        <w:t>orough residents were part of LOCOG's paid workforce with a further 12,458 part of the contractor workforce fulfilling Games-time roles in hospitality, catering, cleaning, security, retail, ticketing and logistics (as of May 2012)</w:t>
      </w:r>
      <w:r w:rsidR="00BE6AF0">
        <w:t>;</w:t>
      </w:r>
      <w:r>
        <w:rPr>
          <w:rStyle w:val="FootnoteReference"/>
        </w:rPr>
        <w:footnoteReference w:id="40"/>
      </w:r>
    </w:p>
    <w:p w14:paraId="76EC6848" w14:textId="303EEFB2" w:rsidR="00D53FA1" w:rsidRDefault="006F0EB0" w:rsidP="00D53FA1">
      <w:pPr>
        <w:pStyle w:val="BulletOne"/>
      </w:pPr>
      <w:r>
        <w:t>Between 5,</w:t>
      </w:r>
      <w:r w:rsidR="00D53FA1">
        <w:t xml:space="preserve">000 </w:t>
      </w:r>
      <w:r>
        <w:t xml:space="preserve">and 5,400 </w:t>
      </w:r>
      <w:r w:rsidR="00A91D36">
        <w:t>h</w:t>
      </w:r>
      <w:r w:rsidR="00D53FA1">
        <w:t xml:space="preserve">ost </w:t>
      </w:r>
      <w:r w:rsidR="00A91D36">
        <w:t>b</w:t>
      </w:r>
      <w:r w:rsidR="00D53FA1">
        <w:t xml:space="preserve">orough residents were employed </w:t>
      </w:r>
      <w:r>
        <w:t xml:space="preserve">during the construction of Westfield shopping centre. Approximately </w:t>
      </w:r>
      <w:r w:rsidR="004F2291">
        <w:t>3</w:t>
      </w:r>
      <w:r w:rsidR="00D53FA1">
        <w:t xml:space="preserve">,000 Newham residents </w:t>
      </w:r>
      <w:r w:rsidR="00FA5144">
        <w:t xml:space="preserve">(where the centre is located) </w:t>
      </w:r>
      <w:r>
        <w:t xml:space="preserve">are </w:t>
      </w:r>
      <w:r w:rsidR="00D53FA1">
        <w:t xml:space="preserve">employed in its operation (a figure which is likely to increase if all </w:t>
      </w:r>
      <w:r w:rsidR="00A91D36">
        <w:t>h</w:t>
      </w:r>
      <w:r w:rsidR="00D53FA1">
        <w:t xml:space="preserve">ost </w:t>
      </w:r>
      <w:r w:rsidR="00A91D36">
        <w:t>b</w:t>
      </w:r>
      <w:r w:rsidR="00D53FA1">
        <w:t>oroughs were included)</w:t>
      </w:r>
      <w:r w:rsidR="00A34971">
        <w:t>;</w:t>
      </w:r>
    </w:p>
    <w:p w14:paraId="76EC6849" w14:textId="1AEC2280" w:rsidR="0068250B" w:rsidRDefault="003F5208" w:rsidP="0068250B">
      <w:pPr>
        <w:pStyle w:val="BulletOne"/>
      </w:pPr>
      <w:r>
        <w:t>As a result of the LEST programme b</w:t>
      </w:r>
      <w:r w:rsidR="0068250B">
        <w:t xml:space="preserve">etween 8,663 and 10,600 jobs were created in the </w:t>
      </w:r>
      <w:r w:rsidR="00A91D36">
        <w:t>h</w:t>
      </w:r>
      <w:r w:rsidR="0068250B">
        <w:t xml:space="preserve">ost </w:t>
      </w:r>
      <w:r w:rsidR="00A91D36">
        <w:t>b</w:t>
      </w:r>
      <w:r w:rsidR="0068250B">
        <w:t>oroughs (by March 2011)</w:t>
      </w:r>
      <w:r>
        <w:t xml:space="preserve">, a proportion of which will be made up of </w:t>
      </w:r>
      <w:r w:rsidR="002927A7">
        <w:t xml:space="preserve">the </w:t>
      </w:r>
      <w:r>
        <w:t>jobs opportunities noted above</w:t>
      </w:r>
      <w:r w:rsidR="00BE6AF0">
        <w:t>.</w:t>
      </w:r>
      <w:r w:rsidR="0068250B">
        <w:rPr>
          <w:rStyle w:val="FootnoteReference"/>
        </w:rPr>
        <w:footnoteReference w:id="41"/>
      </w:r>
    </w:p>
    <w:p w14:paraId="76EC684A" w14:textId="77777777" w:rsidR="00D53FA1" w:rsidRDefault="00153CF9" w:rsidP="00D53FA1">
      <w:pPr>
        <w:pStyle w:val="BulletOne"/>
        <w:numPr>
          <w:ilvl w:val="0"/>
          <w:numId w:val="0"/>
        </w:numPr>
      </w:pPr>
      <w:r>
        <w:t>These outcomes</w:t>
      </w:r>
      <w:r w:rsidR="00BF3B65">
        <w:t xml:space="preserve"> appear to have been driven forward by three </w:t>
      </w:r>
      <w:r>
        <w:t>factors</w:t>
      </w:r>
      <w:r w:rsidR="00BF3B65">
        <w:t>: contractual requirements on development partners to recruit locally</w:t>
      </w:r>
      <w:r w:rsidR="006F0EB0">
        <w:t xml:space="preserve">, </w:t>
      </w:r>
      <w:r w:rsidR="00BF3B65">
        <w:t>employer engagement programmes and</w:t>
      </w:r>
      <w:r w:rsidR="00D53FA1">
        <w:t xml:space="preserve"> activities </w:t>
      </w:r>
      <w:r w:rsidR="00BF3B65">
        <w:t>t</w:t>
      </w:r>
      <w:r>
        <w:t xml:space="preserve">argeted </w:t>
      </w:r>
      <w:r w:rsidR="009321A3">
        <w:t xml:space="preserve">specifically </w:t>
      </w:r>
      <w:r>
        <w:t>at</w:t>
      </w:r>
      <w:r w:rsidR="00D53FA1">
        <w:t xml:space="preserve"> workless individuals. </w:t>
      </w:r>
    </w:p>
    <w:p w14:paraId="76EC684B" w14:textId="77777777" w:rsidR="0037516A" w:rsidRDefault="0037516A" w:rsidP="0037516A">
      <w:pPr>
        <w:pStyle w:val="Heading2"/>
      </w:pPr>
      <w:bookmarkStart w:id="32" w:name="_Toc332901266"/>
      <w:r>
        <w:t>Convergence</w:t>
      </w:r>
      <w:bookmarkEnd w:id="32"/>
      <w:r>
        <w:t xml:space="preserve"> </w:t>
      </w:r>
    </w:p>
    <w:p w14:paraId="76EC684C" w14:textId="7CB17535" w:rsidR="009D6DB1" w:rsidRDefault="009D6DB1" w:rsidP="009D6DB1">
      <w:r>
        <w:t>This sub-theme has at its heart the aspiration that: "</w:t>
      </w:r>
      <w:r w:rsidRPr="001616A2">
        <w:rPr>
          <w:i/>
        </w:rPr>
        <w:t>within 20 years, the communities which host the 2012 Olympic and Paralympic Games will enjoy the same social and economic chances as their neighbours across London</w:t>
      </w:r>
      <w:r w:rsidRPr="00657D47">
        <w:t>"</w:t>
      </w:r>
      <w:r w:rsidR="00BE6AF0">
        <w:rPr>
          <w:i/>
        </w:rPr>
        <w:t>.</w:t>
      </w:r>
      <w:r>
        <w:rPr>
          <w:rStyle w:val="FootnoteReference"/>
          <w:i/>
        </w:rPr>
        <w:footnoteReference w:id="42"/>
      </w:r>
      <w:r>
        <w:rPr>
          <w:i/>
        </w:rPr>
        <w:t xml:space="preserve"> </w:t>
      </w:r>
      <w:r w:rsidRPr="009D6DB1">
        <w:t>The activity</w:t>
      </w:r>
      <w:r>
        <w:t xml:space="preserve"> within this sub-theme is encapsulated by the Strategic Regeneration Framework</w:t>
      </w:r>
      <w:r w:rsidR="00B90A4A">
        <w:rPr>
          <w:rStyle w:val="FootnoteReference"/>
        </w:rPr>
        <w:footnoteReference w:id="43"/>
      </w:r>
      <w:r>
        <w:t xml:space="preserve"> (SRF)</w:t>
      </w:r>
      <w:r w:rsidR="00AD1F46">
        <w:t xml:space="preserve">: </w:t>
      </w:r>
      <w:r>
        <w:t>an "</w:t>
      </w:r>
      <w:r w:rsidRPr="004350BA">
        <w:rPr>
          <w:i/>
          <w:szCs w:val="22"/>
        </w:rPr>
        <w:t xml:space="preserve">expression of the </w:t>
      </w:r>
      <w:r w:rsidR="00A91D36">
        <w:rPr>
          <w:i/>
          <w:szCs w:val="22"/>
        </w:rPr>
        <w:t>h</w:t>
      </w:r>
      <w:r w:rsidRPr="004350BA">
        <w:rPr>
          <w:i/>
          <w:szCs w:val="22"/>
        </w:rPr>
        <w:t xml:space="preserve">ost </w:t>
      </w:r>
      <w:r w:rsidR="00A91D36">
        <w:rPr>
          <w:i/>
          <w:szCs w:val="22"/>
        </w:rPr>
        <w:t>b</w:t>
      </w:r>
      <w:r w:rsidRPr="004350BA">
        <w:rPr>
          <w:i/>
          <w:szCs w:val="22"/>
        </w:rPr>
        <w:t>oroughs determination to use the 2012 Games as a catalyst to reduce poverty and transform the environment for the benefit of [all] citizens</w:t>
      </w:r>
      <w:r w:rsidR="00674BA7">
        <w:rPr>
          <w:i/>
          <w:szCs w:val="22"/>
        </w:rPr>
        <w:t>.</w:t>
      </w:r>
      <w:r>
        <w:rPr>
          <w:szCs w:val="22"/>
        </w:rPr>
        <w:t>"</w:t>
      </w:r>
    </w:p>
    <w:p w14:paraId="76EC684D" w14:textId="7EC8DDDA" w:rsidR="009D6DB1" w:rsidRDefault="009D6DB1" w:rsidP="009D6DB1">
      <w:r>
        <w:t xml:space="preserve">To measure progress against this objective a clear set of measures, based on secondary data sources, have been constructed that allow a regular assessment of progress, both in terms of actual improvement against a 2009 </w:t>
      </w:r>
      <w:r w:rsidR="002927A7">
        <w:t xml:space="preserve">SRF </w:t>
      </w:r>
      <w:r>
        <w:t xml:space="preserve">baseline, but </w:t>
      </w:r>
      <w:r w:rsidR="00153CF9">
        <w:t xml:space="preserve">also </w:t>
      </w:r>
      <w:r>
        <w:t>in comparison to the rest of London.</w:t>
      </w:r>
    </w:p>
    <w:p w14:paraId="76EC684E" w14:textId="77777777" w:rsidR="00114A32" w:rsidRDefault="009D6DB1" w:rsidP="00114A32">
      <w:r>
        <w:t xml:space="preserve">The most recent assessment of progress </w:t>
      </w:r>
      <w:r w:rsidR="0091519E">
        <w:t xml:space="preserve">against the convergence objective </w:t>
      </w:r>
      <w:r>
        <w:t>was made in May 2012</w:t>
      </w:r>
      <w:r w:rsidR="0051463C">
        <w:t xml:space="preserve"> and it</w:t>
      </w:r>
      <w:r w:rsidR="00114A32">
        <w:t>s</w:t>
      </w:r>
      <w:r w:rsidR="0051463C">
        <w:t xml:space="preserve"> results are shown in Figure 7-</w:t>
      </w:r>
      <w:r w:rsidR="002C040D">
        <w:t>4</w:t>
      </w:r>
      <w:r w:rsidR="0051463C">
        <w:t xml:space="preserve">. </w:t>
      </w:r>
      <w:r w:rsidR="0091519E">
        <w:t>I</w:t>
      </w:r>
      <w:r w:rsidR="00114A32">
        <w:t>t is clear that, to date, good progress has been made with East London 'closing the gap' with the rest of London and on track to achieve 'convergence' on two-thirds of the indicators.</w:t>
      </w:r>
    </w:p>
    <w:p w14:paraId="76EC684F" w14:textId="77777777" w:rsidR="009D6DB1" w:rsidRDefault="00F13775" w:rsidP="000A2096">
      <w:pPr>
        <w:pStyle w:val="Caption"/>
      </w:pPr>
      <w:bookmarkStart w:id="33" w:name="_Ref330549055"/>
      <w:r>
        <w:lastRenderedPageBreak/>
        <w:t xml:space="preserve">Figure </w:t>
      </w:r>
      <w:r w:rsidR="009B7975">
        <w:fldChar w:fldCharType="begin"/>
      </w:r>
      <w:r w:rsidR="009B7975">
        <w:instrText xml:space="preserve"> STYLEREF 1 \s </w:instrText>
      </w:r>
      <w:r w:rsidR="009B7975">
        <w:fldChar w:fldCharType="separate"/>
      </w:r>
      <w:r w:rsidR="003D22DB">
        <w:rPr>
          <w:noProof/>
        </w:rPr>
        <w:t>7</w:t>
      </w:r>
      <w:r w:rsidR="009B7975">
        <w:rPr>
          <w:noProof/>
        </w:rPr>
        <w:fldChar w:fldCharType="end"/>
      </w:r>
      <w:r>
        <w:noBreakHyphen/>
      </w:r>
      <w:r w:rsidR="009B7975">
        <w:fldChar w:fldCharType="begin"/>
      </w:r>
      <w:r w:rsidR="009B7975">
        <w:instrText xml:space="preserve"> SEQ Figure \* ARABIC \s 1 </w:instrText>
      </w:r>
      <w:r w:rsidR="009B7975">
        <w:fldChar w:fldCharType="separate"/>
      </w:r>
      <w:r w:rsidR="003D22DB">
        <w:rPr>
          <w:noProof/>
        </w:rPr>
        <w:t>4</w:t>
      </w:r>
      <w:r w:rsidR="009B7975">
        <w:rPr>
          <w:noProof/>
        </w:rPr>
        <w:fldChar w:fldCharType="end"/>
      </w:r>
      <w:r>
        <w:t>:</w:t>
      </w:r>
      <w:bookmarkEnd w:id="33"/>
      <w:r w:rsidR="009D6DB1" w:rsidRPr="005A106B">
        <w:t xml:space="preserve"> Progress by 2010/11 on </w:t>
      </w:r>
      <w:r w:rsidR="001113EB">
        <w:t>c</w:t>
      </w:r>
      <w:r w:rsidR="009D6DB1" w:rsidRPr="005A106B">
        <w:t xml:space="preserve">onvergence </w:t>
      </w:r>
      <w:r w:rsidR="001113EB">
        <w:t>i</w:t>
      </w:r>
      <w:r w:rsidR="009D6DB1" w:rsidRPr="005A106B">
        <w:t xml:space="preserve">ndicators </w:t>
      </w:r>
    </w:p>
    <w:tbl>
      <w:tblPr>
        <w:tblW w:w="5000" w:type="pct"/>
        <w:tblLayout w:type="fixed"/>
        <w:tblCellMar>
          <w:top w:w="28" w:type="dxa"/>
          <w:left w:w="0" w:type="dxa"/>
          <w:bottom w:w="28" w:type="dxa"/>
          <w:right w:w="0" w:type="dxa"/>
        </w:tblCellMar>
        <w:tblLook w:val="0000" w:firstRow="0" w:lastRow="0" w:firstColumn="0" w:lastColumn="0" w:noHBand="0" w:noVBand="0"/>
      </w:tblPr>
      <w:tblGrid>
        <w:gridCol w:w="4082"/>
        <w:gridCol w:w="4082"/>
      </w:tblGrid>
      <w:tr w:rsidR="009D6DB1" w:rsidRPr="00FA43D2" w14:paraId="76EC6852" w14:textId="77777777" w:rsidTr="00A6450A">
        <w:tc>
          <w:tcPr>
            <w:tcW w:w="4082" w:type="dxa"/>
            <w:shd w:val="clear" w:color="auto" w:fill="CCC0D9" w:themeFill="accent4" w:themeFillTint="66"/>
          </w:tcPr>
          <w:p w14:paraId="76EC6850" w14:textId="77777777" w:rsidR="009D6DB1" w:rsidRPr="00D135AC" w:rsidRDefault="009D6DB1" w:rsidP="000A2096">
            <w:pPr>
              <w:pStyle w:val="TableText"/>
              <w:keepNext/>
              <w:rPr>
                <w:b/>
                <w:sz w:val="18"/>
                <w:szCs w:val="18"/>
              </w:rPr>
            </w:pPr>
            <w:r w:rsidRPr="00D135AC">
              <w:rPr>
                <w:b/>
                <w:sz w:val="18"/>
                <w:szCs w:val="18"/>
              </w:rPr>
              <w:t>'Gap' reduced – Convergence on track</w:t>
            </w:r>
          </w:p>
        </w:tc>
        <w:tc>
          <w:tcPr>
            <w:tcW w:w="4082" w:type="dxa"/>
            <w:shd w:val="clear" w:color="auto" w:fill="CCC0D9" w:themeFill="accent4" w:themeFillTint="66"/>
          </w:tcPr>
          <w:p w14:paraId="76EC6851" w14:textId="77777777" w:rsidR="009D6DB1" w:rsidRPr="00D135AC" w:rsidRDefault="009D6DB1" w:rsidP="000A2096">
            <w:pPr>
              <w:pStyle w:val="TableText"/>
              <w:keepNext/>
              <w:rPr>
                <w:b/>
                <w:sz w:val="18"/>
                <w:szCs w:val="18"/>
              </w:rPr>
            </w:pPr>
            <w:r w:rsidRPr="00D135AC">
              <w:rPr>
                <w:b/>
                <w:sz w:val="18"/>
                <w:szCs w:val="18"/>
              </w:rPr>
              <w:t>'Gap' reduced slightly – Convergence not on track</w:t>
            </w:r>
          </w:p>
        </w:tc>
      </w:tr>
      <w:tr w:rsidR="009D6DB1" w14:paraId="76EC6866" w14:textId="77777777" w:rsidTr="00A6450A">
        <w:tc>
          <w:tcPr>
            <w:tcW w:w="4082" w:type="dxa"/>
          </w:tcPr>
          <w:p w14:paraId="76EC6853" w14:textId="77777777" w:rsidR="009D6DB1" w:rsidRPr="00D135AC" w:rsidRDefault="009D6DB1" w:rsidP="000A2096">
            <w:pPr>
              <w:pStyle w:val="TableBullet"/>
              <w:keepNext/>
              <w:rPr>
                <w:sz w:val="18"/>
                <w:szCs w:val="18"/>
              </w:rPr>
            </w:pPr>
            <w:r w:rsidRPr="00D135AC">
              <w:rPr>
                <w:sz w:val="18"/>
                <w:szCs w:val="18"/>
              </w:rPr>
              <w:t>19 year olds achieving NVQ level 2 threshold</w:t>
            </w:r>
          </w:p>
          <w:p w14:paraId="76EC6854" w14:textId="77777777" w:rsidR="009D6DB1" w:rsidRPr="00D135AC" w:rsidRDefault="009D6DB1" w:rsidP="000A2096">
            <w:pPr>
              <w:pStyle w:val="TableBullet"/>
              <w:keepNext/>
              <w:rPr>
                <w:sz w:val="18"/>
                <w:szCs w:val="18"/>
              </w:rPr>
            </w:pPr>
            <w:r w:rsidRPr="00D135AC">
              <w:rPr>
                <w:sz w:val="18"/>
                <w:szCs w:val="18"/>
              </w:rPr>
              <w:t>% of working age population with no qualifications</w:t>
            </w:r>
          </w:p>
          <w:p w14:paraId="76EC6855" w14:textId="77777777" w:rsidR="009D6DB1" w:rsidRPr="00D135AC" w:rsidRDefault="009D6DB1" w:rsidP="000A2096">
            <w:pPr>
              <w:pStyle w:val="TableBullet"/>
              <w:keepNext/>
              <w:rPr>
                <w:sz w:val="18"/>
                <w:szCs w:val="18"/>
              </w:rPr>
            </w:pPr>
            <w:r w:rsidRPr="00D135AC">
              <w:rPr>
                <w:sz w:val="18"/>
                <w:szCs w:val="18"/>
              </w:rPr>
              <w:t>Proportion of children in working age families receiving key benefits</w:t>
            </w:r>
          </w:p>
          <w:p w14:paraId="76EC6856" w14:textId="2B980EA5" w:rsidR="009D6DB1" w:rsidRPr="00D135AC" w:rsidRDefault="009D6DB1" w:rsidP="000A2096">
            <w:pPr>
              <w:pStyle w:val="TableBullet"/>
              <w:keepNext/>
              <w:rPr>
                <w:sz w:val="18"/>
                <w:szCs w:val="18"/>
              </w:rPr>
            </w:pPr>
            <w:r w:rsidRPr="00D135AC">
              <w:rPr>
                <w:sz w:val="18"/>
                <w:szCs w:val="18"/>
              </w:rPr>
              <w:t>Pu</w:t>
            </w:r>
            <w:r w:rsidR="00686AC2">
              <w:rPr>
                <w:sz w:val="18"/>
                <w:szCs w:val="18"/>
              </w:rPr>
              <w:t>pils</w:t>
            </w:r>
            <w:r w:rsidRPr="00D135AC">
              <w:rPr>
                <w:sz w:val="18"/>
                <w:szCs w:val="18"/>
              </w:rPr>
              <w:t xml:space="preserve"> achieving at least Level 4 in English &amp; Maths at Key Stage 2</w:t>
            </w:r>
          </w:p>
          <w:p w14:paraId="76EC6857" w14:textId="77777777" w:rsidR="009D6DB1" w:rsidRPr="00D135AC" w:rsidRDefault="009D6DB1" w:rsidP="000A2096">
            <w:pPr>
              <w:pStyle w:val="TableBullet"/>
              <w:keepNext/>
              <w:rPr>
                <w:sz w:val="18"/>
                <w:szCs w:val="18"/>
              </w:rPr>
            </w:pPr>
            <w:r w:rsidRPr="00D135AC">
              <w:rPr>
                <w:sz w:val="18"/>
                <w:szCs w:val="18"/>
              </w:rPr>
              <w:t>Pupils achieving 5 GCSE grades A*-C in maintained schools</w:t>
            </w:r>
          </w:p>
          <w:p w14:paraId="76EC6858" w14:textId="77777777" w:rsidR="009D6DB1" w:rsidRPr="00D135AC" w:rsidRDefault="009D6DB1" w:rsidP="000A2096">
            <w:pPr>
              <w:pStyle w:val="TableBullet"/>
              <w:keepNext/>
              <w:rPr>
                <w:sz w:val="18"/>
                <w:szCs w:val="18"/>
              </w:rPr>
            </w:pPr>
            <w:r w:rsidRPr="00D135AC">
              <w:rPr>
                <w:sz w:val="18"/>
                <w:szCs w:val="18"/>
              </w:rPr>
              <w:t>1</w:t>
            </w:r>
            <w:r>
              <w:rPr>
                <w:sz w:val="18"/>
                <w:szCs w:val="18"/>
              </w:rPr>
              <w:t xml:space="preserve">9 year olds achieving NVQ Level </w:t>
            </w:r>
            <w:r w:rsidRPr="00D135AC">
              <w:rPr>
                <w:sz w:val="18"/>
                <w:szCs w:val="18"/>
              </w:rPr>
              <w:t>3 threshold</w:t>
            </w:r>
          </w:p>
          <w:p w14:paraId="76EC6859" w14:textId="77777777" w:rsidR="009D6DB1" w:rsidRPr="00D135AC" w:rsidRDefault="009D6DB1" w:rsidP="000A2096">
            <w:pPr>
              <w:pStyle w:val="TableBullet"/>
              <w:keepNext/>
              <w:rPr>
                <w:sz w:val="18"/>
                <w:szCs w:val="18"/>
              </w:rPr>
            </w:pPr>
            <w:r w:rsidRPr="00D135AC">
              <w:rPr>
                <w:sz w:val="18"/>
                <w:szCs w:val="18"/>
              </w:rPr>
              <w:t>Life expectancy – male</w:t>
            </w:r>
          </w:p>
          <w:p w14:paraId="76EC685A" w14:textId="77777777" w:rsidR="009D6DB1" w:rsidRPr="00D135AC" w:rsidRDefault="009D6DB1" w:rsidP="000A2096">
            <w:pPr>
              <w:pStyle w:val="TableBullet"/>
              <w:keepNext/>
              <w:rPr>
                <w:sz w:val="18"/>
                <w:szCs w:val="18"/>
              </w:rPr>
            </w:pPr>
            <w:r w:rsidRPr="00D135AC">
              <w:rPr>
                <w:sz w:val="18"/>
                <w:szCs w:val="18"/>
              </w:rPr>
              <w:t>Life expectancy – female</w:t>
            </w:r>
          </w:p>
          <w:p w14:paraId="76EC685B" w14:textId="77777777" w:rsidR="009D6DB1" w:rsidRPr="00D135AC" w:rsidRDefault="009D6DB1" w:rsidP="000A2096">
            <w:pPr>
              <w:pStyle w:val="TableBullet"/>
              <w:keepNext/>
              <w:rPr>
                <w:sz w:val="18"/>
                <w:szCs w:val="18"/>
              </w:rPr>
            </w:pPr>
            <w:r w:rsidRPr="00D135AC">
              <w:rPr>
                <w:sz w:val="18"/>
                <w:szCs w:val="18"/>
              </w:rPr>
              <w:t xml:space="preserve">% of children achieving a good level of development at age 5 </w:t>
            </w:r>
          </w:p>
          <w:p w14:paraId="76EC685C" w14:textId="77777777" w:rsidR="009D6DB1" w:rsidRPr="00D135AC" w:rsidRDefault="009D6DB1" w:rsidP="000A2096">
            <w:pPr>
              <w:pStyle w:val="TableBullet"/>
              <w:keepNext/>
              <w:rPr>
                <w:sz w:val="18"/>
                <w:szCs w:val="18"/>
              </w:rPr>
            </w:pPr>
            <w:r w:rsidRPr="00D135AC">
              <w:rPr>
                <w:sz w:val="18"/>
                <w:szCs w:val="18"/>
              </w:rPr>
              <w:t>Mortality rates from all circulatory diseases at ages under 75</w:t>
            </w:r>
          </w:p>
          <w:p w14:paraId="76EC685D" w14:textId="77777777" w:rsidR="009D6DB1" w:rsidRPr="00D135AC" w:rsidRDefault="009D6DB1" w:rsidP="000A2096">
            <w:pPr>
              <w:pStyle w:val="TableBullet"/>
              <w:keepNext/>
              <w:rPr>
                <w:sz w:val="18"/>
                <w:szCs w:val="18"/>
              </w:rPr>
            </w:pPr>
            <w:r w:rsidRPr="00D135AC">
              <w:rPr>
                <w:sz w:val="18"/>
                <w:szCs w:val="18"/>
              </w:rPr>
              <w:t>Recommended Adult Activity (3 times 30 minutes per week)</w:t>
            </w:r>
          </w:p>
          <w:p w14:paraId="76EC685E" w14:textId="77777777" w:rsidR="009D6DB1" w:rsidRPr="00D135AC" w:rsidRDefault="009D6DB1" w:rsidP="000A2096">
            <w:pPr>
              <w:pStyle w:val="TableBullet"/>
              <w:keepNext/>
              <w:rPr>
                <w:sz w:val="18"/>
                <w:szCs w:val="18"/>
              </w:rPr>
            </w:pPr>
            <w:r w:rsidRPr="00D135AC">
              <w:rPr>
                <w:sz w:val="18"/>
                <w:szCs w:val="18"/>
              </w:rPr>
              <w:t>Violent crime levels</w:t>
            </w:r>
          </w:p>
        </w:tc>
        <w:tc>
          <w:tcPr>
            <w:tcW w:w="4082" w:type="dxa"/>
          </w:tcPr>
          <w:p w14:paraId="76EC685F" w14:textId="77777777" w:rsidR="009D6DB1" w:rsidRPr="00D135AC" w:rsidRDefault="009D6DB1" w:rsidP="000A2096">
            <w:pPr>
              <w:pStyle w:val="TableBullet"/>
              <w:keepNext/>
              <w:rPr>
                <w:sz w:val="18"/>
                <w:szCs w:val="18"/>
              </w:rPr>
            </w:pPr>
            <w:r w:rsidRPr="00D135AC">
              <w:rPr>
                <w:sz w:val="18"/>
                <w:szCs w:val="18"/>
              </w:rPr>
              <w:t>Employment rate – aged 16-64</w:t>
            </w:r>
          </w:p>
          <w:p w14:paraId="76EC6860" w14:textId="77777777" w:rsidR="009D6DB1" w:rsidRPr="00D135AC" w:rsidRDefault="009D6DB1" w:rsidP="000A2096">
            <w:pPr>
              <w:pStyle w:val="TableBullet"/>
              <w:keepNext/>
              <w:rPr>
                <w:sz w:val="18"/>
                <w:szCs w:val="18"/>
              </w:rPr>
            </w:pPr>
            <w:r w:rsidRPr="00D135AC">
              <w:rPr>
                <w:sz w:val="18"/>
                <w:szCs w:val="18"/>
              </w:rPr>
              <w:t>Unemployment rate 16+</w:t>
            </w:r>
          </w:p>
          <w:p w14:paraId="76EC6861" w14:textId="77777777" w:rsidR="009D6DB1" w:rsidRDefault="009D6DB1" w:rsidP="000A2096">
            <w:pPr>
              <w:pStyle w:val="TableBullet"/>
              <w:keepNext/>
              <w:rPr>
                <w:sz w:val="18"/>
                <w:szCs w:val="18"/>
              </w:rPr>
            </w:pPr>
            <w:r w:rsidRPr="00D135AC">
              <w:rPr>
                <w:sz w:val="18"/>
                <w:szCs w:val="18"/>
              </w:rPr>
              <w:t>Working age population qualified to at least NVQ Level 4</w:t>
            </w:r>
          </w:p>
          <w:p w14:paraId="76EC6862" w14:textId="77777777" w:rsidR="009D6DB1" w:rsidRPr="00D135AC" w:rsidRDefault="009D6DB1" w:rsidP="000A2096">
            <w:pPr>
              <w:pStyle w:val="TableBullet"/>
              <w:keepNext/>
              <w:rPr>
                <w:sz w:val="18"/>
                <w:szCs w:val="18"/>
              </w:rPr>
            </w:pPr>
            <w:r w:rsidRPr="00D135AC">
              <w:rPr>
                <w:sz w:val="18"/>
                <w:szCs w:val="18"/>
              </w:rPr>
              <w:t>Obesity levels in school children in year 6</w:t>
            </w:r>
          </w:p>
          <w:p w14:paraId="76EC6863" w14:textId="77777777" w:rsidR="009D6DB1" w:rsidRPr="00D135AC" w:rsidRDefault="009D6DB1" w:rsidP="000A2096">
            <w:pPr>
              <w:pStyle w:val="TableBullet"/>
              <w:keepNext/>
              <w:rPr>
                <w:sz w:val="18"/>
                <w:szCs w:val="18"/>
              </w:rPr>
            </w:pPr>
            <w:r w:rsidRPr="00D135AC">
              <w:rPr>
                <w:sz w:val="18"/>
                <w:szCs w:val="18"/>
              </w:rPr>
              <w:t>No Sport or activity (0 times 30 minutes per week)</w:t>
            </w:r>
          </w:p>
          <w:p w14:paraId="76EC6864" w14:textId="77777777" w:rsidR="009D6DB1" w:rsidRPr="00D135AC" w:rsidRDefault="009D6DB1" w:rsidP="000A2096">
            <w:pPr>
              <w:pStyle w:val="TableBullet"/>
              <w:keepNext/>
              <w:numPr>
                <w:ilvl w:val="0"/>
                <w:numId w:val="0"/>
              </w:numPr>
              <w:ind w:left="227"/>
              <w:rPr>
                <w:sz w:val="18"/>
                <w:szCs w:val="18"/>
              </w:rPr>
            </w:pPr>
          </w:p>
          <w:p w14:paraId="76EC6865" w14:textId="77777777" w:rsidR="009D6DB1" w:rsidRPr="00D135AC" w:rsidRDefault="009D6DB1" w:rsidP="000A2096">
            <w:pPr>
              <w:pStyle w:val="TableText"/>
              <w:keepNext/>
              <w:rPr>
                <w:sz w:val="18"/>
                <w:szCs w:val="18"/>
              </w:rPr>
            </w:pPr>
          </w:p>
        </w:tc>
      </w:tr>
      <w:tr w:rsidR="009D6DB1" w:rsidRPr="00FA43D2" w14:paraId="76EC6869" w14:textId="77777777" w:rsidTr="00A6450A">
        <w:tc>
          <w:tcPr>
            <w:tcW w:w="4082" w:type="dxa"/>
            <w:shd w:val="clear" w:color="auto" w:fill="CCC0D9" w:themeFill="accent4" w:themeFillTint="66"/>
          </w:tcPr>
          <w:p w14:paraId="76EC6867" w14:textId="77777777" w:rsidR="009D6DB1" w:rsidRPr="00D135AC" w:rsidRDefault="0051463C" w:rsidP="000A2096">
            <w:pPr>
              <w:pStyle w:val="TableText"/>
              <w:keepNext/>
              <w:rPr>
                <w:b/>
                <w:sz w:val="18"/>
                <w:szCs w:val="18"/>
              </w:rPr>
            </w:pPr>
            <w:r>
              <w:rPr>
                <w:b/>
                <w:sz w:val="18"/>
                <w:szCs w:val="18"/>
              </w:rPr>
              <w:t>'</w:t>
            </w:r>
            <w:r w:rsidR="009D6DB1" w:rsidRPr="00D135AC">
              <w:rPr>
                <w:b/>
                <w:sz w:val="18"/>
                <w:szCs w:val="18"/>
              </w:rPr>
              <w:t>Gap</w:t>
            </w:r>
            <w:r>
              <w:rPr>
                <w:b/>
                <w:sz w:val="18"/>
                <w:szCs w:val="18"/>
              </w:rPr>
              <w:t>'</w:t>
            </w:r>
            <w:r w:rsidR="009D6DB1" w:rsidRPr="00D135AC">
              <w:rPr>
                <w:b/>
                <w:sz w:val="18"/>
                <w:szCs w:val="18"/>
              </w:rPr>
              <w:t xml:space="preserve"> increased – Convergence not on track</w:t>
            </w:r>
          </w:p>
        </w:tc>
        <w:tc>
          <w:tcPr>
            <w:tcW w:w="4082" w:type="dxa"/>
            <w:shd w:val="clear" w:color="auto" w:fill="CCC0D9" w:themeFill="accent4" w:themeFillTint="66"/>
          </w:tcPr>
          <w:p w14:paraId="76EC6868" w14:textId="77777777" w:rsidR="009D6DB1" w:rsidRPr="00D135AC" w:rsidRDefault="009D6DB1" w:rsidP="000A2096">
            <w:pPr>
              <w:pStyle w:val="TableText"/>
              <w:keepNext/>
              <w:rPr>
                <w:b/>
                <w:sz w:val="18"/>
                <w:szCs w:val="18"/>
              </w:rPr>
            </w:pPr>
            <w:r w:rsidRPr="00D135AC">
              <w:rPr>
                <w:b/>
                <w:sz w:val="18"/>
                <w:szCs w:val="18"/>
              </w:rPr>
              <w:t>New indicator – progress tracked from 2012/13</w:t>
            </w:r>
          </w:p>
        </w:tc>
      </w:tr>
      <w:tr w:rsidR="009D6DB1" w14:paraId="76EC686F" w14:textId="77777777" w:rsidTr="00A6450A">
        <w:tc>
          <w:tcPr>
            <w:tcW w:w="4082" w:type="dxa"/>
          </w:tcPr>
          <w:p w14:paraId="76EC686A" w14:textId="77777777" w:rsidR="009D6DB1" w:rsidRPr="00D135AC" w:rsidRDefault="009D6DB1" w:rsidP="000A2096">
            <w:pPr>
              <w:pStyle w:val="TableBullet"/>
              <w:keepNext/>
              <w:rPr>
                <w:sz w:val="18"/>
                <w:szCs w:val="18"/>
              </w:rPr>
            </w:pPr>
            <w:r w:rsidRPr="00D135AC">
              <w:rPr>
                <w:sz w:val="18"/>
                <w:szCs w:val="18"/>
              </w:rPr>
              <w:t>Median earning for full time workers living in the area</w:t>
            </w:r>
          </w:p>
          <w:p w14:paraId="76EC686B" w14:textId="77777777" w:rsidR="009D6DB1" w:rsidRPr="00D135AC" w:rsidRDefault="009D6DB1" w:rsidP="000A2096">
            <w:pPr>
              <w:pStyle w:val="TableBullet"/>
              <w:keepNext/>
              <w:numPr>
                <w:ilvl w:val="0"/>
                <w:numId w:val="0"/>
              </w:numPr>
              <w:rPr>
                <w:sz w:val="18"/>
                <w:szCs w:val="18"/>
              </w:rPr>
            </w:pPr>
          </w:p>
        </w:tc>
        <w:tc>
          <w:tcPr>
            <w:tcW w:w="4082" w:type="dxa"/>
          </w:tcPr>
          <w:p w14:paraId="76EC686C" w14:textId="77777777" w:rsidR="009D6DB1" w:rsidRPr="00D135AC" w:rsidRDefault="009D6DB1" w:rsidP="00A6450A">
            <w:pPr>
              <w:pStyle w:val="TableBullet"/>
              <w:rPr>
                <w:sz w:val="18"/>
                <w:szCs w:val="18"/>
              </w:rPr>
            </w:pPr>
            <w:r w:rsidRPr="00D135AC">
              <w:rPr>
                <w:sz w:val="18"/>
                <w:szCs w:val="18"/>
              </w:rPr>
              <w:t>Improved street and environmental cleanliness</w:t>
            </w:r>
          </w:p>
          <w:p w14:paraId="76EC686D" w14:textId="77777777" w:rsidR="009D6DB1" w:rsidRPr="00D135AC" w:rsidRDefault="009D6DB1" w:rsidP="00A6450A">
            <w:pPr>
              <w:pStyle w:val="TableBullet"/>
              <w:rPr>
                <w:sz w:val="18"/>
                <w:szCs w:val="18"/>
              </w:rPr>
            </w:pPr>
            <w:r w:rsidRPr="00D135AC">
              <w:rPr>
                <w:sz w:val="18"/>
                <w:szCs w:val="18"/>
              </w:rPr>
              <w:t>% of households defined as overcrowded</w:t>
            </w:r>
          </w:p>
          <w:p w14:paraId="76EC686E" w14:textId="77777777" w:rsidR="009D6DB1" w:rsidRPr="00D135AC" w:rsidRDefault="009D6DB1" w:rsidP="00A6450A">
            <w:pPr>
              <w:pStyle w:val="TableBullet"/>
              <w:rPr>
                <w:sz w:val="18"/>
                <w:szCs w:val="18"/>
              </w:rPr>
            </w:pPr>
            <w:r w:rsidRPr="00D135AC">
              <w:rPr>
                <w:sz w:val="18"/>
                <w:szCs w:val="18"/>
              </w:rPr>
              <w:t>Overall satisfaction</w:t>
            </w:r>
          </w:p>
        </w:tc>
      </w:tr>
    </w:tbl>
    <w:p w14:paraId="43078757" w14:textId="46C563B6" w:rsidR="008141EB" w:rsidRPr="00262DD3" w:rsidRDefault="008141EB" w:rsidP="008141EB">
      <w:pPr>
        <w:spacing w:before="0" w:after="0"/>
        <w:contextualSpacing/>
        <w:rPr>
          <w:i/>
          <w:sz w:val="18"/>
          <w:szCs w:val="18"/>
        </w:rPr>
      </w:pPr>
      <w:r w:rsidRPr="00262DD3">
        <w:rPr>
          <w:i/>
          <w:sz w:val="18"/>
          <w:szCs w:val="18"/>
        </w:rPr>
        <w:t xml:space="preserve">Source: Host </w:t>
      </w:r>
      <w:r>
        <w:rPr>
          <w:i/>
          <w:sz w:val="18"/>
          <w:szCs w:val="18"/>
        </w:rPr>
        <w:t>B</w:t>
      </w:r>
      <w:r w:rsidRPr="00262DD3">
        <w:rPr>
          <w:i/>
          <w:sz w:val="18"/>
          <w:szCs w:val="18"/>
        </w:rPr>
        <w:t xml:space="preserve">oroughs </w:t>
      </w:r>
      <w:r>
        <w:rPr>
          <w:i/>
          <w:sz w:val="18"/>
          <w:szCs w:val="18"/>
        </w:rPr>
        <w:t>Unit</w:t>
      </w:r>
      <w:r w:rsidR="009A43FF">
        <w:rPr>
          <w:i/>
          <w:sz w:val="18"/>
          <w:szCs w:val="18"/>
        </w:rPr>
        <w:t>.</w:t>
      </w:r>
      <w:r>
        <w:rPr>
          <w:i/>
          <w:sz w:val="18"/>
          <w:szCs w:val="18"/>
        </w:rPr>
        <w:t xml:space="preserve"> </w:t>
      </w:r>
    </w:p>
    <w:p w14:paraId="76EC6870" w14:textId="77777777" w:rsidR="0051463C" w:rsidRDefault="0051463C" w:rsidP="00DB6D75"/>
    <w:p w14:paraId="76EC6871" w14:textId="77777777" w:rsidR="006E3864" w:rsidRDefault="006E3864" w:rsidP="00C151C6"/>
    <w:p w14:paraId="76EC6872" w14:textId="6FF4426B" w:rsidR="003723D2" w:rsidRDefault="003723D2" w:rsidP="001424D8">
      <w:pPr>
        <w:pStyle w:val="Heading1"/>
      </w:pPr>
      <w:bookmarkStart w:id="34" w:name="_Toc332901267"/>
      <w:bookmarkStart w:id="35" w:name="_Toc338746880"/>
      <w:r>
        <w:lastRenderedPageBreak/>
        <w:t xml:space="preserve">Cross-cutting </w:t>
      </w:r>
      <w:r w:rsidR="00D76577">
        <w:t>themes</w:t>
      </w:r>
      <w:bookmarkEnd w:id="34"/>
      <w:bookmarkEnd w:id="35"/>
    </w:p>
    <w:p w14:paraId="76EC6873" w14:textId="77777777" w:rsidR="006E3864" w:rsidRDefault="001424D8" w:rsidP="00187ADE">
      <w:pPr>
        <w:pStyle w:val="Heading2"/>
      </w:pPr>
      <w:bookmarkStart w:id="36" w:name="_Toc332901268"/>
      <w:r w:rsidRPr="001424D8">
        <w:t>Impacts by intended target groups</w:t>
      </w:r>
      <w:bookmarkEnd w:id="36"/>
      <w:r w:rsidRPr="001424D8">
        <w:t xml:space="preserve"> </w:t>
      </w:r>
    </w:p>
    <w:p w14:paraId="76EC6874" w14:textId="429D6B08" w:rsidR="00DB6D75" w:rsidRDefault="00C47C6B" w:rsidP="00DB6D75">
      <w:pPr>
        <w:pBdr>
          <w:top w:val="single" w:sz="4" w:space="1" w:color="auto"/>
          <w:left w:val="single" w:sz="4" w:space="4" w:color="auto"/>
          <w:bottom w:val="single" w:sz="4" w:space="1" w:color="auto"/>
          <w:right w:val="single" w:sz="4" w:space="4" w:color="auto"/>
        </w:pBdr>
        <w:shd w:val="clear" w:color="auto" w:fill="CC99FF"/>
        <w:rPr>
          <w:i/>
        </w:rPr>
      </w:pPr>
      <w:r>
        <w:rPr>
          <w:i/>
        </w:rPr>
        <w:t xml:space="preserve">Cross-cutting research question: </w:t>
      </w:r>
      <w:r w:rsidR="00DB6D75" w:rsidRPr="00DB6D75">
        <w:rPr>
          <w:i/>
        </w:rPr>
        <w:t>How far have the beneficial impacts so far accrued to their intended target groups/communities (including across measures of equality, inclusion and diversity)?</w:t>
      </w:r>
    </w:p>
    <w:p w14:paraId="76EC6875" w14:textId="77777777" w:rsidR="0014169C" w:rsidRDefault="0014169C" w:rsidP="0014169C">
      <w:bookmarkStart w:id="37" w:name="_Toc332901269"/>
      <w:r>
        <w:t xml:space="preserve">In order to assess the extent to which the impacts delivered to date have accrued to their intended target groups/communities it is necessary to explore the question from two perspectives: </w:t>
      </w:r>
    </w:p>
    <w:p w14:paraId="76EC6876" w14:textId="77777777" w:rsidR="0014169C" w:rsidRDefault="0014169C" w:rsidP="0014169C">
      <w:pPr>
        <w:pStyle w:val="BulletOne"/>
      </w:pPr>
      <w:r>
        <w:t>The first is spatial, and in particular the extent to which the Games have benefited East London, London as a whole, as well as each nation and region of the UK;</w:t>
      </w:r>
    </w:p>
    <w:p w14:paraId="76EC6877" w14:textId="77777777" w:rsidR="0014169C" w:rsidRDefault="0014169C" w:rsidP="0014169C">
      <w:pPr>
        <w:pStyle w:val="BulletOne"/>
      </w:pPr>
      <w:r>
        <w:t>The second is from the perspective of equality, inclusion and diversity and the extent to which the Games have benefited particular groups.</w:t>
      </w:r>
    </w:p>
    <w:p w14:paraId="76EC6878" w14:textId="34AC5FE7" w:rsidR="0014169C" w:rsidRDefault="0014169C" w:rsidP="0014169C">
      <w:r>
        <w:t>In terms of the spatial distribution</w:t>
      </w:r>
      <w:r w:rsidR="005821F0">
        <w:t xml:space="preserve">, the results from our </w:t>
      </w:r>
      <w:r>
        <w:t xml:space="preserve">economic modelling </w:t>
      </w:r>
      <w:r w:rsidR="005821F0">
        <w:t xml:space="preserve">indicate that </w:t>
      </w:r>
      <w:r w:rsidR="00D76577">
        <w:t xml:space="preserve">net </w:t>
      </w:r>
      <w:r>
        <w:t xml:space="preserve">economic benefits </w:t>
      </w:r>
      <w:r w:rsidR="005821F0">
        <w:t xml:space="preserve">from </w:t>
      </w:r>
      <w:r>
        <w:t xml:space="preserve">the </w:t>
      </w:r>
      <w:r w:rsidR="005821F0">
        <w:t xml:space="preserve">2012 </w:t>
      </w:r>
      <w:r>
        <w:t xml:space="preserve">Games have </w:t>
      </w:r>
      <w:r w:rsidR="005821F0">
        <w:t xml:space="preserve">accrued to </w:t>
      </w:r>
      <w:r>
        <w:t xml:space="preserve">all of the UK's nations and regions. London has enjoyed the greatest benefits, with </w:t>
      </w:r>
      <w:r w:rsidR="00D76577">
        <w:t>39,500</w:t>
      </w:r>
      <w:r>
        <w:t xml:space="preserve"> job years of </w:t>
      </w:r>
      <w:r w:rsidR="00D76577">
        <w:t xml:space="preserve">net </w:t>
      </w:r>
      <w:r>
        <w:t>employment and an additional £</w:t>
      </w:r>
      <w:r w:rsidR="00D76577">
        <w:t>2.8</w:t>
      </w:r>
      <w:r>
        <w:t xml:space="preserve"> billion of </w:t>
      </w:r>
      <w:r w:rsidR="00D76577">
        <w:t xml:space="preserve">net </w:t>
      </w:r>
      <w:r>
        <w:t xml:space="preserve">GVA generated, and Northern Ireland the least (although it has still benefited from </w:t>
      </w:r>
      <w:r w:rsidR="00D76577">
        <w:t>2</w:t>
      </w:r>
      <w:r>
        <w:t>,</w:t>
      </w:r>
      <w:r w:rsidR="00D76577">
        <w:t>7</w:t>
      </w:r>
      <w:r>
        <w:t xml:space="preserve">00 job years of </w:t>
      </w:r>
      <w:r w:rsidR="00D76577">
        <w:t xml:space="preserve">net </w:t>
      </w:r>
      <w:r>
        <w:t>employment and £</w:t>
      </w:r>
      <w:r w:rsidR="00D76577">
        <w:t>8</w:t>
      </w:r>
      <w:r>
        <w:t xml:space="preserve">0 million of </w:t>
      </w:r>
      <w:r w:rsidR="00D76577">
        <w:t xml:space="preserve">net </w:t>
      </w:r>
      <w:r>
        <w:t xml:space="preserve">additional GVA). </w:t>
      </w:r>
    </w:p>
    <w:p w14:paraId="76EC6879" w14:textId="53E7FD3B" w:rsidR="0014169C" w:rsidRDefault="0014169C" w:rsidP="0014169C">
      <w:r>
        <w:t xml:space="preserve">The nations and regions have also benefited from the local delivery of a number of activities and legacy programmes related to the Games. This includes programmes delivered by Sport England, such as Places People Play and the School Games, the LOCOG Inspire Programme and the </w:t>
      </w:r>
      <w:r w:rsidR="005821F0">
        <w:t>PGTCs</w:t>
      </w:r>
      <w:r>
        <w:t>.</w:t>
      </w:r>
      <w:r w:rsidR="00B73D10">
        <w:t xml:space="preserve"> </w:t>
      </w:r>
      <w:r>
        <w:t>Across all of the nations and regions these activities have provided a range of opportunities for young people and adults to engage with the Games; participate in sport, physical activity and culture; as well as providing significant investment in sporting facilities throughout the UK.</w:t>
      </w:r>
    </w:p>
    <w:p w14:paraId="76EC687A" w14:textId="77777777" w:rsidR="0014169C" w:rsidRDefault="0014169C" w:rsidP="0014169C">
      <w:r>
        <w:t xml:space="preserve">Within London, </w:t>
      </w:r>
      <w:r w:rsidR="00A91D36">
        <w:t>h</w:t>
      </w:r>
      <w:r>
        <w:t xml:space="preserve">ost </w:t>
      </w:r>
      <w:r w:rsidR="00A91D36">
        <w:t>b</w:t>
      </w:r>
      <w:r>
        <w:t>orough residents have already experienced a significant number of benefits. These include:</w:t>
      </w:r>
    </w:p>
    <w:p w14:paraId="76EC687B" w14:textId="77777777" w:rsidR="0014169C" w:rsidRDefault="0014169C" w:rsidP="0014169C">
      <w:pPr>
        <w:pStyle w:val="BulletOne"/>
      </w:pPr>
      <w:r>
        <w:t xml:space="preserve">Transport improvements, such as the doubling of the capacity of Stratford station; </w:t>
      </w:r>
    </w:p>
    <w:p w14:paraId="76EC687C" w14:textId="77777777" w:rsidR="0014169C" w:rsidRDefault="0014169C" w:rsidP="0014169C">
      <w:pPr>
        <w:pStyle w:val="BulletOne"/>
      </w:pPr>
      <w:r>
        <w:t xml:space="preserve">Improvements to the public realm, such as town square improvements; </w:t>
      </w:r>
    </w:p>
    <w:p w14:paraId="76EC687D" w14:textId="4112E113" w:rsidR="0014169C" w:rsidRDefault="0014169C" w:rsidP="0014169C">
      <w:pPr>
        <w:pStyle w:val="BulletOne"/>
      </w:pPr>
      <w:r>
        <w:t xml:space="preserve">Development of </w:t>
      </w:r>
      <w:r w:rsidR="00BE694F">
        <w:t xml:space="preserve">the </w:t>
      </w:r>
      <w:r>
        <w:t>Westfield shopping centre;</w:t>
      </w:r>
    </w:p>
    <w:p w14:paraId="76EC687E" w14:textId="30A497B4" w:rsidR="0014169C" w:rsidRDefault="0014169C" w:rsidP="0014169C">
      <w:pPr>
        <w:pStyle w:val="BulletOne"/>
      </w:pPr>
      <w:r>
        <w:t xml:space="preserve">Construction of the Olympic Park; </w:t>
      </w:r>
    </w:p>
    <w:p w14:paraId="76EC687F" w14:textId="05EA91E2" w:rsidR="0014169C" w:rsidRDefault="0014169C" w:rsidP="0014169C">
      <w:pPr>
        <w:pStyle w:val="BulletOne"/>
      </w:pPr>
      <w:r>
        <w:t>Employment opportunities, a notable proportion of which will have benefited workless Londoners (</w:t>
      </w:r>
      <w:proofErr w:type="spellStart"/>
      <w:r w:rsidR="00BE694F">
        <w:t>eg</w:t>
      </w:r>
      <w:proofErr w:type="spellEnd"/>
      <w:r w:rsidR="00BE694F">
        <w:t xml:space="preserve"> </w:t>
      </w:r>
      <w:r>
        <w:t xml:space="preserve">37% of </w:t>
      </w:r>
      <w:r w:rsidR="00A91D36">
        <w:t>h</w:t>
      </w:r>
      <w:r>
        <w:t xml:space="preserve">ost </w:t>
      </w:r>
      <w:r w:rsidR="00A91D36">
        <w:t>b</w:t>
      </w:r>
      <w:r>
        <w:t>orough beneficiaries of the LEST programme had never been in paid work before).</w:t>
      </w:r>
    </w:p>
    <w:p w14:paraId="6D10CEB9" w14:textId="2BA9DE0E" w:rsidR="00B2403E" w:rsidRDefault="0014169C" w:rsidP="0014169C">
      <w:r>
        <w:t xml:space="preserve">In terms of how the 2012 Games have impacted on different target groups to date, the evidence points to a range of benefits. </w:t>
      </w:r>
      <w:r w:rsidR="0072730A">
        <w:t xml:space="preserve">The Taking Part </w:t>
      </w:r>
      <w:r w:rsidR="008B124B">
        <w:t>s</w:t>
      </w:r>
      <w:r w:rsidR="0072730A">
        <w:t>urvey shows that</w:t>
      </w:r>
      <w:r w:rsidR="00694309" w:rsidRPr="0072730A">
        <w:t xml:space="preserve"> those from a black and minority e</w:t>
      </w:r>
      <w:r w:rsidR="0038084B" w:rsidRPr="0072730A">
        <w:t xml:space="preserve">thnic </w:t>
      </w:r>
      <w:r w:rsidR="00694309" w:rsidRPr="0072730A">
        <w:t>group</w:t>
      </w:r>
      <w:r w:rsidR="0038084B" w:rsidRPr="0072730A">
        <w:t xml:space="preserve"> </w:t>
      </w:r>
      <w:r w:rsidR="003875F8" w:rsidRPr="0072730A">
        <w:t>taking part in sport and physical recreational activity, cultural activity or voluntary work</w:t>
      </w:r>
      <w:r w:rsidR="0038084B" w:rsidRPr="0072730A">
        <w:t xml:space="preserve"> are around 3 times more</w:t>
      </w:r>
      <w:r w:rsidR="0072730A">
        <w:t xml:space="preserve"> likely to be</w:t>
      </w:r>
      <w:r w:rsidR="0038084B" w:rsidRPr="0072730A">
        <w:t xml:space="preserve"> motivated </w:t>
      </w:r>
      <w:r w:rsidR="003875F8" w:rsidRPr="0072730A">
        <w:t xml:space="preserve">to do more </w:t>
      </w:r>
      <w:r w:rsidR="0038084B" w:rsidRPr="0072730A">
        <w:t>by the Games</w:t>
      </w:r>
      <w:r w:rsidR="00C555D0">
        <w:t xml:space="preserve"> </w:t>
      </w:r>
      <w:r w:rsidR="00C555D0" w:rsidRPr="00C555D0">
        <w:t xml:space="preserve"> than the general population.</w:t>
      </w:r>
      <w:r w:rsidR="003875F8" w:rsidRPr="0072730A">
        <w:t xml:space="preserve"> </w:t>
      </w:r>
      <w:r w:rsidR="0072730A">
        <w:t xml:space="preserve">Young people are also more likely to say they have increased their participation in those activities as a result of the Games, </w:t>
      </w:r>
      <w:r w:rsidR="00C555D0" w:rsidRPr="00C555D0">
        <w:t>with 14.7% of 16-24 year olds motivated to do more sport or recreational activity and 13.9% motivated to do more voluntary work</w:t>
      </w:r>
      <w:r w:rsidR="00C555D0">
        <w:t>,</w:t>
      </w:r>
      <w:r w:rsidR="00C555D0" w:rsidRPr="00C555D0">
        <w:t xml:space="preserve"> </w:t>
      </w:r>
      <w:r w:rsidR="0072730A">
        <w:t xml:space="preserve">supporting the Games </w:t>
      </w:r>
      <w:r w:rsidR="00BE694F">
        <w:t xml:space="preserve">vision to </w:t>
      </w:r>
      <w:r w:rsidR="00AE20E6">
        <w:t>"</w:t>
      </w:r>
      <w:r w:rsidR="0072730A" w:rsidRPr="00657D47">
        <w:rPr>
          <w:i/>
        </w:rPr>
        <w:t>inspire a generation</w:t>
      </w:r>
      <w:r w:rsidR="00AE20E6" w:rsidRPr="00657D47">
        <w:t>"</w:t>
      </w:r>
      <w:r w:rsidR="0072730A">
        <w:t>.</w:t>
      </w:r>
    </w:p>
    <w:p w14:paraId="76EC6880" w14:textId="7C1E0445" w:rsidR="0014169C" w:rsidRDefault="0072730A" w:rsidP="0014169C">
      <w:r>
        <w:t xml:space="preserve">The same questions from </w:t>
      </w:r>
      <w:r w:rsidR="001D35FB">
        <w:t xml:space="preserve">the </w:t>
      </w:r>
      <w:r>
        <w:t>Taking Part</w:t>
      </w:r>
      <w:r w:rsidR="001D35FB">
        <w:t xml:space="preserve"> </w:t>
      </w:r>
      <w:r w:rsidR="008B124B">
        <w:t>s</w:t>
      </w:r>
      <w:r w:rsidR="001D35FB">
        <w:t>urvey</w:t>
      </w:r>
      <w:r>
        <w:t xml:space="preserve"> indicate that disabled people are </w:t>
      </w:r>
      <w:r w:rsidR="001D35FB">
        <w:t xml:space="preserve">less </w:t>
      </w:r>
      <w:proofErr w:type="gramStart"/>
      <w:r w:rsidR="001D35FB">
        <w:t xml:space="preserve">likely </w:t>
      </w:r>
      <w:r w:rsidR="00C555D0" w:rsidRPr="00C555D0">
        <w:t xml:space="preserve"> than</w:t>
      </w:r>
      <w:proofErr w:type="gramEnd"/>
      <w:r w:rsidR="00C555D0" w:rsidRPr="00C555D0">
        <w:t xml:space="preserve"> the general population </w:t>
      </w:r>
      <w:r w:rsidR="001D35FB">
        <w:t>to say the Games have</w:t>
      </w:r>
      <w:r>
        <w:t xml:space="preserve"> motivated them to do more </w:t>
      </w:r>
      <w:r w:rsidR="001D35FB">
        <w:t xml:space="preserve">sport and </w:t>
      </w:r>
      <w:r>
        <w:t>physical activity</w:t>
      </w:r>
      <w:r w:rsidR="00C555D0">
        <w:t xml:space="preserve">, though </w:t>
      </w:r>
      <w:r w:rsidR="00C555D0" w:rsidRPr="00C555D0">
        <w:t>4.5% of disabled people participating still say the Games has motivated them to do more</w:t>
      </w:r>
      <w:r w:rsidR="001D35FB">
        <w:t xml:space="preserve">. </w:t>
      </w:r>
      <w:r w:rsidR="00C555D0">
        <w:t>B</w:t>
      </w:r>
      <w:r w:rsidR="001D35FB">
        <w:t xml:space="preserve">enefits to disabled people have been identified from a number of specific schemes. </w:t>
      </w:r>
      <w:r w:rsidR="0014169C">
        <w:t xml:space="preserve">For example: </w:t>
      </w:r>
    </w:p>
    <w:p w14:paraId="76EC6881" w14:textId="4BCFFD47" w:rsidR="0014169C" w:rsidRDefault="0014169C" w:rsidP="0014169C">
      <w:pPr>
        <w:pStyle w:val="BulletOne"/>
      </w:pPr>
      <w:r>
        <w:lastRenderedPageBreak/>
        <w:t xml:space="preserve">5.9% of those who engaged in </w:t>
      </w:r>
      <w:proofErr w:type="spellStart"/>
      <w:r>
        <w:t>Sportivate</w:t>
      </w:r>
      <w:proofErr w:type="spellEnd"/>
      <w:r>
        <w:t xml:space="preserve">, a nationwide campaign to provide teenagers and young adults (14-25) with coaching in a sport of their choice, identified themselves as </w:t>
      </w:r>
      <w:r w:rsidR="009756E2">
        <w:t>disabled</w:t>
      </w:r>
      <w:r>
        <w:t>;</w:t>
      </w:r>
    </w:p>
    <w:p w14:paraId="76EC6882" w14:textId="49C1BEF3" w:rsidR="0014169C" w:rsidRDefault="0014169C" w:rsidP="0014169C">
      <w:pPr>
        <w:pStyle w:val="BulletOne"/>
      </w:pPr>
      <w:r>
        <w:t xml:space="preserve">Participation by disabled people is seen as a priority for both School Games and Places People Play. The latter has dedicated £8 million of funding to tackling barriers faced by disabled people; </w:t>
      </w:r>
    </w:p>
    <w:p w14:paraId="76EC6883" w14:textId="77777777" w:rsidR="0014169C" w:rsidRDefault="0014169C" w:rsidP="0014169C">
      <w:pPr>
        <w:pStyle w:val="BulletOne"/>
      </w:pPr>
      <w:r>
        <w:t xml:space="preserve">International Inspiration activities have focused on engaging women and disabled people. </w:t>
      </w:r>
    </w:p>
    <w:p w14:paraId="76EC6884" w14:textId="77777777" w:rsidR="0014169C" w:rsidRDefault="0014169C" w:rsidP="0014169C">
      <w:pPr>
        <w:pStyle w:val="BulletOne"/>
        <w:numPr>
          <w:ilvl w:val="0"/>
          <w:numId w:val="0"/>
        </w:numPr>
      </w:pPr>
      <w:r>
        <w:t>The evidence also points to engagement with and participation by young people. For example, the Get Set Programme, designed for schools and colleges to use the Games to enhance their learning experience, has engaged with a high proportion of eligible establishments (82% of the target).</w:t>
      </w:r>
    </w:p>
    <w:p w14:paraId="76EC6885" w14:textId="77777777" w:rsidR="0014169C" w:rsidRDefault="0014169C" w:rsidP="0014169C">
      <w:r>
        <w:t>Equality and inclusion have also been important components in the design and construction of the Olympic Park. For instance:</w:t>
      </w:r>
    </w:p>
    <w:p w14:paraId="76EC6886" w14:textId="7B3D4C8B" w:rsidR="0014169C" w:rsidRDefault="0014169C" w:rsidP="0014169C">
      <w:pPr>
        <w:pStyle w:val="BulletOne"/>
      </w:pPr>
      <w:r>
        <w:t xml:space="preserve">The ODA, LLDC </w:t>
      </w:r>
      <w:r w:rsidRPr="00F74ECE">
        <w:rPr>
          <w:szCs w:val="22"/>
        </w:rPr>
        <w:t xml:space="preserve">and </w:t>
      </w:r>
      <w:r w:rsidRPr="00F74ECE">
        <w:rPr>
          <w:rFonts w:cs="Arial"/>
          <w:color w:val="000000"/>
          <w:szCs w:val="22"/>
          <w:lang w:val="en"/>
        </w:rPr>
        <w:t xml:space="preserve">LOCOG </w:t>
      </w:r>
      <w:r w:rsidRPr="00F74ECE">
        <w:rPr>
          <w:szCs w:val="22"/>
        </w:rPr>
        <w:t>have considered accessibility issues for</w:t>
      </w:r>
      <w:r>
        <w:t xml:space="preserve"> participants and spectators in venue design; </w:t>
      </w:r>
    </w:p>
    <w:p w14:paraId="76EC6887" w14:textId="77777777" w:rsidR="0014169C" w:rsidRDefault="0014169C" w:rsidP="0014169C">
      <w:pPr>
        <w:pStyle w:val="BulletOne"/>
      </w:pPr>
      <w:r>
        <w:t xml:space="preserve">The ODA Job Brokerage programme has performed well for different equality groups in terms of those recruited to work on the construction of the Olympic Park: </w:t>
      </w:r>
    </w:p>
    <w:p w14:paraId="76EC6888" w14:textId="77777777" w:rsidR="0014169C" w:rsidRDefault="0014169C" w:rsidP="0014169C">
      <w:pPr>
        <w:pStyle w:val="BulletTwo"/>
      </w:pPr>
      <w:r>
        <w:t>17% of recruits were women, against a target of 11%;</w:t>
      </w:r>
    </w:p>
    <w:p w14:paraId="76EC6889" w14:textId="77777777" w:rsidR="0014169C" w:rsidRDefault="0014169C" w:rsidP="0014169C">
      <w:pPr>
        <w:pStyle w:val="BulletTwo"/>
      </w:pPr>
      <w:r>
        <w:t xml:space="preserve">6% were disabled people, against a target of 3%; </w:t>
      </w:r>
    </w:p>
    <w:p w14:paraId="76EC688A" w14:textId="0F037D62" w:rsidR="0014169C" w:rsidRDefault="0014169C" w:rsidP="0014169C">
      <w:pPr>
        <w:pStyle w:val="BulletTwo"/>
      </w:pPr>
      <w:r>
        <w:t>60% were BAME, against a target of 1</w:t>
      </w:r>
      <w:r w:rsidR="00A73360">
        <w:t>5</w:t>
      </w:r>
      <w:r>
        <w:t xml:space="preserve">%. </w:t>
      </w:r>
    </w:p>
    <w:p w14:paraId="76EC688B" w14:textId="77777777" w:rsidR="00BF37F1" w:rsidRPr="00601606" w:rsidRDefault="00BF37F1" w:rsidP="00187ADE">
      <w:pPr>
        <w:pStyle w:val="Heading2"/>
      </w:pPr>
      <w:r w:rsidRPr="00601606">
        <w:t xml:space="preserve">Disability </w:t>
      </w:r>
    </w:p>
    <w:p w14:paraId="76EC688C" w14:textId="77777777" w:rsidR="00BF37F1" w:rsidRPr="00601606" w:rsidRDefault="00BF37F1" w:rsidP="00BF37F1">
      <w:pPr>
        <w:pBdr>
          <w:top w:val="single" w:sz="4" w:space="1" w:color="auto"/>
          <w:left w:val="single" w:sz="4" w:space="4" w:color="auto"/>
          <w:bottom w:val="single" w:sz="4" w:space="1" w:color="auto"/>
          <w:right w:val="single" w:sz="4" w:space="4" w:color="auto"/>
        </w:pBdr>
        <w:shd w:val="clear" w:color="auto" w:fill="CC99FF"/>
        <w:rPr>
          <w:i/>
        </w:rPr>
      </w:pPr>
      <w:r w:rsidRPr="00601606">
        <w:rPr>
          <w:i/>
        </w:rPr>
        <w:t xml:space="preserve">Cross-cutting research question: How far have the Games changed attitudes to disability, and increased the participation of disabled people in sport, the economy, volunteering and culture? </w:t>
      </w:r>
    </w:p>
    <w:p w14:paraId="76EC688D" w14:textId="77777777" w:rsidR="00BF37F1" w:rsidRDefault="00BF37F1" w:rsidP="00BF37F1">
      <w:r w:rsidRPr="00601606">
        <w:t xml:space="preserve">The </w:t>
      </w:r>
      <w:r>
        <w:t xml:space="preserve">evidence </w:t>
      </w:r>
      <w:r w:rsidRPr="00601606">
        <w:t>available at this stage</w:t>
      </w:r>
      <w:r>
        <w:t xml:space="preserve"> suggests that some progress has been made in terms of increasing the participation of disabled people: </w:t>
      </w:r>
    </w:p>
    <w:p w14:paraId="76EC688E" w14:textId="21EE5DF0" w:rsidR="00BF37F1" w:rsidRDefault="00BF37F1" w:rsidP="00BF37F1">
      <w:pPr>
        <w:numPr>
          <w:ilvl w:val="0"/>
          <w:numId w:val="43"/>
        </w:numPr>
        <w:tabs>
          <w:tab w:val="clear" w:pos="720"/>
          <w:tab w:val="num" w:pos="342"/>
        </w:tabs>
        <w:ind w:left="342" w:hanging="513"/>
      </w:pPr>
      <w:r>
        <w:t xml:space="preserve">The British Paralympic Association believes that the 2012 Games </w:t>
      </w:r>
      <w:proofErr w:type="gramStart"/>
      <w:r>
        <w:t>has</w:t>
      </w:r>
      <w:proofErr w:type="gramEnd"/>
      <w:r>
        <w:t xml:space="preserve"> helped to change attitudes by increasing awareness of the Paralympics. Monitoring data suggests that there has been an increase in opportunities for disabled people to take part in sport, for example through </w:t>
      </w:r>
      <w:proofErr w:type="spellStart"/>
      <w:r>
        <w:t>Sportivate</w:t>
      </w:r>
      <w:proofErr w:type="spellEnd"/>
      <w:r>
        <w:t xml:space="preserve"> sessions and</w:t>
      </w:r>
      <w:r w:rsidR="003E66EF">
        <w:t xml:space="preserve"> </w:t>
      </w:r>
      <w:r w:rsidR="00BE694F">
        <w:t xml:space="preserve">£8 million of </w:t>
      </w:r>
      <w:r>
        <w:t xml:space="preserve">Places People Play funding </w:t>
      </w:r>
      <w:r w:rsidR="003E66EF">
        <w:t xml:space="preserve">(as noted in Section 8.1) </w:t>
      </w:r>
      <w:r>
        <w:t>has been allocated to removing the barriers faced by disabled peop</w:t>
      </w:r>
      <w:r w:rsidR="00A34971">
        <w:t>le when participating in sport;</w:t>
      </w:r>
    </w:p>
    <w:p w14:paraId="07920CA2" w14:textId="05689DC3" w:rsidR="008141EB" w:rsidRDefault="00BF37F1" w:rsidP="00085897">
      <w:pPr>
        <w:numPr>
          <w:ilvl w:val="0"/>
          <w:numId w:val="43"/>
        </w:numPr>
        <w:tabs>
          <w:tab w:val="clear" w:pos="720"/>
          <w:tab w:val="num" w:pos="342"/>
        </w:tabs>
        <w:ind w:left="342" w:hanging="484"/>
      </w:pPr>
      <w:r>
        <w:t>Equality and inclusion was an important consideration in venue design and build, with consideration of accessibility issues for par</w:t>
      </w:r>
      <w:r w:rsidR="00A34971">
        <w:t>ticipants and spectators alike;</w:t>
      </w:r>
    </w:p>
    <w:p w14:paraId="76EC6890" w14:textId="73802747" w:rsidR="00BF37F1" w:rsidRDefault="00BF37F1" w:rsidP="00085897">
      <w:pPr>
        <w:numPr>
          <w:ilvl w:val="0"/>
          <w:numId w:val="43"/>
        </w:numPr>
        <w:tabs>
          <w:tab w:val="clear" w:pos="720"/>
          <w:tab w:val="num" w:pos="342"/>
        </w:tabs>
        <w:ind w:left="342" w:hanging="484"/>
      </w:pPr>
      <w:r>
        <w:t>London</w:t>
      </w:r>
      <w:r w:rsidR="002A073A">
        <w:t>'</w:t>
      </w:r>
      <w:r>
        <w:t xml:space="preserve">s staging of the Games helped to </w:t>
      </w:r>
      <w:r w:rsidR="002F3BE0" w:rsidRPr="002F3BE0">
        <w:t xml:space="preserve">prompt or </w:t>
      </w:r>
      <w:r>
        <w:t>bring forward improvements in accessibility for disabled p</w:t>
      </w:r>
      <w:r w:rsidR="00A34971">
        <w:t>eople on the transport network</w:t>
      </w:r>
      <w:r w:rsidR="002F3BE0">
        <w:t xml:space="preserve"> (</w:t>
      </w:r>
      <w:proofErr w:type="spellStart"/>
      <w:r w:rsidR="002F3BE0">
        <w:t>eg</w:t>
      </w:r>
      <w:proofErr w:type="spellEnd"/>
      <w:r w:rsidR="002F3BE0">
        <w:t xml:space="preserve"> </w:t>
      </w:r>
      <w:r w:rsidR="002F3BE0" w:rsidRPr="002F3BE0">
        <w:t>step free access at a number of underground stations including Kings Cross and Green Park</w:t>
      </w:r>
      <w:r w:rsidR="002F3BE0">
        <w:t>)</w:t>
      </w:r>
      <w:r w:rsidR="00A34971">
        <w:t>;</w:t>
      </w:r>
    </w:p>
    <w:p w14:paraId="76EC6891" w14:textId="5CE3744A" w:rsidR="00BF37F1" w:rsidRDefault="00BE694F" w:rsidP="00BF37F1">
      <w:pPr>
        <w:numPr>
          <w:ilvl w:val="0"/>
          <w:numId w:val="43"/>
        </w:numPr>
        <w:tabs>
          <w:tab w:val="clear" w:pos="720"/>
          <w:tab w:val="num" w:pos="342"/>
        </w:tabs>
        <w:ind w:left="342" w:hanging="513"/>
      </w:pPr>
      <w:r>
        <w:t xml:space="preserve">A total of </w:t>
      </w:r>
      <w:r w:rsidR="00BF37F1">
        <w:t xml:space="preserve">6% of LOCOG's paid workforce were disabled which is at the upper end of the target of </w:t>
      </w:r>
      <w:r>
        <w:t xml:space="preserve"> </w:t>
      </w:r>
      <w:r w:rsidR="00BF37F1">
        <w:t>3-6% and the proportion of disabled people placed into work by the ODA</w:t>
      </w:r>
      <w:r w:rsidR="002A073A">
        <w:t>'</w:t>
      </w:r>
      <w:r w:rsidR="00BF37F1">
        <w:t xml:space="preserve">s Jobs Brokerage was also 6% (against a target of 3%). </w:t>
      </w:r>
      <w:r>
        <w:t>D</w:t>
      </w:r>
      <w:r w:rsidR="00BF37F1">
        <w:t xml:space="preserve">isabled people have </w:t>
      </w:r>
      <w:r>
        <w:t xml:space="preserve">also </w:t>
      </w:r>
      <w:r w:rsidR="00BF37F1">
        <w:t>benefited from Games-related employability and skills projects, although further research would be required to assess how far this participation has</w:t>
      </w:r>
      <w:r w:rsidR="00A34971">
        <w:t xml:space="preserve"> led to sustainable employment;</w:t>
      </w:r>
    </w:p>
    <w:p w14:paraId="76EC6892" w14:textId="39414989" w:rsidR="00BF37F1" w:rsidRDefault="00BF37F1" w:rsidP="00BF37F1">
      <w:pPr>
        <w:numPr>
          <w:ilvl w:val="0"/>
          <w:numId w:val="43"/>
        </w:numPr>
        <w:tabs>
          <w:tab w:val="clear" w:pos="720"/>
          <w:tab w:val="num" w:pos="342"/>
        </w:tabs>
        <w:ind w:left="342" w:hanging="513"/>
      </w:pPr>
      <w:r>
        <w:t>The Games provided numerous opportunities for disabled people to get involved in events and activities in their local communities. The forthcoming Cultural Olympiad evaluation would be expected to give an insight into how successful this activity has be</w:t>
      </w:r>
      <w:r w:rsidR="00A34971">
        <w:t>en at engaging disabled people;</w:t>
      </w:r>
    </w:p>
    <w:p w14:paraId="76EC6893" w14:textId="5EA8D1CD" w:rsidR="00BF37F1" w:rsidRDefault="00BF37F1" w:rsidP="00BF37F1">
      <w:pPr>
        <w:numPr>
          <w:ilvl w:val="0"/>
          <w:numId w:val="43"/>
        </w:numPr>
        <w:tabs>
          <w:tab w:val="clear" w:pos="720"/>
          <w:tab w:val="num" w:pos="342"/>
        </w:tabs>
        <w:ind w:left="342" w:hanging="513"/>
      </w:pPr>
      <w:r>
        <w:lastRenderedPageBreak/>
        <w:t xml:space="preserve">The specially commissioned </w:t>
      </w:r>
      <w:r w:rsidR="008B124B">
        <w:t>host borough</w:t>
      </w:r>
      <w:r w:rsidR="00C34219">
        <w:t>s</w:t>
      </w:r>
      <w:r w:rsidR="008B124B">
        <w:t xml:space="preserve"> </w:t>
      </w:r>
      <w:r>
        <w:t xml:space="preserve">survey of </w:t>
      </w:r>
      <w:r w:rsidR="008B124B">
        <w:t xml:space="preserve">residents </w:t>
      </w:r>
      <w:r>
        <w:t xml:space="preserve">explored the influence of the Games on participation. </w:t>
      </w:r>
      <w:r w:rsidR="00D408F4">
        <w:t xml:space="preserve">13% </w:t>
      </w:r>
      <w:r>
        <w:t xml:space="preserve">of respondents reported having a </w:t>
      </w:r>
      <w:r w:rsidR="002A073A">
        <w:t>'</w:t>
      </w:r>
      <w:r>
        <w:t>longstanding illness disability or infirmity</w:t>
      </w:r>
      <w:r w:rsidR="002A073A">
        <w:t>'</w:t>
      </w:r>
      <w:r>
        <w:t>. Within this group the influence of the Games was most apparent in terms of participation in sport</w:t>
      </w:r>
      <w:r w:rsidR="00C62D5F">
        <w:t xml:space="preserve">. Although the sample size is clearly small, some </w:t>
      </w:r>
      <w:r>
        <w:t>47% (77) had done some form of sport or recreational physical activity in the past 12 months; 18% (15) of whom stated that hosting the Games had encouraged them to do more</w:t>
      </w:r>
      <w:r w:rsidR="00BE6AF0">
        <w:t>.</w:t>
      </w:r>
      <w:r w:rsidR="00C62D5F">
        <w:t xml:space="preserve"> </w:t>
      </w:r>
      <w:r>
        <w:t>A lower level of influence was reported in relation to participation in cultural activity and volunteering.</w:t>
      </w:r>
    </w:p>
    <w:p w14:paraId="76EC6894" w14:textId="0376A97C" w:rsidR="00BF37F1" w:rsidRDefault="00946EBA" w:rsidP="00981496">
      <w:r>
        <w:t>In addition</w:t>
      </w:r>
      <w:r w:rsidR="00BE694F">
        <w:t>,</w:t>
      </w:r>
      <w:r>
        <w:t xml:space="preserve"> t</w:t>
      </w:r>
      <w:r w:rsidR="00BF37F1">
        <w:t>here are a number of examples of Games-related projects and activit</w:t>
      </w:r>
      <w:r w:rsidR="008F561D">
        <w:t>ies</w:t>
      </w:r>
      <w:r w:rsidR="00BF37F1">
        <w:t xml:space="preserve"> which have sought to influence attitudes towards disability, including programmes on disability and disability sports which were broadcast on Channel 4 in the lead up to the Games. </w:t>
      </w:r>
    </w:p>
    <w:p w14:paraId="76EC6895" w14:textId="77777777" w:rsidR="00BF37F1" w:rsidRDefault="00BF37F1" w:rsidP="00BF37F1">
      <w:r>
        <w:t xml:space="preserve">Evidence on the extent to which the 2012 Games have changed attitudes towards and perceptions of disability will be provided by a specially commissioned module of the British Social Attitudes survey which is being undertaken during 2012. </w:t>
      </w:r>
    </w:p>
    <w:p w14:paraId="76EC6896" w14:textId="77777777" w:rsidR="002C7D43" w:rsidRPr="003723D2" w:rsidRDefault="002C7D43" w:rsidP="00187ADE">
      <w:pPr>
        <w:pStyle w:val="Heading2"/>
      </w:pPr>
      <w:r w:rsidRPr="003723D2">
        <w:t xml:space="preserve">Sustainable development </w:t>
      </w:r>
    </w:p>
    <w:p w14:paraId="76EC6897" w14:textId="77777777" w:rsidR="002C7D43" w:rsidRPr="002670A4" w:rsidRDefault="002C7D43" w:rsidP="002C7D43">
      <w:pPr>
        <w:pBdr>
          <w:top w:val="single" w:sz="4" w:space="1" w:color="auto"/>
          <w:left w:val="single" w:sz="4" w:space="4" w:color="auto"/>
          <w:bottom w:val="single" w:sz="4" w:space="1" w:color="auto"/>
          <w:right w:val="single" w:sz="4" w:space="4" w:color="auto"/>
        </w:pBdr>
        <w:shd w:val="clear" w:color="auto" w:fill="CC99FF"/>
        <w:rPr>
          <w:i/>
        </w:rPr>
      </w:pPr>
      <w:r>
        <w:rPr>
          <w:i/>
        </w:rPr>
        <w:t xml:space="preserve">Cross-cutting research question: </w:t>
      </w:r>
      <w:r w:rsidRPr="008F4E57">
        <w:rPr>
          <w:i/>
        </w:rPr>
        <w:t xml:space="preserve">How far have the Games contributed to sustainable development, in particular through demonstration effects and the encouragement of behavioural change? </w:t>
      </w:r>
    </w:p>
    <w:p w14:paraId="76EC6898" w14:textId="79F54FE0" w:rsidR="002C7D43" w:rsidRDefault="00BE694F" w:rsidP="002C7D43">
      <w:r>
        <w:t xml:space="preserve">CSL </w:t>
      </w:r>
      <w:r w:rsidR="002C7D43">
        <w:t xml:space="preserve">indicate that there </w:t>
      </w:r>
      <w:r w:rsidR="002C040D">
        <w:t>was</w:t>
      </w:r>
      <w:r w:rsidR="002C7D43">
        <w:t xml:space="preserve"> considerable potential for the Games to contribute to sustainable development through demonstration effects particularly in the areas of construction, infrastructure development and the staging of mega</w:t>
      </w:r>
      <w:r w:rsidR="00F81A7B">
        <w:t>-</w:t>
      </w:r>
      <w:r w:rsidR="002C7D43">
        <w:t xml:space="preserve">events. Targets achieved by the ODA include: </w:t>
      </w:r>
    </w:p>
    <w:p w14:paraId="76EC6899" w14:textId="77777777" w:rsidR="002C7D43" w:rsidRDefault="000A2096" w:rsidP="002C7D43">
      <w:pPr>
        <w:pStyle w:val="BulletOne"/>
      </w:pPr>
      <w:r>
        <w:t>A</w:t>
      </w:r>
      <w:r w:rsidR="002C7D43" w:rsidRPr="00282620">
        <w:t xml:space="preserve">ll permanent venues being at least 15% more energy efficient than 2006 building regulations; </w:t>
      </w:r>
    </w:p>
    <w:p w14:paraId="76EC689A" w14:textId="77777777" w:rsidR="002C7D43" w:rsidRDefault="002C7D43" w:rsidP="002C7D43">
      <w:pPr>
        <w:pStyle w:val="BulletOne"/>
      </w:pPr>
      <w:r w:rsidRPr="00282620">
        <w:t xml:space="preserve">BREEAM excellent rating for all permanent venues; </w:t>
      </w:r>
    </w:p>
    <w:p w14:paraId="76EC689B" w14:textId="7B604BC1" w:rsidR="002C7D43" w:rsidRDefault="000A2096" w:rsidP="002C7D43">
      <w:pPr>
        <w:pStyle w:val="BulletOne"/>
      </w:pPr>
      <w:r>
        <w:t>A</w:t>
      </w:r>
      <w:r w:rsidR="002C7D43" w:rsidRPr="00282620">
        <w:t>t least 20</w:t>
      </w:r>
      <w:r w:rsidR="00D408F4">
        <w:t xml:space="preserve">%, </w:t>
      </w:r>
      <w:r w:rsidR="002C7D43" w:rsidRPr="00282620">
        <w:t xml:space="preserve">by value, of construction materials of a reused or recycled source; </w:t>
      </w:r>
    </w:p>
    <w:p w14:paraId="76EC689C" w14:textId="77777777" w:rsidR="002C7D43" w:rsidRDefault="002C7D43" w:rsidP="002C7D43">
      <w:pPr>
        <w:pStyle w:val="BulletOne"/>
      </w:pPr>
      <w:r>
        <w:t xml:space="preserve">98% of demolition material </w:t>
      </w:r>
      <w:r w:rsidRPr="00282620">
        <w:t>reused or recycled.</w:t>
      </w:r>
      <w:r>
        <w:rPr>
          <w:rStyle w:val="FootnoteReference"/>
        </w:rPr>
        <w:footnoteReference w:id="44"/>
      </w:r>
      <w:r w:rsidRPr="00282620">
        <w:t xml:space="preserve"> </w:t>
      </w:r>
    </w:p>
    <w:p w14:paraId="76EC689D" w14:textId="38861AAF" w:rsidR="002C7D43" w:rsidRDefault="002C7D43" w:rsidP="002C7D43">
      <w:pPr>
        <w:pStyle w:val="BulletOne"/>
        <w:numPr>
          <w:ilvl w:val="0"/>
          <w:numId w:val="0"/>
        </w:numPr>
      </w:pPr>
      <w:r>
        <w:t>The CSL has highlighted some positive developments around the sustainability learning legacy</w:t>
      </w:r>
      <w:r w:rsidR="00946EBA">
        <w:t>,</w:t>
      </w:r>
      <w:r>
        <w:t xml:space="preserve"> notably the ODA Learning Legacy initiative and </w:t>
      </w:r>
      <w:proofErr w:type="spellStart"/>
      <w:r>
        <w:t>ongoing</w:t>
      </w:r>
      <w:proofErr w:type="spellEnd"/>
      <w:r>
        <w:t xml:space="preserve"> dissemination activity</w:t>
      </w:r>
      <w:r w:rsidR="00946EBA">
        <w:t>,</w:t>
      </w:r>
      <w:r>
        <w:t xml:space="preserve"> but has also expressed concern that there has yet to be comprehensive roll out of key principles across Government. The CSL </w:t>
      </w:r>
      <w:r w:rsidR="00BE694F">
        <w:t>'</w:t>
      </w:r>
      <w:r w:rsidRPr="00657D47">
        <w:t>Making a Difference</w:t>
      </w:r>
      <w:r w:rsidR="00BE694F">
        <w:t>'</w:t>
      </w:r>
      <w:r>
        <w:t xml:space="preserve"> report, expected to be published in early 2013, will assess the extent to which new standards of sustainability arising from London 2012 are beginning to be adopted by wider industries. </w:t>
      </w:r>
    </w:p>
    <w:p w14:paraId="76EC689E" w14:textId="355CA7A3" w:rsidR="002C7D43" w:rsidRDefault="002C7D43" w:rsidP="002C7D43">
      <w:r>
        <w:t xml:space="preserve">From a legacy perspective, it can be concluded the development of the Olympic Park and its infrastructure conforms to strong sustainability principles. The development of the Olympic Park has involved: </w:t>
      </w:r>
    </w:p>
    <w:p w14:paraId="76EC689F" w14:textId="77777777" w:rsidR="002C7D43" w:rsidRDefault="000A2096" w:rsidP="002C7D43">
      <w:pPr>
        <w:pStyle w:val="BulletOne"/>
      </w:pPr>
      <w:r>
        <w:t>C</w:t>
      </w:r>
      <w:r w:rsidR="002C7D43">
        <w:t xml:space="preserve">reation of over 100 hectares of </w:t>
      </w:r>
      <w:proofErr w:type="spellStart"/>
      <w:r w:rsidR="002C7D43">
        <w:t>greenspace</w:t>
      </w:r>
      <w:proofErr w:type="spellEnd"/>
      <w:r w:rsidR="002C7D43">
        <w:t xml:space="preserve"> (which will remain in legacy uses with 45 hectares of bio-diverse habitat); </w:t>
      </w:r>
    </w:p>
    <w:p w14:paraId="76EC68A0" w14:textId="77777777" w:rsidR="002C7D43" w:rsidRDefault="000A2096" w:rsidP="002C7D43">
      <w:pPr>
        <w:pStyle w:val="BulletOne"/>
      </w:pPr>
      <w:r>
        <w:t>P</w:t>
      </w:r>
      <w:r w:rsidR="002C7D43">
        <w:t xml:space="preserve">lanting of 4,000 semi-mature trees; </w:t>
      </w:r>
    </w:p>
    <w:p w14:paraId="76EC68A1" w14:textId="77777777" w:rsidR="002C7D43" w:rsidRDefault="000A2096" w:rsidP="002C7D43">
      <w:pPr>
        <w:pStyle w:val="BulletOne"/>
      </w:pPr>
      <w:r>
        <w:t>R</w:t>
      </w:r>
      <w:r w:rsidR="002C7D43">
        <w:t xml:space="preserve">estoration of existing waterways; </w:t>
      </w:r>
    </w:p>
    <w:p w14:paraId="76EC68A2" w14:textId="77777777" w:rsidR="002C7D43" w:rsidRDefault="000A2096" w:rsidP="002C7D43">
      <w:pPr>
        <w:pStyle w:val="BulletOne"/>
      </w:pPr>
      <w:r>
        <w:t>C</w:t>
      </w:r>
      <w:r w:rsidR="002C7D43">
        <w:t xml:space="preserve">reation of an integrated water management system comprising sustainable urban drainage, water capture, cleaning and reuse, flood risk management, water demand reduction, habitat creation and non-potable network; </w:t>
      </w:r>
    </w:p>
    <w:p w14:paraId="76EC68A3" w14:textId="77777777" w:rsidR="002C7D43" w:rsidRDefault="000A2096" w:rsidP="002C7D43">
      <w:pPr>
        <w:pStyle w:val="BulletOne"/>
      </w:pPr>
      <w:r>
        <w:t>A</w:t>
      </w:r>
      <w:r w:rsidR="002C7D43">
        <w:t xml:space="preserve"> process of habitat and species relocation through the collection of seeds and plant cutting prior to demolition. </w:t>
      </w:r>
    </w:p>
    <w:p w14:paraId="76EC68A4" w14:textId="77777777" w:rsidR="002C7D43" w:rsidRPr="00657D47" w:rsidRDefault="002C7D43" w:rsidP="002C7D43">
      <w:pPr>
        <w:pStyle w:val="BulletOne"/>
        <w:numPr>
          <w:ilvl w:val="0"/>
          <w:numId w:val="0"/>
        </w:numPr>
      </w:pPr>
      <w:r>
        <w:lastRenderedPageBreak/>
        <w:t xml:space="preserve">This activity </w:t>
      </w:r>
      <w:r w:rsidRPr="00657D47">
        <w:t xml:space="preserve">has resulted in the physical transformation of a largely derelict and polluted site. </w:t>
      </w:r>
    </w:p>
    <w:p w14:paraId="76EC68A5" w14:textId="76DFECCF" w:rsidR="002C7D43" w:rsidRDefault="00D22D3B" w:rsidP="002C7D43">
      <w:r w:rsidRPr="00D22D3B">
        <w:t>Monitoring data for the DEFRA-funded Inspiring Sustainable Living projects (see Section 6.4) suggests that efforts to use the 2012 Games to inspire sustainable behaviours are progressing well, especially with regard to generating interest and engagement amongst the target audience.</w:t>
      </w:r>
      <w:r>
        <w:t xml:space="preserve"> </w:t>
      </w:r>
      <w:r w:rsidR="002C7D43">
        <w:t xml:space="preserve">However, it is too early to assess the extent to which these </w:t>
      </w:r>
      <w:proofErr w:type="gramStart"/>
      <w:r w:rsidR="002C7D43">
        <w:t>projects,</w:t>
      </w:r>
      <w:proofErr w:type="gramEnd"/>
      <w:r w:rsidR="002C7D43">
        <w:t xml:space="preserve"> or the Games more generally, have helped to inspire behavioural change. Further evidence will come from post-Games project-level evaluations and also from more general indicators of sustainable behaviour (such as resource and energy use). </w:t>
      </w:r>
    </w:p>
    <w:p w14:paraId="76EC68A6" w14:textId="569A9A1B" w:rsidR="002C7D43" w:rsidRDefault="002C7D43" w:rsidP="002C7D43">
      <w:r>
        <w:t xml:space="preserve">Within the </w:t>
      </w:r>
      <w:r w:rsidR="00A91D36">
        <w:t>h</w:t>
      </w:r>
      <w:r>
        <w:t xml:space="preserve">ost </w:t>
      </w:r>
      <w:r w:rsidR="00A91D36">
        <w:t>b</w:t>
      </w:r>
      <w:r>
        <w:t>oroughs</w:t>
      </w:r>
      <w:r w:rsidR="00BB1C6E">
        <w:t xml:space="preserve">, the </w:t>
      </w:r>
      <w:proofErr w:type="gramStart"/>
      <w:r w:rsidR="00BB1C6E">
        <w:t>residents</w:t>
      </w:r>
      <w:proofErr w:type="gramEnd"/>
      <w:r w:rsidR="00BB1C6E">
        <w:t xml:space="preserve"> survey suggests </w:t>
      </w:r>
      <w:r>
        <w:t xml:space="preserve">that the Games have been influencing behaviour and attitudes towards sustainability. Of those </w:t>
      </w:r>
      <w:r w:rsidR="00BB1C6E">
        <w:t xml:space="preserve">who </w:t>
      </w:r>
      <w:r>
        <w:t>responde</w:t>
      </w:r>
      <w:r w:rsidR="00BB1C6E">
        <w:t>d</w:t>
      </w:r>
      <w:r>
        <w:t xml:space="preserve">, 29% were aware that the 2012 Games are aiming to be the greenest ever. Although of those, three-quarters (78%) said that the Games had not caused them to change their behaviours with regard to sustainability. </w:t>
      </w:r>
      <w:r w:rsidR="00946EBA">
        <w:t>However</w:t>
      </w:r>
      <w:r>
        <w:t xml:space="preserve"> 21% of respondents </w:t>
      </w:r>
      <w:r w:rsidR="00946EBA">
        <w:t>said</w:t>
      </w:r>
      <w:r>
        <w:t xml:space="preserve"> the Games had prompted a change</w:t>
      </w:r>
      <w:r w:rsidR="00946EBA">
        <w:t>, including</w:t>
      </w:r>
      <w:r>
        <w:t>:</w:t>
      </w:r>
    </w:p>
    <w:p w14:paraId="76EC68A7" w14:textId="77777777" w:rsidR="002C7D43" w:rsidRDefault="002C7D43" w:rsidP="002C7D43">
      <w:pPr>
        <w:pStyle w:val="BulletOne"/>
      </w:pPr>
      <w:r>
        <w:t xml:space="preserve">10% said that it had prompted them to increase recycling; </w:t>
      </w:r>
    </w:p>
    <w:p w14:paraId="76EC68A8" w14:textId="77777777" w:rsidR="002C7D43" w:rsidRDefault="002C7D43" w:rsidP="002C7D43">
      <w:pPr>
        <w:pStyle w:val="BulletOne"/>
      </w:pPr>
      <w:r>
        <w:t xml:space="preserve">10% said that it had prompted them to protect their local environment; </w:t>
      </w:r>
    </w:p>
    <w:p w14:paraId="76EC68A9" w14:textId="77777777" w:rsidR="002C7D43" w:rsidRDefault="002C7D43" w:rsidP="002C7D43">
      <w:pPr>
        <w:pStyle w:val="BulletOne"/>
      </w:pPr>
      <w:r>
        <w:t xml:space="preserve">7% said that it had prompted them to conserve water/reduce water wastage; </w:t>
      </w:r>
    </w:p>
    <w:p w14:paraId="76EC68AA" w14:textId="77777777" w:rsidR="002C7D43" w:rsidRDefault="002C7D43" w:rsidP="002C7D43">
      <w:pPr>
        <w:pStyle w:val="BulletOne"/>
      </w:pPr>
      <w:r>
        <w:t xml:space="preserve">7% said that it had prompted them to adopt more environmentally friendly transport behaviour; </w:t>
      </w:r>
    </w:p>
    <w:p w14:paraId="76EC68AB" w14:textId="77777777" w:rsidR="002C7D43" w:rsidRDefault="002C7D43" w:rsidP="002C7D43">
      <w:pPr>
        <w:pStyle w:val="BulletOne"/>
      </w:pPr>
      <w:r>
        <w:t xml:space="preserve">4% said it had prompted them to reduce energy consumption; </w:t>
      </w:r>
    </w:p>
    <w:p w14:paraId="76EC68AC" w14:textId="77777777" w:rsidR="002C7D43" w:rsidRDefault="002C7D43" w:rsidP="002C7D43">
      <w:pPr>
        <w:pStyle w:val="BulletOne"/>
      </w:pPr>
      <w:r>
        <w:t>3% said that it had prompted them to change their attitude to sustainability.</w:t>
      </w:r>
    </w:p>
    <w:p w14:paraId="76EC68AD" w14:textId="77777777" w:rsidR="003723D2" w:rsidRPr="003723D2" w:rsidRDefault="003723D2" w:rsidP="00187ADE">
      <w:pPr>
        <w:pStyle w:val="Heading2"/>
      </w:pPr>
      <w:r w:rsidRPr="003723D2">
        <w:t>Well-being</w:t>
      </w:r>
      <w:bookmarkEnd w:id="37"/>
      <w:r w:rsidRPr="003723D2">
        <w:t xml:space="preserve"> </w:t>
      </w:r>
    </w:p>
    <w:p w14:paraId="76EC68AE" w14:textId="77777777" w:rsidR="008F4E57" w:rsidRPr="002670A4" w:rsidRDefault="00C47C6B" w:rsidP="008F4E57">
      <w:pPr>
        <w:pBdr>
          <w:top w:val="single" w:sz="4" w:space="1" w:color="auto"/>
          <w:left w:val="single" w:sz="4" w:space="4" w:color="auto"/>
          <w:bottom w:val="single" w:sz="4" w:space="1" w:color="auto"/>
          <w:right w:val="single" w:sz="4" w:space="4" w:color="auto"/>
        </w:pBdr>
        <w:shd w:val="clear" w:color="auto" w:fill="CC99FF"/>
        <w:rPr>
          <w:i/>
        </w:rPr>
      </w:pPr>
      <w:r>
        <w:rPr>
          <w:i/>
        </w:rPr>
        <w:t xml:space="preserve">Cross-cutting research question: </w:t>
      </w:r>
      <w:r w:rsidR="008F4E57" w:rsidRPr="008F4E57">
        <w:rPr>
          <w:i/>
        </w:rPr>
        <w:t xml:space="preserve">In what ways have the 2012 Games and associated activity contributed to well-being? </w:t>
      </w:r>
    </w:p>
    <w:p w14:paraId="76EC68AF" w14:textId="77777777" w:rsidR="0014169C" w:rsidRDefault="0014169C" w:rsidP="0014169C">
      <w:r>
        <w:t xml:space="preserve">Drawing on the evidence available for the interim evaluation, it is possible to conclude that the 2012 Games and associated activity </w:t>
      </w:r>
      <w:r w:rsidR="00946EBA">
        <w:t xml:space="preserve">may </w:t>
      </w:r>
      <w:r>
        <w:t>have contributed to well-being in four broad ways.</w:t>
      </w:r>
    </w:p>
    <w:p w14:paraId="76EC68B0" w14:textId="7D829357" w:rsidR="00946EBA" w:rsidRDefault="00946EBA" w:rsidP="0014169C">
      <w:r>
        <w:t xml:space="preserve">Firstly, recent Taking Part </w:t>
      </w:r>
      <w:r w:rsidR="008B124B">
        <w:t>s</w:t>
      </w:r>
      <w:r>
        <w:t>urvey data indicates that those intending to engage with the 2012 Games, either through actively following (an average happiness score of 8.1), attending events (7.9) or volunteering for a Games time role (8.3) were significantly happier than those who did not plan to follow the Games (7.5).</w:t>
      </w:r>
      <w:r w:rsidR="00B73D10">
        <w:t xml:space="preserve"> </w:t>
      </w:r>
      <w:r>
        <w:t>Further data is required to understand causality but this does appear to be a positive finding.</w:t>
      </w:r>
    </w:p>
    <w:p w14:paraId="76EC68B1" w14:textId="100A443B" w:rsidR="000A2096" w:rsidRDefault="00946EBA" w:rsidP="0014169C">
      <w:pPr>
        <w:rPr>
          <w:rFonts w:cs="Garamond"/>
          <w:color w:val="000000"/>
          <w:szCs w:val="22"/>
          <w:lang w:eastAsia="en-GB"/>
        </w:rPr>
      </w:pPr>
      <w:r>
        <w:t>Secondly</w:t>
      </w:r>
      <w:r w:rsidR="0014169C">
        <w:t>, analysis of evidence from Taking Part surveys indicates that subjective well-being (or happiness) and perceptions of health are linked to sports participation</w:t>
      </w:r>
      <w:r w:rsidR="008F561D">
        <w:t>.</w:t>
      </w:r>
      <w:r w:rsidR="0014169C">
        <w:t xml:space="preserve"> </w:t>
      </w:r>
      <w:r w:rsidR="008F561D">
        <w:t>B</w:t>
      </w:r>
      <w:r w:rsidR="0014169C">
        <w:t>ased on</w:t>
      </w:r>
      <w:r w:rsidR="00CB6913">
        <w:t xml:space="preserve"> the evidence available to date</w:t>
      </w:r>
      <w:r w:rsidR="0014169C">
        <w:t xml:space="preserve"> it is apparent that the investment </w:t>
      </w:r>
      <w:r w:rsidR="0014169C">
        <w:rPr>
          <w:rFonts w:cs="Garamond"/>
          <w:color w:val="000000"/>
          <w:szCs w:val="22"/>
          <w:lang w:eastAsia="en-GB"/>
        </w:rPr>
        <w:t>in legacy programmes and initiatives aimed at</w:t>
      </w:r>
      <w:r w:rsidR="00CB6913">
        <w:rPr>
          <w:rFonts w:cs="Garamond"/>
          <w:color w:val="000000"/>
          <w:szCs w:val="22"/>
          <w:lang w:eastAsia="en-GB"/>
        </w:rPr>
        <w:t xml:space="preserve"> increasing sport participation</w:t>
      </w:r>
      <w:r w:rsidR="0014169C">
        <w:rPr>
          <w:rFonts w:cs="Garamond"/>
          <w:color w:val="000000"/>
          <w:szCs w:val="22"/>
          <w:lang w:eastAsia="en-GB"/>
        </w:rPr>
        <w:t xml:space="preserve"> has facilitated participation by adults and young people. </w:t>
      </w:r>
    </w:p>
    <w:p w14:paraId="76EC68B2" w14:textId="4EAD60D0" w:rsidR="000A2096" w:rsidRDefault="0014169C" w:rsidP="006230BE">
      <w:pPr>
        <w:pStyle w:val="BulletOne"/>
        <w:numPr>
          <w:ilvl w:val="0"/>
          <w:numId w:val="47"/>
        </w:numPr>
        <w:spacing w:before="40"/>
      </w:pPr>
      <w:r>
        <w:rPr>
          <w:lang w:eastAsia="en-GB"/>
        </w:rPr>
        <w:t xml:space="preserve">Taking Part </w:t>
      </w:r>
      <w:r w:rsidR="008B124B">
        <w:rPr>
          <w:lang w:eastAsia="en-GB"/>
        </w:rPr>
        <w:t>s</w:t>
      </w:r>
      <w:r>
        <w:rPr>
          <w:lang w:eastAsia="en-GB"/>
        </w:rPr>
        <w:t xml:space="preserve">urvey data indicates increases in </w:t>
      </w:r>
      <w:r w:rsidR="0011469F">
        <w:rPr>
          <w:lang w:eastAsia="en-GB"/>
        </w:rPr>
        <w:t xml:space="preserve">adult </w:t>
      </w:r>
      <w:r>
        <w:rPr>
          <w:lang w:eastAsia="en-GB"/>
        </w:rPr>
        <w:t>participation</w:t>
      </w:r>
      <w:r w:rsidR="0011469F">
        <w:rPr>
          <w:lang w:eastAsia="en-GB"/>
        </w:rPr>
        <w:t xml:space="preserve"> in sport</w:t>
      </w:r>
      <w:r>
        <w:rPr>
          <w:lang w:eastAsia="en-GB"/>
        </w:rPr>
        <w:t xml:space="preserve">, with </w:t>
      </w:r>
      <w:r w:rsidR="0011469F">
        <w:rPr>
          <w:lang w:eastAsia="en-GB"/>
        </w:rPr>
        <w:t xml:space="preserve">those </w:t>
      </w:r>
      <w:r w:rsidR="0011469F">
        <w:t xml:space="preserve">participating in at least one 30 minute session of moderate intensity sport in the last week </w:t>
      </w:r>
      <w:r w:rsidR="0011469F" w:rsidRPr="006230BE">
        <w:t>increas</w:t>
      </w:r>
      <w:r w:rsidR="0011469F">
        <w:t>ing</w:t>
      </w:r>
      <w:r w:rsidR="0011469F" w:rsidRPr="0011469F">
        <w:t xml:space="preserve"> from</w:t>
      </w:r>
      <w:r w:rsidR="0011469F">
        <w:t xml:space="preserve"> 41.2% in 2005/06 to 43.8% in 2011/12</w:t>
      </w:r>
      <w:r>
        <w:rPr>
          <w:lang w:eastAsia="en-GB"/>
        </w:rPr>
        <w:t xml:space="preserve">. </w:t>
      </w:r>
      <w:r w:rsidR="005A16B0">
        <w:rPr>
          <w:lang w:eastAsia="en-GB"/>
        </w:rPr>
        <w:t xml:space="preserve">The Games had also motivated </w:t>
      </w:r>
      <w:r w:rsidR="00946EBA">
        <w:rPr>
          <w:lang w:eastAsia="en-GB"/>
        </w:rPr>
        <w:t xml:space="preserve">7.3% of </w:t>
      </w:r>
      <w:r w:rsidR="00A25DDE">
        <w:rPr>
          <w:lang w:eastAsia="en-GB"/>
        </w:rPr>
        <w:t>those participating in sport and recreational physical activity</w:t>
      </w:r>
      <w:r w:rsidR="0011469F">
        <w:rPr>
          <w:lang w:eastAsia="en-GB"/>
        </w:rPr>
        <w:t xml:space="preserve"> </w:t>
      </w:r>
      <w:r w:rsidR="00946EBA">
        <w:rPr>
          <w:lang w:eastAsia="en-GB"/>
        </w:rPr>
        <w:t>to do more</w:t>
      </w:r>
      <w:r w:rsidR="00672B24">
        <w:rPr>
          <w:lang w:eastAsia="en-GB"/>
        </w:rPr>
        <w:t>;</w:t>
      </w:r>
    </w:p>
    <w:p w14:paraId="76EC68B3" w14:textId="3CF0E61C" w:rsidR="000A2096" w:rsidRDefault="000A2096" w:rsidP="000A2096">
      <w:pPr>
        <w:pStyle w:val="BulletOne"/>
      </w:pPr>
      <w:r>
        <w:t>T</w:t>
      </w:r>
      <w:r w:rsidR="0014169C" w:rsidRPr="00674BA7">
        <w:t xml:space="preserve">he </w:t>
      </w:r>
      <w:r w:rsidR="00A91D36">
        <w:t>h</w:t>
      </w:r>
      <w:r w:rsidR="0014169C" w:rsidRPr="00674BA7">
        <w:t xml:space="preserve">ost </w:t>
      </w:r>
      <w:r w:rsidR="00A91D36">
        <w:t>b</w:t>
      </w:r>
      <w:r w:rsidR="0014169C" w:rsidRPr="00674BA7">
        <w:t>orough</w:t>
      </w:r>
      <w:r w:rsidR="00C34219">
        <w:t>s</w:t>
      </w:r>
      <w:r w:rsidR="0014169C" w:rsidRPr="00674BA7">
        <w:t xml:space="preserve"> </w:t>
      </w:r>
      <w:r w:rsidR="005A16B0">
        <w:t xml:space="preserve">resident </w:t>
      </w:r>
      <w:r w:rsidR="0014169C" w:rsidRPr="00674BA7">
        <w:t xml:space="preserve">survey </w:t>
      </w:r>
      <w:r>
        <w:t xml:space="preserve">suggests </w:t>
      </w:r>
      <w:r w:rsidR="0014169C" w:rsidRPr="00674BA7">
        <w:t>that the 2012 Games have</w:t>
      </w:r>
      <w:r w:rsidR="0014169C">
        <w:t xml:space="preserve"> played a positive role in encouraging East London residents to do more sport or recreational physical activity, with a fifth (18%) of respondents saying that the Games had motivated them to do more. This increased for those aged 16-24 (25%), those not working (24%), those of a 'non-white' ethnicity (29%) and those who live in Newham (30%). The reasons given for this included: 'more interested in sport in general' (50%); encouragement to 'take part in sport more often' (29%); and an intr</w:t>
      </w:r>
      <w:r w:rsidR="00672B24">
        <w:t>oduction 'to new sports' (13%);</w:t>
      </w:r>
    </w:p>
    <w:p w14:paraId="76EC68B4" w14:textId="73718D91" w:rsidR="0014169C" w:rsidRDefault="00946EBA" w:rsidP="000A2096">
      <w:pPr>
        <w:pStyle w:val="BulletOne"/>
      </w:pPr>
      <w:r>
        <w:lastRenderedPageBreak/>
        <w:t>In a</w:t>
      </w:r>
      <w:r w:rsidR="0014169C">
        <w:t xml:space="preserve"> survey of the Inspire programme</w:t>
      </w:r>
      <w:r w:rsidR="005A16B0">
        <w:t>,</w:t>
      </w:r>
      <w:r w:rsidR="0014169C">
        <w:t xml:space="preserve"> organiser perceptions were that 73% of the projects impacted on the health and fitness of participants. </w:t>
      </w:r>
      <w:r w:rsidR="00604D1C">
        <w:t>P</w:t>
      </w:r>
      <w:r w:rsidR="00604D1C" w:rsidRPr="00A0428F">
        <w:t xml:space="preserve">ositive health benefits at the individual level from participation in sport and physical activity are evidenced in </w:t>
      </w:r>
      <w:r w:rsidR="005A16B0">
        <w:t xml:space="preserve">the academic </w:t>
      </w:r>
      <w:r w:rsidR="00604D1C" w:rsidRPr="00A0428F">
        <w:t>literature</w:t>
      </w:r>
      <w:r w:rsidR="005A16B0">
        <w:rPr>
          <w:rStyle w:val="FootnoteReference"/>
        </w:rPr>
        <w:footnoteReference w:id="45"/>
      </w:r>
      <w:r w:rsidR="00604D1C">
        <w:t xml:space="preserve">, with </w:t>
      </w:r>
      <w:r w:rsidR="00604D1C" w:rsidRPr="00746862">
        <w:t>physical activity (of a certain duration and intensity) deliver</w:t>
      </w:r>
      <w:r w:rsidR="00604D1C">
        <w:t>ing</w:t>
      </w:r>
      <w:r w:rsidR="00604D1C" w:rsidRPr="00746862">
        <w:t xml:space="preserve"> health benefits</w:t>
      </w:r>
      <w:r w:rsidR="00604D1C">
        <w:t xml:space="preserve">. However it needs to be recognised that while there is </w:t>
      </w:r>
      <w:r w:rsidR="00604D1C" w:rsidRPr="00746862">
        <w:t>a demonstrated causal relationship</w:t>
      </w:r>
      <w:r w:rsidR="00604D1C">
        <w:t>, it is also true that improved health enables increased sport participation.</w:t>
      </w:r>
    </w:p>
    <w:p w14:paraId="76EC68B5" w14:textId="77777777" w:rsidR="0014169C" w:rsidRDefault="0014169C" w:rsidP="0014169C">
      <w:r>
        <w:t xml:space="preserve">Third, the 2012 Games may have positively impacted on well-being by reducing </w:t>
      </w:r>
      <w:proofErr w:type="spellStart"/>
      <w:r>
        <w:t>worklessness</w:t>
      </w:r>
      <w:proofErr w:type="spellEnd"/>
      <w:r>
        <w:t>, particularly amongst the long-term unemployed. By the end of 2010/11, the LEST programme in London (a programme designed to maximise the employment and skills benefits of the 2012 Games) had helped 34,500 people into employment, against a milestone of 36,000 for that time period. While it is safe to assume that this will have had a positive impact on supported individuals beyond the direct benefit of additional income, specific data on how it has impacted upon well-being are not available.</w:t>
      </w:r>
    </w:p>
    <w:p w14:paraId="76EC68B6" w14:textId="42361693" w:rsidR="0014169C" w:rsidRPr="004D4A16" w:rsidRDefault="0014169C" w:rsidP="0014169C">
      <w:r>
        <w:t xml:space="preserve">Finally, and again drawing on the findings from </w:t>
      </w:r>
      <w:r w:rsidRPr="00674BA7">
        <w:t xml:space="preserve">the </w:t>
      </w:r>
      <w:r w:rsidR="00A91D36">
        <w:t>h</w:t>
      </w:r>
      <w:r w:rsidRPr="00674BA7">
        <w:t xml:space="preserve">ost </w:t>
      </w:r>
      <w:r w:rsidR="00A91D36">
        <w:t>b</w:t>
      </w:r>
      <w:r w:rsidRPr="00674BA7">
        <w:t>orough</w:t>
      </w:r>
      <w:r w:rsidR="00C34219">
        <w:t>s</w:t>
      </w:r>
      <w:r w:rsidRPr="00674BA7">
        <w:t xml:space="preserve"> </w:t>
      </w:r>
      <w:r w:rsidR="005A16B0">
        <w:t xml:space="preserve">resident </w:t>
      </w:r>
      <w:r w:rsidRPr="00674BA7">
        <w:t>survey, it is apparent</w:t>
      </w:r>
      <w:r>
        <w:t xml:space="preserve"> that the 2012 Games has positively contributed to well-being by improving the overall satisfaction of East London residents with the area in which they live, with a quarter (26%) of the respondents feeling that the Games had made them more satisfied (although, </w:t>
      </w:r>
      <w:r>
        <w:rPr>
          <w:lang w:val="en-US"/>
        </w:rPr>
        <w:t>10% felt that it had made them less satisfied)</w:t>
      </w:r>
      <w:r>
        <w:t>. Again, while evidence of causality is not available it can be assumed that satisfaction with the area in which you live is likely to be one of many drivers of well-being.</w:t>
      </w:r>
    </w:p>
    <w:p w14:paraId="76EC68B7" w14:textId="7538D637" w:rsidR="002C7D43" w:rsidRPr="003723D2" w:rsidRDefault="002C7D43" w:rsidP="00D9469D">
      <w:pPr>
        <w:pStyle w:val="Heading2"/>
      </w:pPr>
      <w:r w:rsidRPr="003723D2">
        <w:t>International profile</w:t>
      </w:r>
    </w:p>
    <w:p w14:paraId="76EC68B8" w14:textId="77777777" w:rsidR="002C7D43" w:rsidRPr="002670A4" w:rsidRDefault="002C7D43" w:rsidP="002C7D43">
      <w:pPr>
        <w:pBdr>
          <w:top w:val="single" w:sz="4" w:space="1" w:color="auto"/>
          <w:left w:val="single" w:sz="4" w:space="4" w:color="auto"/>
          <w:bottom w:val="single" w:sz="4" w:space="1" w:color="auto"/>
          <w:right w:val="single" w:sz="4" w:space="4" w:color="auto"/>
        </w:pBdr>
        <w:shd w:val="clear" w:color="auto" w:fill="CC99FF"/>
        <w:rPr>
          <w:i/>
        </w:rPr>
      </w:pPr>
      <w:r>
        <w:rPr>
          <w:i/>
        </w:rPr>
        <w:t xml:space="preserve">Cross-cutting research question: </w:t>
      </w:r>
      <w:r w:rsidRPr="008F4E57">
        <w:rPr>
          <w:i/>
        </w:rPr>
        <w:t xml:space="preserve">What have been the impacts of the staging of the Games on the international profile and reputation of the UK, London and East London? </w:t>
      </w:r>
    </w:p>
    <w:p w14:paraId="6EEB8AD4" w14:textId="77777777" w:rsidR="000779B2" w:rsidRDefault="000779B2" w:rsidP="000779B2">
      <w:r>
        <w:t>The Games has provided a platform for UK businesses to showcase their capabilities particularly those that have benefitted from Games contracts and the delivery of facilities and infrastructure in the Olympic Park. It has also provided a unique opportunity to promote London and the UK as places to invest.</w:t>
      </w:r>
    </w:p>
    <w:p w14:paraId="5D39E38C" w14:textId="07ACFB1F" w:rsidR="000779B2" w:rsidRPr="00FC4AF5" w:rsidRDefault="000779B2" w:rsidP="000779B2">
      <w:r w:rsidRPr="00DC223C">
        <w:t>During the 18 days of the British Business Embassy</w:t>
      </w:r>
      <w:r>
        <w:t xml:space="preserve"> held during the Games period</w:t>
      </w:r>
      <w:r w:rsidRPr="00DC223C">
        <w:t xml:space="preserve">, </w:t>
      </w:r>
      <w:r>
        <w:t xml:space="preserve">the UK government </w:t>
      </w:r>
      <w:r w:rsidR="001E3BF9">
        <w:t>welcomed over 4,7</w:t>
      </w:r>
      <w:r w:rsidRPr="00DC223C">
        <w:t>00 business leaders and g</w:t>
      </w:r>
      <w:r w:rsidR="001E3BF9">
        <w:t>lobal figures</w:t>
      </w:r>
      <w:r w:rsidRPr="00DC223C">
        <w:t xml:space="preserve"> in</w:t>
      </w:r>
      <w:r>
        <w:t xml:space="preserve"> what UKTI considered to be</w:t>
      </w:r>
      <w:r w:rsidRPr="00DC223C">
        <w:t xml:space="preserve"> the largest and most ambitious set of trade and investment events ever held in the UK.</w:t>
      </w:r>
      <w:r w:rsidRPr="00472A1A">
        <w:t xml:space="preserve"> </w:t>
      </w:r>
      <w:r>
        <w:rPr>
          <w:rStyle w:val="tt2"/>
        </w:rPr>
        <w:t>The events showcased British business, design and technology to delegates and, through widespread press coverage, to the world. Businesses and Governments exchanged views and ideas, discussed challenges and developed new partnerships. UKTI expect the Games-time events to reap significant benefits for the UK economy both in terms of new export orders and inward investment projects.</w:t>
      </w:r>
      <w:r>
        <w:t xml:space="preserve"> It is understood that future evaluation work will examine the degree to which Games-related initiatives in the period leading up to and during the Games have influenced levels of inward investment and exports.</w:t>
      </w:r>
    </w:p>
    <w:p w14:paraId="10DB475B" w14:textId="77777777" w:rsidR="000779B2" w:rsidRDefault="000779B2" w:rsidP="000779B2">
      <w:r>
        <w:rPr>
          <w:szCs w:val="22"/>
        </w:rPr>
        <w:t xml:space="preserve">The </w:t>
      </w:r>
      <w:proofErr w:type="spellStart"/>
      <w:r>
        <w:rPr>
          <w:szCs w:val="22"/>
        </w:rPr>
        <w:t>build up</w:t>
      </w:r>
      <w:proofErr w:type="spellEnd"/>
      <w:r>
        <w:rPr>
          <w:szCs w:val="22"/>
        </w:rPr>
        <w:t xml:space="preserve"> to the 2012 Games as well as the Games themselves are expected to have provided additional exposure for London and helped to influence business perceptions of the benefits of locating in the UK.</w:t>
      </w:r>
      <w:r w:rsidRPr="0034244F">
        <w:rPr>
          <w:lang w:val="en-US"/>
        </w:rPr>
        <w:t xml:space="preserve"> </w:t>
      </w:r>
      <w:r>
        <w:rPr>
          <w:lang w:val="en-US"/>
        </w:rPr>
        <w:t xml:space="preserve">A recent </w:t>
      </w:r>
      <w:r w:rsidRPr="00877902">
        <w:rPr>
          <w:lang w:val="en-US"/>
        </w:rPr>
        <w:t xml:space="preserve">Cushman and Wakefield </w:t>
      </w:r>
      <w:r>
        <w:rPr>
          <w:lang w:val="en-US"/>
        </w:rPr>
        <w:t>survey of world cities indicates that the percentage of international business leaders believing that London was doing the most to promote itself increased significantly from 16% in 2010 to 25% in 2011</w:t>
      </w:r>
      <w:r>
        <w:t>.</w:t>
      </w:r>
      <w:r>
        <w:rPr>
          <w:rStyle w:val="FootnoteReference"/>
        </w:rPr>
        <w:footnoteReference w:id="46"/>
      </w:r>
      <w:r>
        <w:t xml:space="preserve"> It may be that promotional activity around the Games has played some role in this increase. Monitoring d</w:t>
      </w:r>
      <w:r w:rsidRPr="009925FC">
        <w:t>ata</w:t>
      </w:r>
      <w:r>
        <w:t xml:space="preserve"> from</w:t>
      </w:r>
      <w:r w:rsidRPr="009925FC">
        <w:t xml:space="preserve"> London and Partners, the </w:t>
      </w:r>
      <w:r>
        <w:t xml:space="preserve">promotional agency for London, </w:t>
      </w:r>
      <w:r w:rsidRPr="009925FC">
        <w:t xml:space="preserve">indicates that Games-related </w:t>
      </w:r>
      <w:r>
        <w:t xml:space="preserve">promotional </w:t>
      </w:r>
      <w:r w:rsidRPr="009925FC">
        <w:t>activity</w:t>
      </w:r>
      <w:r>
        <w:t xml:space="preserve"> has influenced </w:t>
      </w:r>
      <w:r w:rsidRPr="009925FC">
        <w:t>114 recent investment projects in London.</w:t>
      </w:r>
    </w:p>
    <w:p w14:paraId="474D2B33" w14:textId="263A50A3" w:rsidR="000779B2" w:rsidRDefault="000779B2" w:rsidP="000779B2">
      <w:r>
        <w:t xml:space="preserve">The </w:t>
      </w:r>
      <w:r w:rsidR="003A3B64">
        <w:t xml:space="preserve">2012 </w:t>
      </w:r>
      <w:r>
        <w:t xml:space="preserve">Games has undoubtedly impacted on the look, feel and functioning of </w:t>
      </w:r>
      <w:r w:rsidR="00AC1362">
        <w:t xml:space="preserve">parts of </w:t>
      </w:r>
      <w:r>
        <w:t xml:space="preserve">East London. </w:t>
      </w:r>
      <w:r w:rsidR="00AC1362">
        <w:t xml:space="preserve">The Games </w:t>
      </w:r>
      <w:r>
        <w:t xml:space="preserve">has seen the creation of a number of world class sporting venues; it has </w:t>
      </w:r>
      <w:r>
        <w:lastRenderedPageBreak/>
        <w:t>catalysed significant improvements to Stratford International station; it has brought forward the development of Westfield Stratford City – the largest urban shopping centre in Europe; and it has seen the installation of a number of permanent arts and cultural commissions in and around the Olympic Park by a number of internationally renowned artists.</w:t>
      </w:r>
      <w:r w:rsidR="00B73D10">
        <w:t xml:space="preserve"> </w:t>
      </w:r>
      <w:r>
        <w:t xml:space="preserve">These developments in particular have the potential to significantly raise the international profile of East London both as place to visit and as a place to invest. The 2011 CBI London Business Survey which received over 250 responses from a cross-section of London businesses suggests that business leaders are generally positive about the potential impacts of the Games on promoting the UK internationally. </w:t>
      </w:r>
      <w:r w:rsidR="00D408F4">
        <w:t xml:space="preserve">92% </w:t>
      </w:r>
      <w:r>
        <w:t>of respondents believed that the Games will help promote London internationally.</w:t>
      </w:r>
    </w:p>
    <w:p w14:paraId="767F25C1" w14:textId="671AE622" w:rsidR="000779B2" w:rsidRDefault="000779B2" w:rsidP="000779B2">
      <w:r>
        <w:t>Research for London and Partners provides an indication of the expected tourism benefits from the Games. The net tourism gain to the UK economy of the Games is estimated to be £1.24</w:t>
      </w:r>
      <w:r w:rsidR="00F03937">
        <w:t xml:space="preserve"> billion </w:t>
      </w:r>
      <w:r>
        <w:t>(at 2011 prices) for the period 2007-2017 once the various displacement effects have been accounted for. For London a net gain of £0.83</w:t>
      </w:r>
      <w:r w:rsidR="00F03937">
        <w:t xml:space="preserve"> billion </w:t>
      </w:r>
      <w:r>
        <w:t xml:space="preserve">is estimated. The </w:t>
      </w:r>
      <w:r w:rsidR="008B124B">
        <w:t>m</w:t>
      </w:r>
      <w:r>
        <w:t>eta-</w:t>
      </w:r>
      <w:r w:rsidR="008B124B">
        <w:t>e</w:t>
      </w:r>
      <w:r>
        <w:t xml:space="preserve">valuation survey of visitors to Olympic and Paralympic ticked events and the International Passenger Survey will provide evidence </w:t>
      </w:r>
      <w:r w:rsidR="003A3B64">
        <w:t xml:space="preserve">on numbers of visitors and </w:t>
      </w:r>
      <w:r>
        <w:t>on how the Games have impacted on perceptions of the UK as a place to visit. There is also potential to analyse the impact of the Games on international perceptions of the UK using the Anholt Nations Brand Index. Evidence is expected later in 2012 on the outcomes of Games-related campaigns which are using the Games and the events around it as a means to promote the UK as a place to visit.</w:t>
      </w:r>
    </w:p>
    <w:p w14:paraId="5F9C0BE8" w14:textId="77777777" w:rsidR="003E66EF" w:rsidRDefault="003E66EF" w:rsidP="003E66EF">
      <w:r>
        <w:t>There is no evidence of the impacts of community engagement legacy activities on international profile and reputation, although some evidence may be provided by the evaluation of the Cultural Olympiad to the extent that it considers media coverage and visitor impacts (including visitors from overseas).</w:t>
      </w:r>
    </w:p>
    <w:p w14:paraId="06D86257" w14:textId="583C875C" w:rsidR="000779B2" w:rsidRDefault="000779B2" w:rsidP="000779B2">
      <w:r>
        <w:t xml:space="preserve">In sporting terms a successful Games can showcase not only the venues hosting Olympic events as potential host venues, but a range of other venues and facilities which the athletes, coaches and supporters will have access to, including for example the </w:t>
      </w:r>
      <w:r w:rsidR="00BE694F">
        <w:t>PGTCs</w:t>
      </w:r>
      <w:r>
        <w:t>. The number of major international sporting events taking place in the UK has undoubtedly increased as a result of London winning the right to host the 2012 Games, proving a strong indication that the UK's reputation abroad for hosting major sporting events has already been enhanced. The Olympic Park venues have already secured major international events post-Games, and discussions are underway regarding other potential events.</w:t>
      </w:r>
    </w:p>
    <w:p w14:paraId="76EC68C0" w14:textId="77777777" w:rsidR="002C7D43" w:rsidRDefault="002C7D43" w:rsidP="002C7D43"/>
    <w:p w14:paraId="76EC68C1" w14:textId="77777777" w:rsidR="002C7D43" w:rsidRDefault="002C7D43" w:rsidP="002C7D43">
      <w:pPr>
        <w:spacing w:before="0" w:after="0"/>
        <w:rPr>
          <w:i/>
        </w:rPr>
      </w:pPr>
    </w:p>
    <w:p w14:paraId="76EC68C2" w14:textId="77777777" w:rsidR="002C7D43" w:rsidRDefault="002C7D43" w:rsidP="002C7D43">
      <w:pPr>
        <w:pStyle w:val="Heading1"/>
      </w:pPr>
      <w:bookmarkStart w:id="38" w:name="_Toc331150774"/>
      <w:bookmarkStart w:id="39" w:name="_Toc338746881"/>
      <w:r>
        <w:lastRenderedPageBreak/>
        <w:t>Next steps</w:t>
      </w:r>
      <w:bookmarkEnd w:id="38"/>
      <w:bookmarkEnd w:id="39"/>
      <w:r>
        <w:t xml:space="preserve"> </w:t>
      </w:r>
    </w:p>
    <w:p w14:paraId="76EC68C3" w14:textId="77777777" w:rsidR="000D52E5" w:rsidRDefault="009423CD" w:rsidP="00112F96">
      <w:pPr>
        <w:pStyle w:val="Heading2"/>
      </w:pPr>
      <w:r>
        <w:t>Meta-evaluation o</w:t>
      </w:r>
      <w:r w:rsidR="000D52E5">
        <w:t xml:space="preserve">utputs </w:t>
      </w:r>
    </w:p>
    <w:p w14:paraId="76EC68C4" w14:textId="77777777" w:rsidR="002C7D43" w:rsidRDefault="002C7D43" w:rsidP="002C7D43">
      <w:r>
        <w:t>The interim evaluation sets out the available evidence of the impacts and legacy that has emerged from activity taking place primarily in the pre-Games period. It should be read in conjunction with the other meta-evaluation reports:</w:t>
      </w:r>
    </w:p>
    <w:p w14:paraId="76EC68C5" w14:textId="77777777" w:rsidR="002C7D43" w:rsidRDefault="002C7D43" w:rsidP="00CF7CE2">
      <w:pPr>
        <w:pStyle w:val="BulletOne"/>
      </w:pPr>
      <w:r>
        <w:t xml:space="preserve">Report 1: Research questions and scope (published </w:t>
      </w:r>
      <w:r w:rsidR="00604D1C">
        <w:t>June</w:t>
      </w:r>
      <w:r>
        <w:t xml:space="preserve"> 2011);</w:t>
      </w:r>
    </w:p>
    <w:p w14:paraId="76EC68C6" w14:textId="77777777" w:rsidR="002C7D43" w:rsidRDefault="002C7D43" w:rsidP="00CF7CE2">
      <w:pPr>
        <w:pStyle w:val="BulletOne"/>
      </w:pPr>
      <w:r>
        <w:t xml:space="preserve">Report 2: Methods (published </w:t>
      </w:r>
      <w:r w:rsidR="00604D1C">
        <w:t>August</w:t>
      </w:r>
      <w:r>
        <w:t xml:space="preserve"> 2011);</w:t>
      </w:r>
    </w:p>
    <w:p w14:paraId="76EC68C7" w14:textId="77777777" w:rsidR="002C7D43" w:rsidRDefault="002C7D43" w:rsidP="00CF7CE2">
      <w:pPr>
        <w:pStyle w:val="BulletOne"/>
      </w:pPr>
      <w:r>
        <w:t xml:space="preserve">Report 3: Baseline and counterfactual (published </w:t>
      </w:r>
      <w:r w:rsidR="00604D1C">
        <w:t>January</w:t>
      </w:r>
      <w:r>
        <w:t xml:space="preserve"> 2012);</w:t>
      </w:r>
    </w:p>
    <w:p w14:paraId="76EC68C8" w14:textId="35CBE8FD" w:rsidR="002C7D43" w:rsidRDefault="002C7D43" w:rsidP="00CF7CE2">
      <w:pPr>
        <w:pStyle w:val="BulletOne"/>
      </w:pPr>
      <w:r>
        <w:t xml:space="preserve">Report 4: Interim or pre-Games evaluation (published </w:t>
      </w:r>
      <w:r w:rsidR="003A3B64">
        <w:t xml:space="preserve">October </w:t>
      </w:r>
      <w:r>
        <w:t xml:space="preserve">2012); </w:t>
      </w:r>
    </w:p>
    <w:p w14:paraId="76EC68C9" w14:textId="77777777" w:rsidR="002C7D43" w:rsidRDefault="002C7D43" w:rsidP="00CF7CE2">
      <w:pPr>
        <w:pStyle w:val="BulletOne"/>
      </w:pPr>
      <w:r>
        <w:t xml:space="preserve">Report 5: Post-Games initial evaluation (to be published </w:t>
      </w:r>
      <w:proofErr w:type="gramStart"/>
      <w:r>
        <w:t>Summer</w:t>
      </w:r>
      <w:proofErr w:type="gramEnd"/>
      <w:r>
        <w:t xml:space="preserve"> 2013).</w:t>
      </w:r>
      <w:r w:rsidRPr="000A78E0">
        <w:t xml:space="preserve"> </w:t>
      </w:r>
    </w:p>
    <w:p w14:paraId="76EC68CA" w14:textId="77777777" w:rsidR="00112F96" w:rsidRDefault="00112F96" w:rsidP="00112F96">
      <w:pPr>
        <w:pStyle w:val="Heading2"/>
      </w:pPr>
      <w:r>
        <w:t xml:space="preserve">Next steps </w:t>
      </w:r>
    </w:p>
    <w:p w14:paraId="76EC68CB" w14:textId="617854FA" w:rsidR="002C7D43" w:rsidRDefault="009423CD" w:rsidP="002C7D43">
      <w:r>
        <w:t>This report sets out the impacts and legacy emerging from pre-Games legacy activity. It is limited by the data and evidence available and</w:t>
      </w:r>
      <w:r w:rsidR="003A3B64">
        <w:t>,</w:t>
      </w:r>
      <w:r>
        <w:t xml:space="preserve"> more significantly, by the elapsed time available for legacy benefits, outcomes and impacts to have emerged and be realised.</w:t>
      </w:r>
      <w:r w:rsidR="00B73D10">
        <w:t xml:space="preserve"> </w:t>
      </w:r>
    </w:p>
    <w:p w14:paraId="76EC68CC" w14:textId="0ED452AF" w:rsidR="000D52E5" w:rsidRDefault="009423CD" w:rsidP="000D52E5">
      <w:r>
        <w:t xml:space="preserve">Although </w:t>
      </w:r>
      <w:r w:rsidR="000D52E5">
        <w:t xml:space="preserve">some legacy benefits will not emerge for a significant number of years, </w:t>
      </w:r>
      <w:r w:rsidR="003A3B64">
        <w:t>the post-Games initial evaluation (</w:t>
      </w:r>
      <w:r w:rsidR="000D52E5">
        <w:t>Report 5</w:t>
      </w:r>
      <w:proofErr w:type="gramStart"/>
      <w:r w:rsidR="003A3B64">
        <w:t>),</w:t>
      </w:r>
      <w:proofErr w:type="gramEnd"/>
      <w:r w:rsidR="000D52E5">
        <w:t xml:space="preserve"> does provide an ideal opportunity to say more, and to go further in analysing the impact of the legacy of the 2012 Games.</w:t>
      </w:r>
      <w:r w:rsidR="00B73D10">
        <w:t xml:space="preserve"> </w:t>
      </w:r>
      <w:r w:rsidR="000D52E5">
        <w:t>Report 5</w:t>
      </w:r>
      <w:r w:rsidR="003A3B64">
        <w:t xml:space="preserve"> will be published in </w:t>
      </w:r>
      <w:proofErr w:type="gramStart"/>
      <w:r w:rsidR="003A3B64">
        <w:t>Summer</w:t>
      </w:r>
      <w:proofErr w:type="gramEnd"/>
      <w:r w:rsidR="003A3B64">
        <w:t xml:space="preserve"> 2013 and include</w:t>
      </w:r>
      <w:r w:rsidR="000D52E5">
        <w:t>:</w:t>
      </w:r>
    </w:p>
    <w:p w14:paraId="76EC68CD" w14:textId="547F49CC" w:rsidR="000D52E5" w:rsidRDefault="003A3B64" w:rsidP="009423CD">
      <w:pPr>
        <w:pStyle w:val="BulletOne"/>
      </w:pPr>
      <w:r>
        <w:t>M</w:t>
      </w:r>
      <w:r w:rsidR="000D52E5">
        <w:t xml:space="preserve">ore data and evaluation evidence of </w:t>
      </w:r>
      <w:r w:rsidR="00604D1C">
        <w:t>l</w:t>
      </w:r>
      <w:r w:rsidR="000D52E5">
        <w:t xml:space="preserve">egacy effects; </w:t>
      </w:r>
    </w:p>
    <w:p w14:paraId="76EC68CE" w14:textId="33F65FB8" w:rsidR="000D52E5" w:rsidRDefault="003A3B64" w:rsidP="009423CD">
      <w:pPr>
        <w:pStyle w:val="BulletOne"/>
      </w:pPr>
      <w:r>
        <w:t>T</w:t>
      </w:r>
      <w:r w:rsidR="000D52E5">
        <w:t xml:space="preserve">he legacy impacts of the Games themselves; </w:t>
      </w:r>
    </w:p>
    <w:p w14:paraId="76EC68CF" w14:textId="72C2008E" w:rsidR="000D52E5" w:rsidRDefault="003A3B64" w:rsidP="009423CD">
      <w:pPr>
        <w:pStyle w:val="BulletOne"/>
      </w:pPr>
      <w:r>
        <w:t>F</w:t>
      </w:r>
      <w:r w:rsidR="000D52E5">
        <w:t xml:space="preserve">urther discussion of outcomes and additionality, and the attribution of benefit to the Games; </w:t>
      </w:r>
    </w:p>
    <w:p w14:paraId="76EC68D0" w14:textId="61A6001D" w:rsidR="000D52E5" w:rsidRDefault="003A3B64" w:rsidP="009423CD">
      <w:pPr>
        <w:pStyle w:val="BulletOne"/>
      </w:pPr>
      <w:r>
        <w:t>A</w:t>
      </w:r>
      <w:r w:rsidR="000D52E5">
        <w:t xml:space="preserve">ssessment of the relevance </w:t>
      </w:r>
      <w:r w:rsidR="00604D1C">
        <w:t xml:space="preserve">and </w:t>
      </w:r>
      <w:r w:rsidR="000D52E5">
        <w:t>the quality of the evidence used within the report.</w:t>
      </w:r>
    </w:p>
    <w:p w14:paraId="76EC68D1" w14:textId="39472596" w:rsidR="000D52E5" w:rsidRDefault="000D52E5" w:rsidP="000D52E5">
      <w:r>
        <w:t xml:space="preserve">Report 5 will </w:t>
      </w:r>
      <w:r w:rsidR="003A3B64">
        <w:t xml:space="preserve">also </w:t>
      </w:r>
      <w:r>
        <w:t>provide a more complete picture of the legacy impacts within each theme.</w:t>
      </w:r>
      <w:r w:rsidR="00B73D10">
        <w:t xml:space="preserve"> </w:t>
      </w:r>
      <w:r>
        <w:t xml:space="preserve">This will include, but not be limited to: </w:t>
      </w:r>
    </w:p>
    <w:p w14:paraId="76EC68D2" w14:textId="77777777" w:rsidR="000D52E5" w:rsidRDefault="000D52E5" w:rsidP="009423CD">
      <w:pPr>
        <w:pStyle w:val="BulletOne"/>
      </w:pPr>
      <w:r>
        <w:t>A more detailed consideration of the factors associated with success in particular sports;</w:t>
      </w:r>
    </w:p>
    <w:p w14:paraId="76EC68D3" w14:textId="510CAE9C" w:rsidR="000D52E5" w:rsidRDefault="000D52E5" w:rsidP="009423CD">
      <w:pPr>
        <w:pStyle w:val="BulletOne"/>
      </w:pPr>
      <w:r>
        <w:t>A</w:t>
      </w:r>
      <w:r w:rsidR="003E66EF">
        <w:t>n</w:t>
      </w:r>
      <w:r>
        <w:t xml:space="preserve"> assessment of the impact </w:t>
      </w:r>
      <w:r w:rsidR="003A3B64">
        <w:t xml:space="preserve">of the 2012 </w:t>
      </w:r>
      <w:r>
        <w:t>Games on national pride, health and well-being;</w:t>
      </w:r>
    </w:p>
    <w:p w14:paraId="76EC68D4" w14:textId="77777777" w:rsidR="000D52E5" w:rsidRDefault="000D52E5" w:rsidP="009423CD">
      <w:pPr>
        <w:pStyle w:val="BulletOne"/>
      </w:pPr>
      <w:r>
        <w:t>Analysis of visitor numbers and attendance at the Games and the associated economic impact;</w:t>
      </w:r>
    </w:p>
    <w:p w14:paraId="76EC68D5" w14:textId="6AD83B52" w:rsidR="000D52E5" w:rsidRDefault="003A3B64" w:rsidP="009423CD">
      <w:pPr>
        <w:pStyle w:val="BulletOne"/>
      </w:pPr>
      <w:r>
        <w:t xml:space="preserve">Further </w:t>
      </w:r>
      <w:r w:rsidR="000D52E5">
        <w:t xml:space="preserve">economic modelling </w:t>
      </w:r>
      <w:r>
        <w:t xml:space="preserve">covering </w:t>
      </w:r>
      <w:r w:rsidR="000D52E5">
        <w:t xml:space="preserve">the cost of staging the Games, the cost of post-Games transformation and </w:t>
      </w:r>
      <w:r>
        <w:t>other impacts such as tourism</w:t>
      </w:r>
      <w:r w:rsidR="003E66EF">
        <w:t xml:space="preserve">, </w:t>
      </w:r>
      <w:r>
        <w:t>inward investment</w:t>
      </w:r>
      <w:r w:rsidR="003E66EF">
        <w:t>, skills and East London regeneration</w:t>
      </w:r>
      <w:r w:rsidR="000D52E5">
        <w:t>;</w:t>
      </w:r>
    </w:p>
    <w:p w14:paraId="76EC68D6" w14:textId="77777777" w:rsidR="000D52E5" w:rsidRDefault="000D52E5" w:rsidP="009423CD">
      <w:pPr>
        <w:pStyle w:val="BulletOne"/>
      </w:pPr>
      <w:r>
        <w:t>An estimate of the total number of volunteers engaged in Games-related activity;</w:t>
      </w:r>
    </w:p>
    <w:p w14:paraId="76EC68D7" w14:textId="77777777" w:rsidR="000D52E5" w:rsidRDefault="000D52E5" w:rsidP="009423CD">
      <w:pPr>
        <w:pStyle w:val="BulletOne"/>
      </w:pPr>
      <w:r>
        <w:t xml:space="preserve">Analysis of the extent to which the Games have increased awareness and generated positive perceptions around disability and disabled people; </w:t>
      </w:r>
    </w:p>
    <w:p w14:paraId="76EC68D8" w14:textId="3C748926" w:rsidR="000D52E5" w:rsidRDefault="003A3B64" w:rsidP="009423CD">
      <w:pPr>
        <w:pStyle w:val="BulletOne"/>
      </w:pPr>
      <w:r>
        <w:t>A</w:t>
      </w:r>
      <w:r w:rsidR="000D52E5">
        <w:t xml:space="preserve">nalysis of the impact of the Games on residential and commercial land values in East London and its subsequent impact on resident mobility; </w:t>
      </w:r>
    </w:p>
    <w:p w14:paraId="76EC68D9" w14:textId="65C1AF66" w:rsidR="00C151C6" w:rsidRPr="009377ED" w:rsidRDefault="000D52E5" w:rsidP="00952873">
      <w:pPr>
        <w:pStyle w:val="BulletOne"/>
      </w:pPr>
      <w:r>
        <w:t>An assessment of the role of the Games in cataly</w:t>
      </w:r>
      <w:r w:rsidR="00112F96">
        <w:t>s</w:t>
      </w:r>
      <w:r>
        <w:t>ing wider private and public investment in East London.</w:t>
      </w:r>
    </w:p>
    <w:sectPr w:rsidR="00C151C6" w:rsidRPr="009377ED" w:rsidSect="00722E94">
      <w:headerReference w:type="even" r:id="rId22"/>
      <w:headerReference w:type="default" r:id="rId23"/>
      <w:footerReference w:type="even" r:id="rId24"/>
      <w:headerReference w:type="first" r:id="rId25"/>
      <w:pgSz w:w="11906" w:h="16838" w:code="9"/>
      <w:pgMar w:top="1618" w:right="1134" w:bottom="1134" w:left="2608"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60788" w14:textId="77777777" w:rsidR="009B7975" w:rsidRDefault="009B7975">
      <w:r>
        <w:separator/>
      </w:r>
    </w:p>
  </w:endnote>
  <w:endnote w:type="continuationSeparator" w:id="0">
    <w:p w14:paraId="542B1BB2" w14:textId="77777777" w:rsidR="009B7975" w:rsidRDefault="009B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liss">
    <w:altName w:val="Courier"/>
    <w:panose1 w:val="00000400000000000000"/>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x-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PFLD G+ Bliss">
    <w:altName w:val="Bliss"/>
    <w:panose1 w:val="00000000000000000000"/>
    <w:charset w:val="00"/>
    <w:family w:val="swiss"/>
    <w:notTrueType/>
    <w:pitch w:val="default"/>
    <w:sig w:usb0="00000003" w:usb1="00000000" w:usb2="00000000" w:usb3="00000000" w:csb0="00000001" w:csb1="00000000"/>
  </w:font>
  <w:font w:name="Effr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68FA" w14:textId="77777777" w:rsidR="00CA062D" w:rsidRDefault="00CA0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6EC68FB" w14:textId="77777777" w:rsidR="00CA062D" w:rsidRDefault="00CA06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6902" w14:textId="77777777" w:rsidR="00CA062D" w:rsidRDefault="00CA0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8E4">
      <w:rPr>
        <w:rStyle w:val="PageNumber"/>
        <w:noProof/>
      </w:rPr>
      <w:t>34</w:t>
    </w:r>
    <w:r>
      <w:rPr>
        <w:rStyle w:val="PageNumber"/>
      </w:rPr>
      <w:fldChar w:fldCharType="end"/>
    </w:r>
  </w:p>
  <w:p w14:paraId="76EC6903" w14:textId="77777777" w:rsidR="00CA062D" w:rsidRDefault="00CA062D">
    <w:pPr>
      <w:pStyle w:val="Footer"/>
      <w:ind w:right="360"/>
      <w:rPr>
        <w:rFonts w:ascii="Garamond" w:hAnsi="Garamond"/>
      </w:rPr>
    </w:pPr>
    <w:r>
      <w:rPr>
        <w:rFonts w:ascii="Garamond" w:hAnsi="Garamond" w:cs="Arial"/>
      </w:rPr>
      <w:t>©</w:t>
    </w:r>
    <w:r>
      <w:rPr>
        <w:rFonts w:ascii="Garamond" w:hAnsi="Garamond"/>
      </w:rPr>
      <w:t xml:space="preserve"> </w:t>
    </w:r>
    <w:r>
      <w:rPr>
        <w:rFonts w:ascii="Garamond" w:hAnsi="Garamond"/>
      </w:rPr>
      <w:fldChar w:fldCharType="begin"/>
    </w:r>
    <w:r>
      <w:rPr>
        <w:rFonts w:ascii="Garamond" w:hAnsi="Garamond"/>
      </w:rPr>
      <w:instrText xml:space="preserve"> SAVEDATE  \@ "yyyy"  \* MERGEFORMAT </w:instrText>
    </w:r>
    <w:r>
      <w:rPr>
        <w:rFonts w:ascii="Garamond" w:hAnsi="Garamond"/>
      </w:rPr>
      <w:fldChar w:fldCharType="separate"/>
    </w:r>
    <w:r w:rsidR="00AA28E4">
      <w:rPr>
        <w:rFonts w:ascii="Garamond" w:hAnsi="Garamond"/>
        <w:noProof/>
      </w:rPr>
      <w:t>2012</w:t>
    </w:r>
    <w:r>
      <w:rPr>
        <w:rFonts w:ascii="Garamond" w:hAnsi="Garamond"/>
      </w:rPr>
      <w:fldChar w:fldCharType="end"/>
    </w:r>
    <w:r>
      <w:rPr>
        <w:rFonts w:ascii="Garamond" w:hAnsi="Garamond"/>
      </w:rPr>
      <w:t xml:space="preserve"> Grant Thornton </w:t>
    </w:r>
    <w:smartTag w:uri="urn:schemas-microsoft-com:office:smarttags" w:element="country-region">
      <w:smartTag w:uri="urn:schemas-microsoft-com:office:smarttags" w:element="place">
        <w:r>
          <w:rPr>
            <w:rFonts w:ascii="Garamond" w:hAnsi="Garamond"/>
          </w:rPr>
          <w:t>UK</w:t>
        </w:r>
      </w:smartTag>
    </w:smartTag>
    <w:r>
      <w:rPr>
        <w:rFonts w:ascii="Garamond" w:hAnsi="Garamond"/>
      </w:rPr>
      <w:t xml:space="preserve"> </w:t>
    </w:r>
    <w:smartTag w:uri="urn:schemas-microsoft-com:office:smarttags" w:element="PersonName">
      <w:r>
        <w:rPr>
          <w:rFonts w:ascii="Garamond" w:hAnsi="Garamond"/>
        </w:rPr>
        <w:t>LLP</w:t>
      </w:r>
    </w:smartTag>
    <w:r>
      <w:rPr>
        <w:rFonts w:ascii="Garamond" w:hAnsi="Garamond"/>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690A" w14:textId="77777777" w:rsidR="00CA062D" w:rsidRDefault="00CA0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6EC690B" w14:textId="77777777" w:rsidR="00CA062D" w:rsidRDefault="00CA06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1417" w14:textId="77777777" w:rsidR="009B7975" w:rsidRDefault="009B7975">
      <w:pPr>
        <w:pStyle w:val="Footer"/>
      </w:pPr>
    </w:p>
  </w:footnote>
  <w:footnote w:type="continuationSeparator" w:id="0">
    <w:p w14:paraId="719281B7" w14:textId="77777777" w:rsidR="009B7975" w:rsidRDefault="009B7975">
      <w:pPr>
        <w:pStyle w:val="Footer"/>
      </w:pPr>
    </w:p>
  </w:footnote>
  <w:footnote w:id="1">
    <w:p w14:paraId="76EC6916" w14:textId="77777777" w:rsidR="00CA062D" w:rsidRPr="00A13447" w:rsidRDefault="00CA062D" w:rsidP="00A13447">
      <w:pPr>
        <w:pStyle w:val="FootnoteText"/>
        <w:spacing w:before="0" w:after="0"/>
        <w:rPr>
          <w:sz w:val="16"/>
          <w:szCs w:val="16"/>
        </w:rPr>
      </w:pPr>
      <w:r w:rsidRPr="00A13447">
        <w:rPr>
          <w:rStyle w:val="FootnoteReference"/>
          <w:sz w:val="16"/>
          <w:szCs w:val="16"/>
        </w:rPr>
        <w:footnoteRef/>
      </w:r>
      <w:r w:rsidRPr="00A13447">
        <w:rPr>
          <w:sz w:val="16"/>
          <w:szCs w:val="16"/>
        </w:rPr>
        <w:t xml:space="preserve"> This includes the six London Boroughs of Barking &amp; Dagenham, Greenwich, Hackney, Newham, Tower Hamlets and Waltham Forest.</w:t>
      </w:r>
    </w:p>
  </w:footnote>
  <w:footnote w:id="2">
    <w:p w14:paraId="76EC6917" w14:textId="77777777" w:rsidR="00CA062D" w:rsidRPr="00A13447" w:rsidRDefault="00CA062D" w:rsidP="00A13447">
      <w:pPr>
        <w:pStyle w:val="FootnoteText"/>
        <w:spacing w:before="0" w:after="0"/>
        <w:rPr>
          <w:sz w:val="16"/>
          <w:szCs w:val="16"/>
        </w:rPr>
      </w:pPr>
      <w:r w:rsidRPr="00A13447">
        <w:rPr>
          <w:rStyle w:val="FootnoteReference"/>
          <w:sz w:val="16"/>
          <w:szCs w:val="16"/>
        </w:rPr>
        <w:footnoteRef/>
      </w:r>
      <w:r w:rsidRPr="00A13447">
        <w:rPr>
          <w:sz w:val="16"/>
          <w:szCs w:val="16"/>
        </w:rPr>
        <w:t xml:space="preserve"> The '2012 Games' is defined as the combination of preparing for and staging the Games and the package of legacy initiatives.</w:t>
      </w:r>
    </w:p>
  </w:footnote>
  <w:footnote w:id="3">
    <w:p w14:paraId="76EC6918" w14:textId="77777777" w:rsidR="00CA062D" w:rsidRPr="00A13447" w:rsidRDefault="00CA062D" w:rsidP="00A13447">
      <w:pPr>
        <w:pStyle w:val="FootnoteText"/>
        <w:spacing w:before="0" w:after="0"/>
        <w:rPr>
          <w:sz w:val="16"/>
          <w:szCs w:val="16"/>
        </w:rPr>
      </w:pPr>
      <w:r w:rsidRPr="00A13447">
        <w:rPr>
          <w:rStyle w:val="FootnoteReference"/>
          <w:sz w:val="16"/>
          <w:szCs w:val="16"/>
        </w:rPr>
        <w:footnoteRef/>
      </w:r>
      <w:r w:rsidRPr="00A13447">
        <w:rPr>
          <w:sz w:val="16"/>
          <w:szCs w:val="16"/>
        </w:rPr>
        <w:t xml:space="preserve"> </w:t>
      </w:r>
      <w:proofErr w:type="spellStart"/>
      <w:proofErr w:type="gramStart"/>
      <w:r w:rsidRPr="00A13447">
        <w:rPr>
          <w:sz w:val="16"/>
          <w:szCs w:val="16"/>
        </w:rPr>
        <w:t>Hansard</w:t>
      </w:r>
      <w:proofErr w:type="spellEnd"/>
      <w:r w:rsidRPr="00A13447">
        <w:rPr>
          <w:sz w:val="16"/>
          <w:szCs w:val="16"/>
        </w:rPr>
        <w:t>, Written Ministerial Statement by The Secretary of State for Culture, Olympics, Media and Sport on Olympic and Paralympic Games Legacy, 20</w:t>
      </w:r>
      <w:r w:rsidRPr="00A13447">
        <w:rPr>
          <w:sz w:val="16"/>
          <w:szCs w:val="16"/>
          <w:vertAlign w:val="superscript"/>
        </w:rPr>
        <w:t>th</w:t>
      </w:r>
      <w:r w:rsidRPr="00A13447">
        <w:rPr>
          <w:sz w:val="16"/>
          <w:szCs w:val="16"/>
        </w:rPr>
        <w:t xml:space="preserve"> December 2010.</w:t>
      </w:r>
      <w:proofErr w:type="gramEnd"/>
    </w:p>
  </w:footnote>
  <w:footnote w:id="4">
    <w:p w14:paraId="311E5127" w14:textId="77777777" w:rsidR="00CA062D" w:rsidRPr="00A13447" w:rsidRDefault="00CA062D" w:rsidP="00A13447">
      <w:pPr>
        <w:pStyle w:val="FootnoteText"/>
        <w:spacing w:before="0" w:after="0"/>
        <w:rPr>
          <w:sz w:val="16"/>
          <w:szCs w:val="16"/>
        </w:rPr>
      </w:pPr>
      <w:r w:rsidRPr="00A13447">
        <w:rPr>
          <w:rStyle w:val="FootnoteReference"/>
          <w:sz w:val="16"/>
          <w:szCs w:val="16"/>
        </w:rPr>
        <w:footnoteRef/>
      </w:r>
      <w:r w:rsidRPr="00A13447">
        <w:rPr>
          <w:sz w:val="16"/>
          <w:szCs w:val="16"/>
        </w:rPr>
        <w:t xml:space="preserve"> Places People Play is being delivered by Sport England in partnership with the British Olympic Association and British Paralympic Association. It operates throughout all the regions of England and consists of eight strands covering participation and infrastructure.</w:t>
      </w:r>
    </w:p>
  </w:footnote>
  <w:footnote w:id="5">
    <w:p w14:paraId="58C4C8B9" w14:textId="3227EFBB" w:rsidR="00CA062D" w:rsidRPr="00A13447" w:rsidRDefault="00CA062D" w:rsidP="00A13447">
      <w:pPr>
        <w:pStyle w:val="FootnoteText"/>
        <w:spacing w:before="0" w:after="0"/>
        <w:rPr>
          <w:sz w:val="16"/>
          <w:szCs w:val="16"/>
        </w:rPr>
      </w:pPr>
      <w:r w:rsidRPr="00A13447">
        <w:rPr>
          <w:rStyle w:val="FootnoteReference"/>
          <w:sz w:val="16"/>
          <w:szCs w:val="16"/>
        </w:rPr>
        <w:footnoteRef/>
      </w:r>
      <w:r w:rsidRPr="00A13447">
        <w:rPr>
          <w:sz w:val="16"/>
          <w:szCs w:val="16"/>
        </w:rPr>
        <w:t xml:space="preserve"> School Games is a framework of competitions led by Sport England and delivered by the Youth Sport Trust, supported by Lottery funding, with additional funding from the Department of Health and Department for Education. All schools in England have been given an opportunity to participate, with pupils competing against one another in intra-school (level 1)</w:t>
      </w:r>
      <w:proofErr w:type="gramStart"/>
      <w:r w:rsidRPr="00A13447">
        <w:rPr>
          <w:sz w:val="16"/>
          <w:szCs w:val="16"/>
        </w:rPr>
        <w:t>,</w:t>
      </w:r>
      <w:proofErr w:type="gramEnd"/>
      <w:r w:rsidRPr="00A13447">
        <w:rPr>
          <w:sz w:val="16"/>
          <w:szCs w:val="16"/>
        </w:rPr>
        <w:t xml:space="preserve"> inter-school (level 2) and county festivals (level 3). A national event, level 4</w:t>
      </w:r>
      <w:r w:rsidR="000E22A8">
        <w:rPr>
          <w:sz w:val="16"/>
          <w:szCs w:val="16"/>
        </w:rPr>
        <w:t>,</w:t>
      </w:r>
      <w:r w:rsidRPr="00A13447">
        <w:rPr>
          <w:sz w:val="16"/>
          <w:szCs w:val="16"/>
        </w:rPr>
        <w:t xml:space="preserve"> also includes students from the nations.</w:t>
      </w:r>
    </w:p>
  </w:footnote>
  <w:footnote w:id="6">
    <w:p w14:paraId="76EC691B" w14:textId="77777777" w:rsidR="00CA062D" w:rsidRPr="00A13447" w:rsidRDefault="00CA062D" w:rsidP="00A13447">
      <w:pPr>
        <w:pStyle w:val="FootnoteText"/>
        <w:spacing w:before="0" w:after="0"/>
        <w:rPr>
          <w:sz w:val="16"/>
          <w:szCs w:val="16"/>
        </w:rPr>
      </w:pPr>
      <w:r w:rsidRPr="00A13447">
        <w:rPr>
          <w:rStyle w:val="FootnoteReference"/>
          <w:sz w:val="16"/>
          <w:szCs w:val="16"/>
        </w:rPr>
        <w:footnoteRef/>
      </w:r>
      <w:r w:rsidRPr="00A13447">
        <w:rPr>
          <w:sz w:val="16"/>
          <w:szCs w:val="16"/>
        </w:rPr>
        <w:t xml:space="preserve"> </w:t>
      </w:r>
      <w:r w:rsidRPr="00A13447">
        <w:rPr>
          <w:rFonts w:cstheme="minorHAnsi"/>
          <w:color w:val="000000"/>
          <w:sz w:val="16"/>
          <w:szCs w:val="16"/>
          <w:lang w:val="en"/>
        </w:rPr>
        <w:t>Change4Life Sports Clubs aims to harness the inspiration of the Olympic and Paralympic Games. It encourages less active primary and secondary aged school children to do more physical activity and engage in sport.</w:t>
      </w:r>
    </w:p>
  </w:footnote>
  <w:footnote w:id="7">
    <w:p w14:paraId="76EC691C" w14:textId="138D107D" w:rsidR="00CA062D" w:rsidRPr="00A13447" w:rsidRDefault="00CA062D" w:rsidP="00A13447">
      <w:pPr>
        <w:pStyle w:val="FootnoteText"/>
        <w:spacing w:before="0" w:after="0"/>
        <w:rPr>
          <w:sz w:val="16"/>
          <w:szCs w:val="16"/>
        </w:rPr>
      </w:pPr>
      <w:r w:rsidRPr="00A13447">
        <w:rPr>
          <w:rStyle w:val="FootnoteReference"/>
          <w:sz w:val="16"/>
          <w:szCs w:val="16"/>
        </w:rPr>
        <w:footnoteRef/>
      </w:r>
      <w:r w:rsidRPr="00A13447">
        <w:rPr>
          <w:sz w:val="16"/>
          <w:szCs w:val="16"/>
        </w:rPr>
        <w:t xml:space="preserve"> </w:t>
      </w:r>
      <w:r w:rsidRPr="00A13447">
        <w:rPr>
          <w:rFonts w:cstheme="minorHAnsi"/>
          <w:sz w:val="16"/>
          <w:szCs w:val="16"/>
        </w:rPr>
        <w:t>The Walk4Life project aims to encourage people who are inactive, or who do very little physical activity, to walk more to improve their health. The Department of Health gave £1.4 million of funding at the beginning of the project which was registered as an official 'Inspire' project with LOCOG.</w:t>
      </w:r>
    </w:p>
  </w:footnote>
  <w:footnote w:id="8">
    <w:p w14:paraId="76EC691D" w14:textId="764769D2" w:rsidR="00CA062D" w:rsidRPr="004A3AA3" w:rsidRDefault="00CA062D" w:rsidP="004A3AA3">
      <w:pPr>
        <w:pStyle w:val="FootnoteText"/>
        <w:spacing w:before="0" w:after="0"/>
        <w:rPr>
          <w:sz w:val="16"/>
          <w:szCs w:val="16"/>
        </w:rPr>
      </w:pPr>
      <w:r w:rsidRPr="00A13447">
        <w:rPr>
          <w:rStyle w:val="FootnoteReference"/>
          <w:sz w:val="16"/>
          <w:szCs w:val="16"/>
        </w:rPr>
        <w:footnoteRef/>
      </w:r>
      <w:r w:rsidRPr="00A13447">
        <w:rPr>
          <w:sz w:val="16"/>
          <w:szCs w:val="16"/>
        </w:rPr>
        <w:t xml:space="preserve"> </w:t>
      </w:r>
      <w:r w:rsidRPr="00A13447">
        <w:rPr>
          <w:rFonts w:cstheme="minorHAnsi"/>
          <w:sz w:val="16"/>
          <w:szCs w:val="16"/>
        </w:rPr>
        <w:t xml:space="preserve">The Games4Life </w:t>
      </w:r>
      <w:r>
        <w:rPr>
          <w:rFonts w:cstheme="minorHAnsi"/>
          <w:sz w:val="16"/>
          <w:szCs w:val="16"/>
        </w:rPr>
        <w:t xml:space="preserve">(G4L) </w:t>
      </w:r>
      <w:r w:rsidRPr="00A13447">
        <w:rPr>
          <w:rFonts w:cstheme="minorHAnsi"/>
          <w:sz w:val="16"/>
          <w:szCs w:val="16"/>
        </w:rPr>
        <w:t>campaign aims to inspire residents across the UK to get active during this year's summer of sport. It encourages everyone to fill out a simple activity check questionnaire in return for a tail</w:t>
      </w:r>
      <w:r w:rsidRPr="004A3AA3">
        <w:rPr>
          <w:rFonts w:cstheme="minorHAnsi"/>
          <w:sz w:val="16"/>
          <w:szCs w:val="16"/>
        </w:rPr>
        <w:t xml:space="preserve">ored G4L activity pack to keep both adults and kids busy during the summer months. </w:t>
      </w:r>
    </w:p>
  </w:footnote>
  <w:footnote w:id="9">
    <w:p w14:paraId="4F834025" w14:textId="1BE19A25" w:rsidR="00CA062D" w:rsidRDefault="00CA062D" w:rsidP="004A3AA3">
      <w:pPr>
        <w:pStyle w:val="FootnoteText"/>
        <w:spacing w:before="0" w:after="0"/>
      </w:pPr>
      <w:r w:rsidRPr="004A3AA3">
        <w:rPr>
          <w:rStyle w:val="FootnoteReference"/>
          <w:sz w:val="16"/>
          <w:szCs w:val="16"/>
        </w:rPr>
        <w:footnoteRef/>
      </w:r>
      <w:r w:rsidRPr="004A3AA3">
        <w:rPr>
          <w:sz w:val="16"/>
          <w:szCs w:val="16"/>
        </w:rPr>
        <w:t xml:space="preserve"> Taking Part is a major continuous survey of cultural and sport participation in England and has been undertaken every year since 2005/6. Taking Part has been used throughout the report to provide a picture of participation at a national level. Where there is a need for local level data or more detailed analysis by individual sports the Active People Survey has been used.</w:t>
      </w:r>
    </w:p>
  </w:footnote>
  <w:footnote w:id="10">
    <w:p w14:paraId="76EC691E" w14:textId="77777777" w:rsidR="00CA062D" w:rsidRPr="00A13447" w:rsidRDefault="00CA062D" w:rsidP="00A13447">
      <w:pPr>
        <w:pStyle w:val="FootnoteText"/>
        <w:spacing w:before="0" w:after="0"/>
        <w:rPr>
          <w:sz w:val="16"/>
          <w:szCs w:val="16"/>
        </w:rPr>
      </w:pPr>
      <w:r w:rsidRPr="00A13447">
        <w:rPr>
          <w:rStyle w:val="FootnoteReference"/>
          <w:sz w:val="16"/>
          <w:szCs w:val="16"/>
        </w:rPr>
        <w:footnoteRef/>
      </w:r>
      <w:r w:rsidRPr="00A13447">
        <w:rPr>
          <w:sz w:val="16"/>
          <w:szCs w:val="16"/>
        </w:rPr>
        <w:t xml:space="preserve"> </w:t>
      </w:r>
      <w:proofErr w:type="gramStart"/>
      <w:r w:rsidRPr="00A13447">
        <w:rPr>
          <w:sz w:val="16"/>
          <w:szCs w:val="16"/>
        </w:rPr>
        <w:t>Subject to stadium attendance.</w:t>
      </w:r>
      <w:proofErr w:type="gramEnd"/>
      <w:r w:rsidRPr="00A13447">
        <w:rPr>
          <w:sz w:val="16"/>
          <w:szCs w:val="16"/>
        </w:rPr>
        <w:t xml:space="preserve"> </w:t>
      </w:r>
    </w:p>
  </w:footnote>
  <w:footnote w:id="11">
    <w:p w14:paraId="6E9B150E" w14:textId="08177F9D" w:rsidR="00CA062D" w:rsidRPr="00657D47" w:rsidRDefault="00CA062D" w:rsidP="00657D47">
      <w:pPr>
        <w:pStyle w:val="FootnoteText"/>
        <w:spacing w:before="0" w:after="0"/>
        <w:rPr>
          <w:sz w:val="16"/>
          <w:szCs w:val="16"/>
        </w:rPr>
      </w:pPr>
      <w:r w:rsidRPr="00657D47">
        <w:rPr>
          <w:rStyle w:val="FootnoteReference"/>
          <w:sz w:val="16"/>
          <w:szCs w:val="16"/>
        </w:rPr>
        <w:footnoteRef/>
      </w:r>
      <w:r w:rsidRPr="00657D47">
        <w:rPr>
          <w:sz w:val="16"/>
          <w:szCs w:val="16"/>
        </w:rPr>
        <w:t xml:space="preserve"> Given the proximity of the Athens performance to the baseline, the Athens performance has been incorporated </w:t>
      </w:r>
      <w:r w:rsidRPr="005152F7">
        <w:rPr>
          <w:sz w:val="16"/>
          <w:szCs w:val="16"/>
        </w:rPr>
        <w:t xml:space="preserve">in the baseline, </w:t>
      </w:r>
      <w:r w:rsidRPr="00657D47">
        <w:rPr>
          <w:sz w:val="16"/>
          <w:szCs w:val="16"/>
        </w:rPr>
        <w:t>as preparation predated 2004.</w:t>
      </w:r>
    </w:p>
  </w:footnote>
  <w:footnote w:id="12">
    <w:p w14:paraId="76EC691F"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UK Sport website.</w:t>
      </w:r>
      <w:proofErr w:type="gramEnd"/>
    </w:p>
  </w:footnote>
  <w:footnote w:id="13">
    <w:p w14:paraId="562BE783" w14:textId="4814E87C"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Gross Value Added (GVA) is a measure of the value of goods and services produced in an area, industry or sector of an economy.</w:t>
      </w:r>
    </w:p>
  </w:footnote>
  <w:footnote w:id="14">
    <w:p w14:paraId="76EC6921" w14:textId="59CCA3F3" w:rsidR="00CA062D" w:rsidRPr="005152F7" w:rsidRDefault="00CA062D" w:rsidP="005152F7">
      <w:pPr>
        <w:spacing w:before="0" w:after="0"/>
        <w:rPr>
          <w:sz w:val="16"/>
          <w:szCs w:val="16"/>
        </w:rPr>
      </w:pPr>
      <w:r w:rsidRPr="005152F7">
        <w:rPr>
          <w:rStyle w:val="FootnoteReference"/>
          <w:sz w:val="16"/>
          <w:szCs w:val="16"/>
        </w:rPr>
        <w:footnoteRef/>
      </w:r>
      <w:r w:rsidRPr="005152F7">
        <w:rPr>
          <w:sz w:val="16"/>
          <w:szCs w:val="16"/>
        </w:rPr>
        <w:t xml:space="preserve"> The location of spend has been determined by postcodes in the ODA's financial monitoring data. These postcodes relate to the location of the office receiving payment and not necessarily the location where the activity has taken place. </w:t>
      </w:r>
    </w:p>
  </w:footnote>
  <w:footnote w:id="15">
    <w:p w14:paraId="76EC6922" w14:textId="4C17FD5B"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rStyle w:val="GrantThorntonChar"/>
          <w:sz w:val="16"/>
          <w:szCs w:val="16"/>
        </w:rPr>
        <w:t>Evaluation Partnership (2011).</w:t>
      </w:r>
      <w:proofErr w:type="gramEnd"/>
      <w:r w:rsidRPr="005152F7">
        <w:rPr>
          <w:rStyle w:val="GrantThorntonChar"/>
          <w:sz w:val="16"/>
          <w:szCs w:val="16"/>
        </w:rPr>
        <w:t xml:space="preserve"> BIS and RDAs: Interim Evaluation of CompeteFor.</w:t>
      </w:r>
    </w:p>
  </w:footnote>
  <w:footnote w:id="16">
    <w:p w14:paraId="76EC6923"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This data should be considered in the context of the point made in footnote 11 concerning the distinction between location of offices receiving payment and activity.</w:t>
      </w:r>
    </w:p>
  </w:footnote>
  <w:footnote w:id="17">
    <w:p w14:paraId="76EC6924" w14:textId="1ABA7B92"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r w:rsidRPr="005152F7">
        <w:rPr>
          <w:rStyle w:val="GrantThorntonChar"/>
          <w:sz w:val="16"/>
          <w:szCs w:val="16"/>
        </w:rPr>
        <w:t>Cushman and Wakefield (2005-2011). European Cities Monitor.</w:t>
      </w:r>
    </w:p>
  </w:footnote>
  <w:footnote w:id="18">
    <w:p w14:paraId="76EC6925" w14:textId="0D9C8F29" w:rsidR="00CA062D" w:rsidRPr="005152F7" w:rsidRDefault="00CA062D" w:rsidP="005152F7">
      <w:pPr>
        <w:pStyle w:val="GrantThornton"/>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London and Partners (2011).</w:t>
      </w:r>
      <w:proofErr w:type="gramEnd"/>
      <w:r w:rsidRPr="005152F7">
        <w:rPr>
          <w:sz w:val="16"/>
          <w:szCs w:val="16"/>
        </w:rPr>
        <w:t xml:space="preserve"> The Value of the London 2012 Olympics to UK Tourism: Updated estimates, Oxford Economics.</w:t>
      </w:r>
    </w:p>
  </w:footnote>
  <w:footnote w:id="19">
    <w:p w14:paraId="76EC6926" w14:textId="77777777" w:rsidR="00CA062D" w:rsidRPr="005152F7" w:rsidRDefault="00CA062D" w:rsidP="005152F7">
      <w:pPr>
        <w:pStyle w:val="GrantThornton"/>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PwC and SQW (2011).</w:t>
      </w:r>
      <w:proofErr w:type="gramEnd"/>
      <w:r w:rsidRPr="005152F7">
        <w:rPr>
          <w:sz w:val="16"/>
          <w:szCs w:val="16"/>
        </w:rPr>
        <w:t xml:space="preserve"> London Development Agency: 2012 Games Legacy Impact Evaluation Study: Appendix B LEST Evaluation (Final Report).</w:t>
      </w:r>
    </w:p>
  </w:footnote>
  <w:footnote w:id="20">
    <w:p w14:paraId="4C9E2DE2" w14:textId="6551066E" w:rsidR="00CA062D" w:rsidRPr="00657D47" w:rsidRDefault="00CA062D" w:rsidP="00657D47">
      <w:pPr>
        <w:pStyle w:val="FootnoteText"/>
        <w:spacing w:before="0" w:after="0"/>
        <w:rPr>
          <w:sz w:val="16"/>
          <w:szCs w:val="16"/>
        </w:rPr>
      </w:pPr>
      <w:r w:rsidRPr="00657D47">
        <w:rPr>
          <w:rStyle w:val="FootnoteReference"/>
          <w:sz w:val="16"/>
          <w:szCs w:val="16"/>
        </w:rPr>
        <w:footnoteRef/>
      </w:r>
      <w:r w:rsidRPr="00657D47">
        <w:rPr>
          <w:sz w:val="16"/>
          <w:szCs w:val="16"/>
        </w:rPr>
        <w:t xml:space="preserve"> </w:t>
      </w:r>
      <w:r w:rsidRPr="00431B82">
        <w:rPr>
          <w:sz w:val="16"/>
          <w:szCs w:val="16"/>
        </w:rPr>
        <w:t xml:space="preserve">Commission for a Sustainable London 2012, Assuming a Legacy – promises, progress and potential: a review of legacy across the London 2012 programme, March 2012; Commission for a Sustainable London 2012, Preparations Review (February 2012). </w:t>
      </w:r>
    </w:p>
  </w:footnote>
  <w:footnote w:id="21">
    <w:p w14:paraId="76EC6927" w14:textId="77777777" w:rsidR="00CA062D" w:rsidRPr="005152F7" w:rsidRDefault="00CA062D" w:rsidP="005152F7">
      <w:pPr>
        <w:pStyle w:val="GrantThornton"/>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British Research Establishment Environmental Assessment Method.</w:t>
      </w:r>
      <w:proofErr w:type="gramEnd"/>
    </w:p>
  </w:footnote>
  <w:footnote w:id="22">
    <w:p w14:paraId="76EC6928" w14:textId="7F233ECA" w:rsidR="00CA062D" w:rsidRPr="005152F7" w:rsidRDefault="00CA062D" w:rsidP="005152F7">
      <w:pPr>
        <w:pStyle w:val="GrantThornton"/>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Commission for a Sustainable London 2012.</w:t>
      </w:r>
      <w:proofErr w:type="gramEnd"/>
      <w:r w:rsidRPr="005152F7">
        <w:rPr>
          <w:sz w:val="16"/>
          <w:szCs w:val="16"/>
        </w:rPr>
        <w:t xml:space="preserve"> </w:t>
      </w:r>
      <w:proofErr w:type="gramStart"/>
      <w:r w:rsidRPr="005152F7">
        <w:rPr>
          <w:sz w:val="16"/>
          <w:szCs w:val="16"/>
        </w:rPr>
        <w:t>Annual Review 2011/12.</w:t>
      </w:r>
      <w:proofErr w:type="gramEnd"/>
    </w:p>
  </w:footnote>
  <w:footnote w:id="23">
    <w:p w14:paraId="76EC6929" w14:textId="0184F47B"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Citizenship Survey.</w:t>
      </w:r>
      <w:proofErr w:type="gramEnd"/>
      <w:r w:rsidRPr="005152F7">
        <w:rPr>
          <w:sz w:val="16"/>
          <w:szCs w:val="16"/>
        </w:rPr>
        <w:t xml:space="preserve"> </w:t>
      </w:r>
      <w:proofErr w:type="gramStart"/>
      <w:r w:rsidRPr="005152F7">
        <w:rPr>
          <w:sz w:val="16"/>
          <w:szCs w:val="16"/>
        </w:rPr>
        <w:t>Percentage of the population volunteering at least once in the last 12 months.</w:t>
      </w:r>
      <w:proofErr w:type="gramEnd"/>
      <w:r w:rsidRPr="005152F7">
        <w:rPr>
          <w:sz w:val="16"/>
          <w:szCs w:val="16"/>
        </w:rPr>
        <w:t xml:space="preserve"> </w:t>
      </w:r>
    </w:p>
  </w:footnote>
  <w:footnote w:id="24">
    <w:p w14:paraId="76EC692A" w14:textId="1D66FAFA"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Survey of Inspire Project Leads – Wave 1 (Nielsen</w:t>
      </w:r>
      <w:r>
        <w:rPr>
          <w:sz w:val="16"/>
          <w:szCs w:val="16"/>
        </w:rPr>
        <w:t>/LOCOG</w:t>
      </w:r>
      <w:r w:rsidRPr="005152F7">
        <w:rPr>
          <w:sz w:val="16"/>
          <w:szCs w:val="16"/>
        </w:rPr>
        <w:t xml:space="preserve">, 2012); Cadbury Spots V Stripes Community Impact Report 2011. </w:t>
      </w:r>
    </w:p>
  </w:footnote>
  <w:footnote w:id="25">
    <w:p w14:paraId="76EC692B" w14:textId="64A3D046"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Grant Thornton et al (2012). Meta-Evaluation of the Impacts and Legacy of the London 2012 Olympic Games and Paralympic Games: Report 3 – Baseline and Counterfactual.</w:t>
      </w:r>
    </w:p>
  </w:footnote>
  <w:footnote w:id="26">
    <w:p w14:paraId="76EC692C" w14:textId="12B71D7E"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Survey of Inspire Project Leads – Wave 1 (Nielsen</w:t>
      </w:r>
      <w:r>
        <w:rPr>
          <w:sz w:val="16"/>
          <w:szCs w:val="16"/>
        </w:rPr>
        <w:t>/LOCOG</w:t>
      </w:r>
      <w:r w:rsidRPr="005152F7">
        <w:rPr>
          <w:sz w:val="16"/>
          <w:szCs w:val="16"/>
        </w:rPr>
        <w:t>, 2012).</w:t>
      </w:r>
    </w:p>
  </w:footnote>
  <w:footnote w:id="27">
    <w:p w14:paraId="76EC692D"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hyperlink r:id="rId1" w:history="1">
        <w:r w:rsidRPr="005152F7">
          <w:rPr>
            <w:rStyle w:val="Hyperlink"/>
            <w:sz w:val="16"/>
            <w:szCs w:val="16"/>
          </w:rPr>
          <w:t>http://www.london2012.com/about-us/cultural-olympiad/index.html</w:t>
        </w:r>
      </w:hyperlink>
      <w:r w:rsidRPr="005152F7">
        <w:rPr>
          <w:sz w:val="16"/>
          <w:szCs w:val="16"/>
        </w:rPr>
        <w:t xml:space="preserve"> (accessed 24/05/12). </w:t>
      </w:r>
    </w:p>
  </w:footnote>
  <w:footnote w:id="28">
    <w:p w14:paraId="76EC692E"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Legacy Trust UK Interim Review (2012).</w:t>
      </w:r>
      <w:proofErr w:type="gramEnd"/>
    </w:p>
  </w:footnote>
  <w:footnote w:id="29">
    <w:p w14:paraId="76EC692F" w14:textId="7B79F31B"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Grant Thornton et al (2012). Meta-Evaluation of the Impacts and Legacy of the London 2012 Olympic Games and Paralympic Games: Report 3 – Baseline and Counterfactual.</w:t>
      </w:r>
    </w:p>
  </w:footnote>
  <w:footnote w:id="30">
    <w:p w14:paraId="61516997" w14:textId="2C51FE1C" w:rsidR="00CA062D" w:rsidRPr="005152F7" w:rsidRDefault="00CA062D" w:rsidP="002F3BE0">
      <w:pPr>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lang w:eastAsia="en-GB"/>
        </w:rPr>
        <w:t>Nielsen</w:t>
      </w:r>
      <w:r>
        <w:rPr>
          <w:sz w:val="16"/>
          <w:szCs w:val="16"/>
          <w:lang w:eastAsia="en-GB"/>
        </w:rPr>
        <w:t>/LOCOG</w:t>
      </w:r>
      <w:r w:rsidRPr="005152F7">
        <w:rPr>
          <w:sz w:val="16"/>
          <w:szCs w:val="16"/>
          <w:lang w:eastAsia="en-GB"/>
        </w:rPr>
        <w:t xml:space="preserve"> (2011).</w:t>
      </w:r>
      <w:proofErr w:type="gramEnd"/>
      <w:r w:rsidRPr="005152F7">
        <w:rPr>
          <w:sz w:val="16"/>
          <w:szCs w:val="16"/>
          <w:lang w:eastAsia="en-GB"/>
        </w:rPr>
        <w:t xml:space="preserve"> Get Set Evaluation Report, Phase 1, Sept 2010; Phase 2, Oct 2011.</w:t>
      </w:r>
    </w:p>
  </w:footnote>
  <w:footnote w:id="31">
    <w:p w14:paraId="76EC6931"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Evaluation of the London 2012 Young Leaders Programme. Update December 2011 (Skyblue Research).</w:t>
      </w:r>
    </w:p>
  </w:footnote>
  <w:footnote w:id="32">
    <w:p w14:paraId="76EC6932" w14:textId="10704AC6"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Grant Thornton et al (2012). Meta-Evaluation of the Impacts and Legacy of the London 2012 Olympic Games and Paralympic Games: Report 3 – Baseline and Counterfactual.</w:t>
      </w:r>
    </w:p>
  </w:footnote>
  <w:footnote w:id="33">
    <w:p w14:paraId="76EC6933" w14:textId="474D5120"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Grant Thornton et al (2012). Meta-Evaluation of the Impacts and Legacy of the London 2012 Olympic Games and Paralympic Games: Report 3 – Baseline and Counterfactual.</w:t>
      </w:r>
    </w:p>
  </w:footnote>
  <w:footnote w:id="34">
    <w:p w14:paraId="76EC6934" w14:textId="608E52E9" w:rsidR="00CA062D" w:rsidRPr="005152F7" w:rsidRDefault="00CA062D" w:rsidP="005152F7">
      <w:pPr>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lang w:eastAsia="en-GB"/>
        </w:rPr>
        <w:t>Nielsen</w:t>
      </w:r>
      <w:r>
        <w:rPr>
          <w:sz w:val="16"/>
          <w:szCs w:val="16"/>
          <w:lang w:eastAsia="en-GB"/>
        </w:rPr>
        <w:t>/LOCOG</w:t>
      </w:r>
      <w:r w:rsidRPr="005152F7">
        <w:rPr>
          <w:sz w:val="16"/>
          <w:szCs w:val="16"/>
          <w:lang w:eastAsia="en-GB"/>
        </w:rPr>
        <w:t xml:space="preserve"> (2011).</w:t>
      </w:r>
      <w:proofErr w:type="gramEnd"/>
      <w:r w:rsidRPr="005152F7">
        <w:rPr>
          <w:sz w:val="16"/>
          <w:szCs w:val="16"/>
          <w:lang w:eastAsia="en-GB"/>
        </w:rPr>
        <w:t xml:space="preserve"> Get Set Evaluation Report, Phase 1, Sept 2010; Phase 2, Oct 2011.</w:t>
      </w:r>
    </w:p>
  </w:footnote>
  <w:footnote w:id="35">
    <w:p w14:paraId="76EC6935"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The work is led and coordinated by a dedicated Host Borough Unit.</w:t>
      </w:r>
    </w:p>
  </w:footnote>
  <w:footnote w:id="36">
    <w:p w14:paraId="76EC6936" w14:textId="117E0EC3"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Host Boroughs (2009). Convergence, Strategic Regeneration Framework, </w:t>
      </w:r>
      <w:proofErr w:type="gramStart"/>
      <w:r w:rsidRPr="005152F7">
        <w:rPr>
          <w:sz w:val="16"/>
          <w:szCs w:val="16"/>
        </w:rPr>
        <w:t>An</w:t>
      </w:r>
      <w:proofErr w:type="gramEnd"/>
      <w:r w:rsidRPr="005152F7">
        <w:rPr>
          <w:sz w:val="16"/>
          <w:szCs w:val="16"/>
        </w:rPr>
        <w:t xml:space="preserve"> Olympic legacy for the host boroughs.</w:t>
      </w:r>
    </w:p>
  </w:footnote>
  <w:footnote w:id="37">
    <w:p w14:paraId="76EC6937"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DCMS (2012).</w:t>
      </w:r>
      <w:proofErr w:type="gramEnd"/>
      <w:r w:rsidRPr="005152F7">
        <w:rPr>
          <w:sz w:val="16"/>
          <w:szCs w:val="16"/>
        </w:rPr>
        <w:t xml:space="preserve"> </w:t>
      </w:r>
      <w:proofErr w:type="gramStart"/>
      <w:r w:rsidRPr="005152F7">
        <w:rPr>
          <w:sz w:val="16"/>
          <w:szCs w:val="16"/>
        </w:rPr>
        <w:t>Beyond 2012 The London 2012 Legacy Story.</w:t>
      </w:r>
      <w:proofErr w:type="gramEnd"/>
    </w:p>
  </w:footnote>
  <w:footnote w:id="38">
    <w:p w14:paraId="76EC6938"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Excluding construction-related.</w:t>
      </w:r>
      <w:proofErr w:type="gramEnd"/>
    </w:p>
  </w:footnote>
  <w:footnote w:id="39">
    <w:p w14:paraId="76EC6939" w14:textId="4CA03AC9"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ODA Cumulative Olympic Park and Athletes' Village contractor workforce total April 2008-December 2011.</w:t>
      </w:r>
    </w:p>
  </w:footnote>
  <w:footnote w:id="40">
    <w:p w14:paraId="76EC693A" w14:textId="1F97545D"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LOCOG (2012).</w:t>
      </w:r>
      <w:proofErr w:type="gramEnd"/>
      <w:r w:rsidRPr="005152F7">
        <w:rPr>
          <w:sz w:val="16"/>
          <w:szCs w:val="16"/>
        </w:rPr>
        <w:t xml:space="preserve"> Employment &amp; Skills Performance 21/05/2012.</w:t>
      </w:r>
    </w:p>
  </w:footnote>
  <w:footnote w:id="41">
    <w:p w14:paraId="76EC693B"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PwC and SQW (2011).</w:t>
      </w:r>
      <w:proofErr w:type="gramEnd"/>
      <w:r w:rsidRPr="005152F7">
        <w:rPr>
          <w:sz w:val="16"/>
          <w:szCs w:val="16"/>
        </w:rPr>
        <w:t xml:space="preserve"> London Development Agency: 2012 Games Legacy Impact Evaluation Study: Appendix B London Employment and Skills Taskforce for 2012 (Final Report).</w:t>
      </w:r>
    </w:p>
  </w:footnote>
  <w:footnote w:id="42">
    <w:p w14:paraId="76EC693C"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Host Boroughs (2009). Convergence, Strategic Regeneration Framework, </w:t>
      </w:r>
      <w:proofErr w:type="gramStart"/>
      <w:r w:rsidRPr="005152F7">
        <w:rPr>
          <w:sz w:val="16"/>
          <w:szCs w:val="16"/>
        </w:rPr>
        <w:t>An</w:t>
      </w:r>
      <w:proofErr w:type="gramEnd"/>
      <w:r w:rsidRPr="005152F7">
        <w:rPr>
          <w:sz w:val="16"/>
          <w:szCs w:val="16"/>
        </w:rPr>
        <w:t xml:space="preserve"> Olympic legacy for the host boroughs.</w:t>
      </w:r>
    </w:p>
  </w:footnote>
  <w:footnote w:id="43">
    <w:p w14:paraId="76EC693D" w14:textId="77777777"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Host Boroughs (2009). Convergence, Strategic Regeneration Framework, </w:t>
      </w:r>
      <w:proofErr w:type="gramStart"/>
      <w:r w:rsidRPr="005152F7">
        <w:rPr>
          <w:sz w:val="16"/>
          <w:szCs w:val="16"/>
        </w:rPr>
        <w:t>An</w:t>
      </w:r>
      <w:proofErr w:type="gramEnd"/>
      <w:r w:rsidRPr="005152F7">
        <w:rPr>
          <w:sz w:val="16"/>
          <w:szCs w:val="16"/>
        </w:rPr>
        <w:t xml:space="preserve"> Olympic legacy for the host boroughs.</w:t>
      </w:r>
    </w:p>
  </w:footnote>
  <w:footnote w:id="44">
    <w:p w14:paraId="76EC693E" w14:textId="2C091A72" w:rsidR="00CA062D" w:rsidRPr="005152F7" w:rsidRDefault="00CA062D" w:rsidP="005152F7">
      <w:pPr>
        <w:pStyle w:val="GrantThornton"/>
        <w:spacing w:before="0" w:after="0"/>
        <w:rPr>
          <w:sz w:val="16"/>
          <w:szCs w:val="16"/>
        </w:rPr>
      </w:pPr>
      <w:r w:rsidRPr="005152F7">
        <w:rPr>
          <w:rStyle w:val="FootnoteReference"/>
          <w:sz w:val="16"/>
          <w:szCs w:val="16"/>
        </w:rPr>
        <w:footnoteRef/>
      </w:r>
      <w:r w:rsidRPr="005152F7">
        <w:rPr>
          <w:sz w:val="16"/>
          <w:szCs w:val="16"/>
        </w:rPr>
        <w:t xml:space="preserve"> </w:t>
      </w:r>
      <w:proofErr w:type="gramStart"/>
      <w:r w:rsidRPr="005152F7">
        <w:rPr>
          <w:sz w:val="16"/>
          <w:szCs w:val="16"/>
        </w:rPr>
        <w:t>Commission for a Sustainable London 2012.</w:t>
      </w:r>
      <w:proofErr w:type="gramEnd"/>
      <w:r w:rsidRPr="005152F7">
        <w:rPr>
          <w:sz w:val="16"/>
          <w:szCs w:val="16"/>
        </w:rPr>
        <w:t xml:space="preserve"> </w:t>
      </w:r>
      <w:proofErr w:type="gramStart"/>
      <w:r w:rsidRPr="005152F7">
        <w:rPr>
          <w:sz w:val="16"/>
          <w:szCs w:val="16"/>
        </w:rPr>
        <w:t>Annual Review 2011/12.</w:t>
      </w:r>
      <w:proofErr w:type="gramEnd"/>
    </w:p>
  </w:footnote>
  <w:footnote w:id="45">
    <w:p w14:paraId="3E293CEB" w14:textId="2A515093" w:rsidR="00CA062D" w:rsidRPr="00657D47" w:rsidRDefault="00CA062D" w:rsidP="00657D47">
      <w:pPr>
        <w:pStyle w:val="FootnoteText"/>
        <w:spacing w:before="0" w:after="0"/>
        <w:rPr>
          <w:sz w:val="16"/>
          <w:szCs w:val="16"/>
        </w:rPr>
      </w:pPr>
      <w:r w:rsidRPr="00657D47">
        <w:rPr>
          <w:rStyle w:val="FootnoteReference"/>
          <w:sz w:val="16"/>
          <w:szCs w:val="16"/>
        </w:rPr>
        <w:footnoteRef/>
      </w:r>
      <w:r w:rsidRPr="00657D47">
        <w:rPr>
          <w:sz w:val="16"/>
          <w:szCs w:val="16"/>
        </w:rPr>
        <w:t xml:space="preserve"> </w:t>
      </w:r>
      <w:r w:rsidRPr="005152F7">
        <w:rPr>
          <w:sz w:val="16"/>
          <w:szCs w:val="16"/>
        </w:rPr>
        <w:t xml:space="preserve">Grant Thornton et al (2011). </w:t>
      </w:r>
      <w:r w:rsidRPr="00657D47">
        <w:rPr>
          <w:sz w:val="16"/>
          <w:szCs w:val="16"/>
        </w:rPr>
        <w:t>Meta-Evaluation of the Impacts and Legacy of the London 2012 Olympic Games and Paralympic Games: Report 2 – Methods</w:t>
      </w:r>
      <w:r w:rsidRPr="005152F7">
        <w:rPr>
          <w:sz w:val="16"/>
          <w:szCs w:val="16"/>
        </w:rPr>
        <w:t>.</w:t>
      </w:r>
      <w:r w:rsidRPr="00657D47">
        <w:rPr>
          <w:sz w:val="16"/>
          <w:szCs w:val="16"/>
        </w:rPr>
        <w:t xml:space="preserve"> </w:t>
      </w:r>
      <w:r w:rsidRPr="005152F7">
        <w:rPr>
          <w:sz w:val="16"/>
          <w:szCs w:val="16"/>
        </w:rPr>
        <w:t>Report 2 provides a more detailed description of the academic evidence.</w:t>
      </w:r>
    </w:p>
  </w:footnote>
  <w:footnote w:id="46">
    <w:p w14:paraId="03775526" w14:textId="74484574" w:rsidR="00CA062D" w:rsidRPr="005152F7" w:rsidRDefault="00CA062D" w:rsidP="005152F7">
      <w:pPr>
        <w:pStyle w:val="FootnoteText"/>
        <w:spacing w:before="0" w:after="0"/>
        <w:rPr>
          <w:sz w:val="16"/>
          <w:szCs w:val="16"/>
        </w:rPr>
      </w:pPr>
      <w:r w:rsidRPr="005152F7">
        <w:rPr>
          <w:rStyle w:val="FootnoteReference"/>
          <w:sz w:val="16"/>
          <w:szCs w:val="16"/>
        </w:rPr>
        <w:footnoteRef/>
      </w:r>
      <w:r w:rsidRPr="005152F7">
        <w:rPr>
          <w:sz w:val="16"/>
          <w:szCs w:val="16"/>
        </w:rPr>
        <w:t xml:space="preserve"> </w:t>
      </w:r>
      <w:r w:rsidRPr="005152F7">
        <w:rPr>
          <w:rStyle w:val="GrantThorntonChar"/>
          <w:sz w:val="16"/>
          <w:szCs w:val="16"/>
        </w:rPr>
        <w:t>Cushman and Wakefield (2005-2011). European Cities Monitor.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68FD" w14:textId="193496D8" w:rsidR="00CA062D" w:rsidRDefault="00CA0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6" w:type="dxa"/>
      <w:tblLayout w:type="fixed"/>
      <w:tblCellMar>
        <w:left w:w="0" w:type="dxa"/>
        <w:right w:w="0" w:type="dxa"/>
      </w:tblCellMar>
      <w:tblLook w:val="01E0" w:firstRow="1" w:lastRow="1" w:firstColumn="1" w:lastColumn="1" w:noHBand="0" w:noVBand="0"/>
    </w:tblPr>
    <w:tblGrid>
      <w:gridCol w:w="6156"/>
      <w:gridCol w:w="1710"/>
    </w:tblGrid>
    <w:tr w:rsidR="00CA062D" w14:paraId="76EC6900" w14:textId="77777777">
      <w:tc>
        <w:tcPr>
          <w:tcW w:w="6156" w:type="dxa"/>
        </w:tcPr>
        <w:p w14:paraId="76EC68FE" w14:textId="118B9245" w:rsidR="00CA062D" w:rsidRDefault="00CA062D" w:rsidP="00BD1CE9">
          <w:pPr>
            <w:pStyle w:val="Header"/>
            <w:tabs>
              <w:tab w:val="clear" w:pos="8307"/>
              <w:tab w:val="right" w:pos="7874"/>
            </w:tabs>
            <w:rPr>
              <w:rFonts w:ascii="Garamond" w:hAnsi="Garamond"/>
            </w:rPr>
          </w:pPr>
          <w:r>
            <w:rPr>
              <w:rFonts w:ascii="Garamond" w:hAnsi="Garamond"/>
            </w:rPr>
            <w:t>2012 Games Meta-evaluation: Summary of Report 4</w:t>
          </w:r>
        </w:p>
      </w:tc>
      <w:tc>
        <w:tcPr>
          <w:tcW w:w="1710" w:type="dxa"/>
        </w:tcPr>
        <w:p w14:paraId="76EC68FF" w14:textId="77777777" w:rsidR="00CA062D" w:rsidRDefault="00CA062D">
          <w:pPr>
            <w:pStyle w:val="Header"/>
            <w:tabs>
              <w:tab w:val="center" w:pos="855"/>
              <w:tab w:val="right" w:pos="1710"/>
            </w:tabs>
            <w:rPr>
              <w:rFonts w:ascii="Garamond" w:hAnsi="Garamond"/>
            </w:rPr>
          </w:pPr>
          <w:r>
            <w:rPr>
              <w:rStyle w:val="PageNumber"/>
              <w:rFonts w:ascii="Garamond" w:hAnsi="Garamond"/>
            </w:rPr>
            <w:tab/>
          </w:r>
        </w:p>
      </w:tc>
    </w:tr>
  </w:tbl>
  <w:p w14:paraId="76EC6901" w14:textId="77777777" w:rsidR="00CA062D" w:rsidRDefault="00CA062D">
    <w:pPr>
      <w:pStyle w:val="Header"/>
      <w:tabs>
        <w:tab w:val="clear" w:pos="4150"/>
        <w:tab w:val="clear" w:pos="8307"/>
        <w:tab w:val="left" w:pos="13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6904" w14:textId="6220A3B1" w:rsidR="00CA062D" w:rsidRDefault="00CA06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6905" w14:textId="1FC30E7F" w:rsidR="00CA062D" w:rsidRDefault="00CA06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6" w:type="dxa"/>
      <w:tblLayout w:type="fixed"/>
      <w:tblCellMar>
        <w:left w:w="0" w:type="dxa"/>
        <w:right w:w="0" w:type="dxa"/>
      </w:tblCellMar>
      <w:tblLook w:val="01E0" w:firstRow="1" w:lastRow="1" w:firstColumn="1" w:lastColumn="1" w:noHBand="0" w:noVBand="0"/>
    </w:tblPr>
    <w:tblGrid>
      <w:gridCol w:w="6156"/>
      <w:gridCol w:w="1710"/>
    </w:tblGrid>
    <w:tr w:rsidR="00CA062D" w14:paraId="76EC6908" w14:textId="77777777" w:rsidTr="00BC7D66">
      <w:tc>
        <w:tcPr>
          <w:tcW w:w="6156" w:type="dxa"/>
        </w:tcPr>
        <w:p w14:paraId="76EC6906" w14:textId="190FD19D" w:rsidR="00CA062D" w:rsidRDefault="00CA062D" w:rsidP="00DB6D75">
          <w:pPr>
            <w:pStyle w:val="Header"/>
            <w:tabs>
              <w:tab w:val="clear" w:pos="8307"/>
              <w:tab w:val="right" w:pos="7874"/>
            </w:tabs>
            <w:rPr>
              <w:rFonts w:ascii="Garamond" w:hAnsi="Garamond"/>
            </w:rPr>
          </w:pPr>
          <w:r>
            <w:rPr>
              <w:rFonts w:ascii="Garamond" w:hAnsi="Garamond"/>
            </w:rPr>
            <w:t xml:space="preserve">2012 Games Meta-evaluation: Summary of Report 4 </w:t>
          </w:r>
        </w:p>
      </w:tc>
      <w:tc>
        <w:tcPr>
          <w:tcW w:w="1710" w:type="dxa"/>
        </w:tcPr>
        <w:p w14:paraId="76EC6907" w14:textId="77777777" w:rsidR="00CA062D" w:rsidRDefault="00CA062D" w:rsidP="00BC7D66">
          <w:pPr>
            <w:pStyle w:val="Header"/>
            <w:tabs>
              <w:tab w:val="center" w:pos="855"/>
              <w:tab w:val="right" w:pos="1710"/>
            </w:tabs>
            <w:rPr>
              <w:rFonts w:ascii="Garamond" w:hAnsi="Garamond"/>
            </w:rPr>
          </w:pPr>
          <w:r>
            <w:rPr>
              <w:rStyle w:val="PageNumber"/>
              <w:rFonts w:ascii="Garamond" w:hAnsi="Garamond"/>
            </w:rPr>
            <w:tab/>
          </w:r>
        </w:p>
      </w:tc>
    </w:tr>
  </w:tbl>
  <w:p w14:paraId="76EC6909" w14:textId="77777777" w:rsidR="00CA062D" w:rsidRDefault="00CA06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690C" w14:textId="32772494" w:rsidR="00CA062D" w:rsidRDefault="00CA0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8CE01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6603139"/>
    <w:multiLevelType w:val="hybridMultilevel"/>
    <w:tmpl w:val="0E2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D9E2856"/>
    <w:multiLevelType w:val="hybridMultilevel"/>
    <w:tmpl w:val="5B068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4A1544"/>
    <w:multiLevelType w:val="hybridMultilevel"/>
    <w:tmpl w:val="9684C158"/>
    <w:lvl w:ilvl="0" w:tplc="4D88B478">
      <w:start w:val="1"/>
      <w:numFmt w:val="bullet"/>
      <w:pStyle w:val="Bullet1"/>
      <w:lvlText w:val=""/>
      <w:lvlJc w:val="left"/>
      <w:pPr>
        <w:tabs>
          <w:tab w:val="num" w:pos="454"/>
        </w:tabs>
        <w:ind w:left="454" w:hanging="454"/>
      </w:pPr>
      <w:rPr>
        <w:rFonts w:ascii="Symbol" w:hAnsi="Symbol" w:hint="default"/>
      </w:rPr>
    </w:lvl>
    <w:lvl w:ilvl="1" w:tplc="CE9E3264">
      <w:start w:val="1"/>
      <w:numFmt w:val="bullet"/>
      <w:lvlText w:val="o"/>
      <w:lvlJc w:val="left"/>
      <w:pPr>
        <w:tabs>
          <w:tab w:val="num" w:pos="2404"/>
        </w:tabs>
        <w:ind w:left="2404" w:hanging="360"/>
      </w:pPr>
      <w:rPr>
        <w:rFonts w:ascii="Courier New" w:hAnsi="Courier New" w:hint="default"/>
      </w:rPr>
    </w:lvl>
    <w:lvl w:ilvl="2" w:tplc="A2BC7462" w:tentative="1">
      <w:start w:val="1"/>
      <w:numFmt w:val="bullet"/>
      <w:lvlText w:val=""/>
      <w:lvlJc w:val="left"/>
      <w:pPr>
        <w:tabs>
          <w:tab w:val="num" w:pos="3124"/>
        </w:tabs>
        <w:ind w:left="3124" w:hanging="360"/>
      </w:pPr>
      <w:rPr>
        <w:rFonts w:ascii="Wingdings" w:hAnsi="Wingdings" w:hint="default"/>
      </w:rPr>
    </w:lvl>
    <w:lvl w:ilvl="3" w:tplc="2FCC168C">
      <w:start w:val="1"/>
      <w:numFmt w:val="bullet"/>
      <w:lvlText w:val=""/>
      <w:lvlJc w:val="left"/>
      <w:pPr>
        <w:tabs>
          <w:tab w:val="num" w:pos="3844"/>
        </w:tabs>
        <w:ind w:left="3844" w:hanging="360"/>
      </w:pPr>
      <w:rPr>
        <w:rFonts w:ascii="Symbol" w:hAnsi="Symbol" w:hint="default"/>
      </w:rPr>
    </w:lvl>
    <w:lvl w:ilvl="4" w:tplc="5178F712" w:tentative="1">
      <w:start w:val="1"/>
      <w:numFmt w:val="bullet"/>
      <w:lvlText w:val="o"/>
      <w:lvlJc w:val="left"/>
      <w:pPr>
        <w:tabs>
          <w:tab w:val="num" w:pos="4564"/>
        </w:tabs>
        <w:ind w:left="4564" w:hanging="360"/>
      </w:pPr>
      <w:rPr>
        <w:rFonts w:ascii="Courier New" w:hAnsi="Courier New" w:hint="default"/>
      </w:rPr>
    </w:lvl>
    <w:lvl w:ilvl="5" w:tplc="2C1237DC" w:tentative="1">
      <w:start w:val="1"/>
      <w:numFmt w:val="bullet"/>
      <w:lvlText w:val=""/>
      <w:lvlJc w:val="left"/>
      <w:pPr>
        <w:tabs>
          <w:tab w:val="num" w:pos="5284"/>
        </w:tabs>
        <w:ind w:left="5284" w:hanging="360"/>
      </w:pPr>
      <w:rPr>
        <w:rFonts w:ascii="Wingdings" w:hAnsi="Wingdings" w:hint="default"/>
      </w:rPr>
    </w:lvl>
    <w:lvl w:ilvl="6" w:tplc="40C64A6A" w:tentative="1">
      <w:start w:val="1"/>
      <w:numFmt w:val="bullet"/>
      <w:lvlText w:val=""/>
      <w:lvlJc w:val="left"/>
      <w:pPr>
        <w:tabs>
          <w:tab w:val="num" w:pos="6004"/>
        </w:tabs>
        <w:ind w:left="6004" w:hanging="360"/>
      </w:pPr>
      <w:rPr>
        <w:rFonts w:ascii="Symbol" w:hAnsi="Symbol" w:hint="default"/>
      </w:rPr>
    </w:lvl>
    <w:lvl w:ilvl="7" w:tplc="4B706DB8" w:tentative="1">
      <w:start w:val="1"/>
      <w:numFmt w:val="bullet"/>
      <w:lvlText w:val="o"/>
      <w:lvlJc w:val="left"/>
      <w:pPr>
        <w:tabs>
          <w:tab w:val="num" w:pos="6724"/>
        </w:tabs>
        <w:ind w:left="6724" w:hanging="360"/>
      </w:pPr>
      <w:rPr>
        <w:rFonts w:ascii="Courier New" w:hAnsi="Courier New" w:hint="default"/>
      </w:rPr>
    </w:lvl>
    <w:lvl w:ilvl="8" w:tplc="893AF8B8" w:tentative="1">
      <w:start w:val="1"/>
      <w:numFmt w:val="bullet"/>
      <w:lvlText w:val=""/>
      <w:lvlJc w:val="left"/>
      <w:pPr>
        <w:tabs>
          <w:tab w:val="num" w:pos="7444"/>
        </w:tabs>
        <w:ind w:left="7444" w:hanging="360"/>
      </w:pPr>
      <w:rPr>
        <w:rFonts w:ascii="Wingdings" w:hAnsi="Wingdings" w:hint="default"/>
      </w:rPr>
    </w:lvl>
  </w:abstractNum>
  <w:abstractNum w:abstractNumId="5">
    <w:nsid w:val="1E4A2BEE"/>
    <w:multiLevelType w:val="multilevel"/>
    <w:tmpl w:val="B2C8291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288"/>
        </w:tabs>
        <w:ind w:left="-288" w:hanging="432"/>
      </w:pPr>
      <w:rPr>
        <w:rFonts w:hint="default"/>
      </w:rPr>
    </w:lvl>
    <w:lvl w:ilvl="2">
      <w:start w:val="1"/>
      <w:numFmt w:val="lowerRoman"/>
      <w:pStyle w:val="Heading3"/>
      <w:lvlText w:val="(%3)"/>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nsid w:val="2095352C"/>
    <w:multiLevelType w:val="hybridMultilevel"/>
    <w:tmpl w:val="AF3898B2"/>
    <w:lvl w:ilvl="0" w:tplc="94BEB22A">
      <w:start w:val="1"/>
      <w:numFmt w:val="decimal"/>
      <w:pStyle w:val="BodyTextnumbered"/>
      <w:lvlText w:val="%1"/>
      <w:lvlJc w:val="left"/>
      <w:pPr>
        <w:tabs>
          <w:tab w:val="num" w:pos="1134"/>
        </w:tabs>
        <w:ind w:left="1134" w:hanging="414"/>
      </w:pPr>
      <w:rPr>
        <w:rFonts w:hint="default"/>
        <w:sz w:val="24"/>
        <w:szCs w:val="24"/>
      </w:rPr>
    </w:lvl>
    <w:lvl w:ilvl="1" w:tplc="70700EE4">
      <w:start w:val="1"/>
      <w:numFmt w:val="lowerLetter"/>
      <w:lvlText w:val="%2."/>
      <w:lvlJc w:val="left"/>
      <w:pPr>
        <w:tabs>
          <w:tab w:val="num" w:pos="1309"/>
        </w:tabs>
        <w:ind w:left="1309" w:hanging="360"/>
      </w:pPr>
    </w:lvl>
    <w:lvl w:ilvl="2" w:tplc="7CB6D608">
      <w:start w:val="1"/>
      <w:numFmt w:val="lowerRoman"/>
      <w:lvlText w:val="%3."/>
      <w:lvlJc w:val="right"/>
      <w:pPr>
        <w:tabs>
          <w:tab w:val="num" w:pos="2029"/>
        </w:tabs>
        <w:ind w:left="2029" w:hanging="180"/>
      </w:pPr>
    </w:lvl>
    <w:lvl w:ilvl="3" w:tplc="86F62480" w:tentative="1">
      <w:start w:val="1"/>
      <w:numFmt w:val="decimal"/>
      <w:lvlText w:val="%4."/>
      <w:lvlJc w:val="left"/>
      <w:pPr>
        <w:tabs>
          <w:tab w:val="num" w:pos="2749"/>
        </w:tabs>
        <w:ind w:left="2749" w:hanging="360"/>
      </w:pPr>
    </w:lvl>
    <w:lvl w:ilvl="4" w:tplc="CBE0FB4C" w:tentative="1">
      <w:start w:val="1"/>
      <w:numFmt w:val="lowerLetter"/>
      <w:lvlText w:val="%5."/>
      <w:lvlJc w:val="left"/>
      <w:pPr>
        <w:tabs>
          <w:tab w:val="num" w:pos="3469"/>
        </w:tabs>
        <w:ind w:left="3469" w:hanging="360"/>
      </w:pPr>
    </w:lvl>
    <w:lvl w:ilvl="5" w:tplc="4D1A6724" w:tentative="1">
      <w:start w:val="1"/>
      <w:numFmt w:val="lowerRoman"/>
      <w:lvlText w:val="%6."/>
      <w:lvlJc w:val="right"/>
      <w:pPr>
        <w:tabs>
          <w:tab w:val="num" w:pos="4189"/>
        </w:tabs>
        <w:ind w:left="4189" w:hanging="180"/>
      </w:pPr>
    </w:lvl>
    <w:lvl w:ilvl="6" w:tplc="4C3C0E60" w:tentative="1">
      <w:start w:val="1"/>
      <w:numFmt w:val="decimal"/>
      <w:lvlText w:val="%7."/>
      <w:lvlJc w:val="left"/>
      <w:pPr>
        <w:tabs>
          <w:tab w:val="num" w:pos="4909"/>
        </w:tabs>
        <w:ind w:left="4909" w:hanging="360"/>
      </w:pPr>
    </w:lvl>
    <w:lvl w:ilvl="7" w:tplc="EED4C8B6" w:tentative="1">
      <w:start w:val="1"/>
      <w:numFmt w:val="lowerLetter"/>
      <w:lvlText w:val="%8."/>
      <w:lvlJc w:val="left"/>
      <w:pPr>
        <w:tabs>
          <w:tab w:val="num" w:pos="5629"/>
        </w:tabs>
        <w:ind w:left="5629" w:hanging="360"/>
      </w:pPr>
    </w:lvl>
    <w:lvl w:ilvl="8" w:tplc="940AB25C" w:tentative="1">
      <w:start w:val="1"/>
      <w:numFmt w:val="lowerRoman"/>
      <w:lvlText w:val="%9."/>
      <w:lvlJc w:val="right"/>
      <w:pPr>
        <w:tabs>
          <w:tab w:val="num" w:pos="6349"/>
        </w:tabs>
        <w:ind w:left="6349" w:hanging="180"/>
      </w:pPr>
    </w:lvl>
  </w:abstractNum>
  <w:abstractNum w:abstractNumId="7">
    <w:nsid w:val="2CC95F0D"/>
    <w:multiLevelType w:val="hybridMultilevel"/>
    <w:tmpl w:val="597EC43C"/>
    <w:lvl w:ilvl="0" w:tplc="FFFFFFFF">
      <w:start w:val="1"/>
      <w:numFmt w:val="bullet"/>
      <w:pStyle w:val="TableBullet"/>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E03525D"/>
    <w:multiLevelType w:val="hybridMultilevel"/>
    <w:tmpl w:val="E416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010A57"/>
    <w:multiLevelType w:val="multilevel"/>
    <w:tmpl w:val="0409001D"/>
    <w:styleLink w:val="Titlelevel1"/>
    <w:lvl w:ilvl="0">
      <w:start w:val="1"/>
      <w:numFmt w:val="decimal"/>
      <w:lvlText w:val="%1)"/>
      <w:lvlJc w:val="left"/>
      <w:pPr>
        <w:tabs>
          <w:tab w:val="num" w:pos="360"/>
        </w:tabs>
        <w:ind w:left="360" w:hanging="360"/>
      </w:pPr>
      <w:rPr>
        <w:rFonts w:ascii="Garamond" w:hAnsi="Garamond"/>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36A3678"/>
    <w:multiLevelType w:val="multilevel"/>
    <w:tmpl w:val="6E52A398"/>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64A7D5B"/>
    <w:multiLevelType w:val="multilevel"/>
    <w:tmpl w:val="35A8BA80"/>
    <w:lvl w:ilvl="0">
      <w:start w:val="1"/>
      <w:numFmt w:val="decimal"/>
      <w:pStyle w:val="NumSectio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6D54BBF"/>
    <w:multiLevelType w:val="hybridMultilevel"/>
    <w:tmpl w:val="C12084B6"/>
    <w:lvl w:ilvl="0" w:tplc="FFFFFFFF">
      <w:start w:val="1"/>
      <w:numFmt w:val="bullet"/>
      <w:pStyle w:val="MarginBulletBlack"/>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52FCF2F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E674205"/>
    <w:multiLevelType w:val="hybridMultilevel"/>
    <w:tmpl w:val="F3BAB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D47A33"/>
    <w:multiLevelType w:val="hybridMultilevel"/>
    <w:tmpl w:val="06F41D32"/>
    <w:lvl w:ilvl="0" w:tplc="726E6AD6">
      <w:start w:val="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BF1ED1"/>
    <w:multiLevelType w:val="hybridMultilevel"/>
    <w:tmpl w:val="04D83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85943C2"/>
    <w:multiLevelType w:val="hybridMultilevel"/>
    <w:tmpl w:val="56D21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213AEC"/>
    <w:multiLevelType w:val="hybridMultilevel"/>
    <w:tmpl w:val="6F7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4009D3"/>
    <w:multiLevelType w:val="hybridMultilevel"/>
    <w:tmpl w:val="2BB6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973B2B"/>
    <w:multiLevelType w:val="hybridMultilevel"/>
    <w:tmpl w:val="38E8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5FC78EC"/>
    <w:multiLevelType w:val="hybridMultilevel"/>
    <w:tmpl w:val="3652703A"/>
    <w:lvl w:ilvl="0" w:tplc="F82A193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8A6939"/>
    <w:multiLevelType w:val="hybridMultilevel"/>
    <w:tmpl w:val="F188846C"/>
    <w:lvl w:ilvl="0" w:tplc="2982EB5C">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836AF2"/>
    <w:multiLevelType w:val="hybridMultilevel"/>
    <w:tmpl w:val="40987F9E"/>
    <w:lvl w:ilvl="0" w:tplc="FFFFFFFF">
      <w:start w:val="1"/>
      <w:numFmt w:val="bullet"/>
      <w:pStyle w:val="BulletTwo"/>
      <w:lvlText w:val=""/>
      <w:lvlJc w:val="left"/>
      <w:pPr>
        <w:tabs>
          <w:tab w:val="num" w:pos="680"/>
        </w:tabs>
        <w:ind w:left="68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45721CA"/>
    <w:multiLevelType w:val="hybridMultilevel"/>
    <w:tmpl w:val="44501282"/>
    <w:lvl w:ilvl="0" w:tplc="F5D81A88">
      <w:start w:val="1"/>
      <w:numFmt w:val="bullet"/>
      <w:pStyle w:val="MarginBulletWhite"/>
      <w:lvlText w:val=""/>
      <w:lvlJc w:val="left"/>
      <w:pPr>
        <w:tabs>
          <w:tab w:val="num" w:pos="227"/>
        </w:tabs>
        <w:ind w:left="227" w:hanging="227"/>
      </w:pPr>
      <w:rPr>
        <w:rFonts w:ascii="Symbol" w:hAnsi="Symbol" w:hint="default"/>
        <w:sz w:val="16"/>
      </w:rPr>
    </w:lvl>
    <w:lvl w:ilvl="1" w:tplc="36ACCB20" w:tentative="1">
      <w:start w:val="1"/>
      <w:numFmt w:val="bullet"/>
      <w:lvlText w:val="o"/>
      <w:lvlJc w:val="left"/>
      <w:pPr>
        <w:tabs>
          <w:tab w:val="num" w:pos="1440"/>
        </w:tabs>
        <w:ind w:left="1440" w:hanging="360"/>
      </w:pPr>
      <w:rPr>
        <w:rFonts w:ascii="Courier New" w:hAnsi="Courier New" w:hint="default"/>
      </w:rPr>
    </w:lvl>
    <w:lvl w:ilvl="2" w:tplc="4A32D298" w:tentative="1">
      <w:start w:val="1"/>
      <w:numFmt w:val="bullet"/>
      <w:lvlText w:val=""/>
      <w:lvlJc w:val="left"/>
      <w:pPr>
        <w:tabs>
          <w:tab w:val="num" w:pos="2160"/>
        </w:tabs>
        <w:ind w:left="2160" w:hanging="360"/>
      </w:pPr>
      <w:rPr>
        <w:rFonts w:ascii="Wingdings" w:hAnsi="Wingdings" w:hint="default"/>
      </w:rPr>
    </w:lvl>
    <w:lvl w:ilvl="3" w:tplc="C54A3F46" w:tentative="1">
      <w:start w:val="1"/>
      <w:numFmt w:val="bullet"/>
      <w:lvlText w:val=""/>
      <w:lvlJc w:val="left"/>
      <w:pPr>
        <w:tabs>
          <w:tab w:val="num" w:pos="2880"/>
        </w:tabs>
        <w:ind w:left="2880" w:hanging="360"/>
      </w:pPr>
      <w:rPr>
        <w:rFonts w:ascii="Symbol" w:hAnsi="Symbol" w:hint="default"/>
      </w:rPr>
    </w:lvl>
    <w:lvl w:ilvl="4" w:tplc="F490BF2E" w:tentative="1">
      <w:start w:val="1"/>
      <w:numFmt w:val="bullet"/>
      <w:lvlText w:val="o"/>
      <w:lvlJc w:val="left"/>
      <w:pPr>
        <w:tabs>
          <w:tab w:val="num" w:pos="3600"/>
        </w:tabs>
        <w:ind w:left="3600" w:hanging="360"/>
      </w:pPr>
      <w:rPr>
        <w:rFonts w:ascii="Courier New" w:hAnsi="Courier New" w:hint="default"/>
      </w:rPr>
    </w:lvl>
    <w:lvl w:ilvl="5" w:tplc="DB1EA7AC" w:tentative="1">
      <w:start w:val="1"/>
      <w:numFmt w:val="bullet"/>
      <w:lvlText w:val=""/>
      <w:lvlJc w:val="left"/>
      <w:pPr>
        <w:tabs>
          <w:tab w:val="num" w:pos="4320"/>
        </w:tabs>
        <w:ind w:left="4320" w:hanging="360"/>
      </w:pPr>
      <w:rPr>
        <w:rFonts w:ascii="Wingdings" w:hAnsi="Wingdings" w:hint="default"/>
      </w:rPr>
    </w:lvl>
    <w:lvl w:ilvl="6" w:tplc="F8CAFFDE" w:tentative="1">
      <w:start w:val="1"/>
      <w:numFmt w:val="bullet"/>
      <w:lvlText w:val=""/>
      <w:lvlJc w:val="left"/>
      <w:pPr>
        <w:tabs>
          <w:tab w:val="num" w:pos="5040"/>
        </w:tabs>
        <w:ind w:left="5040" w:hanging="360"/>
      </w:pPr>
      <w:rPr>
        <w:rFonts w:ascii="Symbol" w:hAnsi="Symbol" w:hint="default"/>
      </w:rPr>
    </w:lvl>
    <w:lvl w:ilvl="7" w:tplc="7838A330" w:tentative="1">
      <w:start w:val="1"/>
      <w:numFmt w:val="bullet"/>
      <w:lvlText w:val="o"/>
      <w:lvlJc w:val="left"/>
      <w:pPr>
        <w:tabs>
          <w:tab w:val="num" w:pos="5760"/>
        </w:tabs>
        <w:ind w:left="5760" w:hanging="360"/>
      </w:pPr>
      <w:rPr>
        <w:rFonts w:ascii="Courier New" w:hAnsi="Courier New" w:hint="default"/>
      </w:rPr>
    </w:lvl>
    <w:lvl w:ilvl="8" w:tplc="DBFE5356" w:tentative="1">
      <w:start w:val="1"/>
      <w:numFmt w:val="bullet"/>
      <w:lvlText w:val=""/>
      <w:lvlJc w:val="left"/>
      <w:pPr>
        <w:tabs>
          <w:tab w:val="num" w:pos="6480"/>
        </w:tabs>
        <w:ind w:left="6480" w:hanging="360"/>
      </w:pPr>
      <w:rPr>
        <w:rFonts w:ascii="Wingdings" w:hAnsi="Wingdings" w:hint="default"/>
      </w:rPr>
    </w:lvl>
  </w:abstractNum>
  <w:abstractNum w:abstractNumId="26">
    <w:nsid w:val="65DC7518"/>
    <w:multiLevelType w:val="hybridMultilevel"/>
    <w:tmpl w:val="E12AA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1538D3"/>
    <w:multiLevelType w:val="hybridMultilevel"/>
    <w:tmpl w:val="771A8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74FC4680"/>
    <w:multiLevelType w:val="hybridMultilevel"/>
    <w:tmpl w:val="A58092EA"/>
    <w:lvl w:ilvl="0" w:tplc="FFFFFFFF">
      <w:start w:val="1"/>
      <w:numFmt w:val="bullet"/>
      <w:lvlText w:val=""/>
      <w:lvlJc w:val="left"/>
      <w:pPr>
        <w:tabs>
          <w:tab w:val="num" w:pos="680"/>
        </w:tabs>
        <w:ind w:left="680" w:hanging="340"/>
      </w:pPr>
      <w:rPr>
        <w:rFonts w:ascii="Symbol" w:hAnsi="Symbol" w:hint="default"/>
      </w:rPr>
    </w:lvl>
    <w:lvl w:ilvl="1" w:tplc="FFFFFFFF">
      <w:start w:val="1"/>
      <w:numFmt w:val="bullet"/>
      <w:pStyle w:val="BulletOne"/>
      <w:lvlText w:val=""/>
      <w:lvlJc w:val="left"/>
      <w:pPr>
        <w:tabs>
          <w:tab w:val="num" w:pos="1420"/>
        </w:tabs>
        <w:ind w:left="1420" w:hanging="34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A486E2F"/>
    <w:multiLevelType w:val="hybridMultilevel"/>
    <w:tmpl w:val="34924DBE"/>
    <w:lvl w:ilvl="0" w:tplc="F9E2F8E4">
      <w:start w:val="1"/>
      <w:numFmt w:val="bullet"/>
      <w:pStyle w:val="BulletThree"/>
      <w:lvlText w:val=""/>
      <w:lvlJc w:val="left"/>
      <w:pPr>
        <w:tabs>
          <w:tab w:val="num" w:pos="1021"/>
        </w:tabs>
        <w:ind w:left="1021" w:hanging="341"/>
      </w:pPr>
      <w:rPr>
        <w:rFonts w:ascii="Symbol" w:hAnsi="Symbol" w:hint="default"/>
        <w:sz w:val="16"/>
        <w:szCs w:val="16"/>
      </w:rPr>
    </w:lvl>
    <w:lvl w:ilvl="1" w:tplc="D6F2C1A0" w:tentative="1">
      <w:start w:val="1"/>
      <w:numFmt w:val="bullet"/>
      <w:lvlText w:val="o"/>
      <w:lvlJc w:val="left"/>
      <w:pPr>
        <w:tabs>
          <w:tab w:val="num" w:pos="1440"/>
        </w:tabs>
        <w:ind w:left="1440" w:hanging="360"/>
      </w:pPr>
      <w:rPr>
        <w:rFonts w:ascii="Courier New" w:hAnsi="Courier New" w:cs="Courier New" w:hint="default"/>
      </w:rPr>
    </w:lvl>
    <w:lvl w:ilvl="2" w:tplc="A4ACC764" w:tentative="1">
      <w:start w:val="1"/>
      <w:numFmt w:val="bullet"/>
      <w:lvlText w:val=""/>
      <w:lvlJc w:val="left"/>
      <w:pPr>
        <w:tabs>
          <w:tab w:val="num" w:pos="2160"/>
        </w:tabs>
        <w:ind w:left="2160" w:hanging="360"/>
      </w:pPr>
      <w:rPr>
        <w:rFonts w:ascii="Wingdings" w:hAnsi="Wingdings" w:hint="default"/>
      </w:rPr>
    </w:lvl>
    <w:lvl w:ilvl="3" w:tplc="F56E4736" w:tentative="1">
      <w:start w:val="1"/>
      <w:numFmt w:val="bullet"/>
      <w:lvlText w:val=""/>
      <w:lvlJc w:val="left"/>
      <w:pPr>
        <w:tabs>
          <w:tab w:val="num" w:pos="2880"/>
        </w:tabs>
        <w:ind w:left="2880" w:hanging="360"/>
      </w:pPr>
      <w:rPr>
        <w:rFonts w:ascii="Symbol" w:hAnsi="Symbol" w:hint="default"/>
      </w:rPr>
    </w:lvl>
    <w:lvl w:ilvl="4" w:tplc="64D473AC" w:tentative="1">
      <w:start w:val="1"/>
      <w:numFmt w:val="bullet"/>
      <w:lvlText w:val="o"/>
      <w:lvlJc w:val="left"/>
      <w:pPr>
        <w:tabs>
          <w:tab w:val="num" w:pos="3600"/>
        </w:tabs>
        <w:ind w:left="3600" w:hanging="360"/>
      </w:pPr>
      <w:rPr>
        <w:rFonts w:ascii="Courier New" w:hAnsi="Courier New" w:cs="Courier New" w:hint="default"/>
      </w:rPr>
    </w:lvl>
    <w:lvl w:ilvl="5" w:tplc="082E2A24" w:tentative="1">
      <w:start w:val="1"/>
      <w:numFmt w:val="bullet"/>
      <w:lvlText w:val=""/>
      <w:lvlJc w:val="left"/>
      <w:pPr>
        <w:tabs>
          <w:tab w:val="num" w:pos="4320"/>
        </w:tabs>
        <w:ind w:left="4320" w:hanging="360"/>
      </w:pPr>
      <w:rPr>
        <w:rFonts w:ascii="Wingdings" w:hAnsi="Wingdings" w:hint="default"/>
      </w:rPr>
    </w:lvl>
    <w:lvl w:ilvl="6" w:tplc="2912EA08" w:tentative="1">
      <w:start w:val="1"/>
      <w:numFmt w:val="bullet"/>
      <w:lvlText w:val=""/>
      <w:lvlJc w:val="left"/>
      <w:pPr>
        <w:tabs>
          <w:tab w:val="num" w:pos="5040"/>
        </w:tabs>
        <w:ind w:left="5040" w:hanging="360"/>
      </w:pPr>
      <w:rPr>
        <w:rFonts w:ascii="Symbol" w:hAnsi="Symbol" w:hint="default"/>
      </w:rPr>
    </w:lvl>
    <w:lvl w:ilvl="7" w:tplc="FD30E4C8" w:tentative="1">
      <w:start w:val="1"/>
      <w:numFmt w:val="bullet"/>
      <w:lvlText w:val="o"/>
      <w:lvlJc w:val="left"/>
      <w:pPr>
        <w:tabs>
          <w:tab w:val="num" w:pos="5760"/>
        </w:tabs>
        <w:ind w:left="5760" w:hanging="360"/>
      </w:pPr>
      <w:rPr>
        <w:rFonts w:ascii="Courier New" w:hAnsi="Courier New" w:cs="Courier New" w:hint="default"/>
      </w:rPr>
    </w:lvl>
    <w:lvl w:ilvl="8" w:tplc="5D46E17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7"/>
  </w:num>
  <w:num w:numId="4">
    <w:abstractNumId w:val="16"/>
  </w:num>
  <w:num w:numId="5">
    <w:abstractNumId w:val="30"/>
  </w:num>
  <w:num w:numId="6">
    <w:abstractNumId w:val="24"/>
  </w:num>
  <w:num w:numId="7">
    <w:abstractNumId w:val="28"/>
  </w:num>
  <w:num w:numId="8">
    <w:abstractNumId w:val="5"/>
  </w:num>
  <w:num w:numId="9">
    <w:abstractNumId w:val="11"/>
  </w:num>
  <w:num w:numId="10">
    <w:abstractNumId w:val="10"/>
  </w:num>
  <w:num w:numId="11">
    <w:abstractNumId w:val="29"/>
  </w:num>
  <w:num w:numId="12">
    <w:abstractNumId w:val="25"/>
  </w:num>
  <w:num w:numId="13">
    <w:abstractNumId w:val="12"/>
  </w:num>
  <w:num w:numId="14">
    <w:abstractNumId w:val="4"/>
  </w:num>
  <w:num w:numId="15">
    <w:abstractNumId w:val="0"/>
  </w:num>
  <w:num w:numId="16">
    <w:abstractNumId w:val="6"/>
  </w:num>
  <w:num w:numId="17">
    <w:abstractNumId w:val="9"/>
  </w:num>
  <w:num w:numId="18">
    <w:abstractNumId w:val="23"/>
  </w:num>
  <w:num w:numId="19">
    <w:abstractNumId w:val="13"/>
  </w:num>
  <w:num w:numId="20">
    <w:abstractNumId w:val="18"/>
  </w:num>
  <w:num w:numId="21">
    <w:abstractNumId w:val="8"/>
  </w:num>
  <w:num w:numId="22">
    <w:abstractNumId w:val="21"/>
  </w:num>
  <w:num w:numId="23">
    <w:abstractNumId w:val="1"/>
  </w:num>
  <w:num w:numId="24">
    <w:abstractNumId w:val="27"/>
  </w:num>
  <w:num w:numId="25">
    <w:abstractNumId w:val="20"/>
  </w:num>
  <w:num w:numId="26">
    <w:abstractNumId w:val="29"/>
  </w:num>
  <w:num w:numId="27">
    <w:abstractNumId w:val="19"/>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29"/>
  </w:num>
  <w:num w:numId="41">
    <w:abstractNumId w:val="26"/>
  </w:num>
  <w:num w:numId="42">
    <w:abstractNumId w:val="15"/>
  </w:num>
  <w:num w:numId="43">
    <w:abstractNumId w:val="3"/>
  </w:num>
  <w:num w:numId="44">
    <w:abstractNumId w:val="14"/>
  </w:num>
  <w:num w:numId="45">
    <w:abstractNumId w:val="7"/>
  </w:num>
  <w:num w:numId="46">
    <w:abstractNumId w:val="7"/>
  </w:num>
  <w:num w:numId="47">
    <w:abstractNumId w:val="22"/>
  </w:num>
  <w:num w:numId="48">
    <w:abstractNumId w:val="29"/>
  </w:num>
  <w:num w:numId="4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lBaXG4FMAfZGRyNRWnI/6nrlts=" w:salt="Aa+X66e5PqpMDwtq9dMJlw=="/>
  <w:defaultTabStop w:val="567"/>
  <w:drawingGridHorizontalSpacing w:val="171"/>
  <w:displayVerticalDrawingGridEvery w:val="2"/>
  <w:noPunctuationKerning/>
  <w:characterSpacingControl w:val="doNotCompress"/>
  <w:hdrShapeDefaults>
    <o:shapedefaults v:ext="edit" spidmax="2049" fill="f" fillcolor="white" stroke="f">
      <v:fill color="white" on="f"/>
      <v:stroke on="f"/>
      <o:colormru v:ext="edit" colors="#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Orientation" w:val="Portrait"/>
    <w:docVar w:name="Scheme" w:val="3"/>
  </w:docVars>
  <w:rsids>
    <w:rsidRoot w:val="009006F2"/>
    <w:rsid w:val="000005D2"/>
    <w:rsid w:val="00000E96"/>
    <w:rsid w:val="000010FD"/>
    <w:rsid w:val="00002AB5"/>
    <w:rsid w:val="0000326D"/>
    <w:rsid w:val="000032A2"/>
    <w:rsid w:val="0000364F"/>
    <w:rsid w:val="00003F7A"/>
    <w:rsid w:val="00005E10"/>
    <w:rsid w:val="00006FFF"/>
    <w:rsid w:val="000070B1"/>
    <w:rsid w:val="00007911"/>
    <w:rsid w:val="00007B0E"/>
    <w:rsid w:val="00010D5B"/>
    <w:rsid w:val="00012050"/>
    <w:rsid w:val="00012167"/>
    <w:rsid w:val="00012826"/>
    <w:rsid w:val="00012D31"/>
    <w:rsid w:val="000138C8"/>
    <w:rsid w:val="000142CF"/>
    <w:rsid w:val="00014F06"/>
    <w:rsid w:val="0001616F"/>
    <w:rsid w:val="0001667E"/>
    <w:rsid w:val="000169FA"/>
    <w:rsid w:val="00016A7B"/>
    <w:rsid w:val="00016C59"/>
    <w:rsid w:val="00020AE0"/>
    <w:rsid w:val="00021DF2"/>
    <w:rsid w:val="00021EB5"/>
    <w:rsid w:val="0002201E"/>
    <w:rsid w:val="0002385A"/>
    <w:rsid w:val="00023C2C"/>
    <w:rsid w:val="000246EE"/>
    <w:rsid w:val="00024869"/>
    <w:rsid w:val="00024C68"/>
    <w:rsid w:val="00024CE6"/>
    <w:rsid w:val="00024DBC"/>
    <w:rsid w:val="000265C2"/>
    <w:rsid w:val="00027EA4"/>
    <w:rsid w:val="0003057D"/>
    <w:rsid w:val="000306DA"/>
    <w:rsid w:val="00030FE4"/>
    <w:rsid w:val="000314C2"/>
    <w:rsid w:val="00031A1E"/>
    <w:rsid w:val="00031BE1"/>
    <w:rsid w:val="000329C9"/>
    <w:rsid w:val="00032B77"/>
    <w:rsid w:val="000348AA"/>
    <w:rsid w:val="00034BD1"/>
    <w:rsid w:val="00034FD4"/>
    <w:rsid w:val="00035650"/>
    <w:rsid w:val="00037861"/>
    <w:rsid w:val="00041CFD"/>
    <w:rsid w:val="00042B3C"/>
    <w:rsid w:val="00043387"/>
    <w:rsid w:val="00043B05"/>
    <w:rsid w:val="00043B64"/>
    <w:rsid w:val="000443B6"/>
    <w:rsid w:val="000445A4"/>
    <w:rsid w:val="000447D7"/>
    <w:rsid w:val="00045B48"/>
    <w:rsid w:val="00045C46"/>
    <w:rsid w:val="0004645A"/>
    <w:rsid w:val="00046A36"/>
    <w:rsid w:val="00046B1E"/>
    <w:rsid w:val="000508D0"/>
    <w:rsid w:val="000512FD"/>
    <w:rsid w:val="0005221A"/>
    <w:rsid w:val="000526D7"/>
    <w:rsid w:val="00052B52"/>
    <w:rsid w:val="00053906"/>
    <w:rsid w:val="00055008"/>
    <w:rsid w:val="00055547"/>
    <w:rsid w:val="00055FA4"/>
    <w:rsid w:val="00056ACD"/>
    <w:rsid w:val="0005720E"/>
    <w:rsid w:val="00061268"/>
    <w:rsid w:val="000612D7"/>
    <w:rsid w:val="00062A56"/>
    <w:rsid w:val="00062DBB"/>
    <w:rsid w:val="0006379C"/>
    <w:rsid w:val="00064FA6"/>
    <w:rsid w:val="0006585C"/>
    <w:rsid w:val="0006590B"/>
    <w:rsid w:val="000660A1"/>
    <w:rsid w:val="00066A1F"/>
    <w:rsid w:val="00066C6A"/>
    <w:rsid w:val="00066C7D"/>
    <w:rsid w:val="00070407"/>
    <w:rsid w:val="00070A9C"/>
    <w:rsid w:val="000717FD"/>
    <w:rsid w:val="00071825"/>
    <w:rsid w:val="0007191B"/>
    <w:rsid w:val="00072BFE"/>
    <w:rsid w:val="00073AFC"/>
    <w:rsid w:val="00074436"/>
    <w:rsid w:val="00074500"/>
    <w:rsid w:val="000745AC"/>
    <w:rsid w:val="0007482F"/>
    <w:rsid w:val="000756DF"/>
    <w:rsid w:val="00075A96"/>
    <w:rsid w:val="000764D1"/>
    <w:rsid w:val="000766FD"/>
    <w:rsid w:val="00076ACD"/>
    <w:rsid w:val="00076B2D"/>
    <w:rsid w:val="00076D93"/>
    <w:rsid w:val="00077650"/>
    <w:rsid w:val="000779B2"/>
    <w:rsid w:val="00080B56"/>
    <w:rsid w:val="000812B2"/>
    <w:rsid w:val="000825D1"/>
    <w:rsid w:val="00083BB9"/>
    <w:rsid w:val="00083CD0"/>
    <w:rsid w:val="000843E2"/>
    <w:rsid w:val="000855A4"/>
    <w:rsid w:val="00085897"/>
    <w:rsid w:val="00085AAD"/>
    <w:rsid w:val="00085BD1"/>
    <w:rsid w:val="00085C42"/>
    <w:rsid w:val="00086391"/>
    <w:rsid w:val="00086C92"/>
    <w:rsid w:val="00086CEE"/>
    <w:rsid w:val="00087065"/>
    <w:rsid w:val="000879BC"/>
    <w:rsid w:val="00087CC5"/>
    <w:rsid w:val="00090338"/>
    <w:rsid w:val="000903AB"/>
    <w:rsid w:val="000910F2"/>
    <w:rsid w:val="0009165F"/>
    <w:rsid w:val="0009188C"/>
    <w:rsid w:val="00092400"/>
    <w:rsid w:val="00092935"/>
    <w:rsid w:val="00093400"/>
    <w:rsid w:val="00093920"/>
    <w:rsid w:val="00094E99"/>
    <w:rsid w:val="00095A87"/>
    <w:rsid w:val="00095D19"/>
    <w:rsid w:val="000961C8"/>
    <w:rsid w:val="000962B3"/>
    <w:rsid w:val="0009759F"/>
    <w:rsid w:val="00097F95"/>
    <w:rsid w:val="000A04BF"/>
    <w:rsid w:val="000A07B9"/>
    <w:rsid w:val="000A0C1D"/>
    <w:rsid w:val="000A14DA"/>
    <w:rsid w:val="000A1811"/>
    <w:rsid w:val="000A18D8"/>
    <w:rsid w:val="000A1C82"/>
    <w:rsid w:val="000A1D30"/>
    <w:rsid w:val="000A2096"/>
    <w:rsid w:val="000A2635"/>
    <w:rsid w:val="000A3DC2"/>
    <w:rsid w:val="000A5952"/>
    <w:rsid w:val="000A5FD7"/>
    <w:rsid w:val="000A68FB"/>
    <w:rsid w:val="000A694D"/>
    <w:rsid w:val="000A6A75"/>
    <w:rsid w:val="000A6EA0"/>
    <w:rsid w:val="000A6EF1"/>
    <w:rsid w:val="000A7619"/>
    <w:rsid w:val="000A78E0"/>
    <w:rsid w:val="000A7BB2"/>
    <w:rsid w:val="000B0AE4"/>
    <w:rsid w:val="000B282D"/>
    <w:rsid w:val="000B34BC"/>
    <w:rsid w:val="000B3875"/>
    <w:rsid w:val="000B3CFD"/>
    <w:rsid w:val="000B3D41"/>
    <w:rsid w:val="000B3FB0"/>
    <w:rsid w:val="000B424F"/>
    <w:rsid w:val="000B49FD"/>
    <w:rsid w:val="000B4ECD"/>
    <w:rsid w:val="000B52D0"/>
    <w:rsid w:val="000B6401"/>
    <w:rsid w:val="000B669A"/>
    <w:rsid w:val="000B72BF"/>
    <w:rsid w:val="000B7B73"/>
    <w:rsid w:val="000B7D1D"/>
    <w:rsid w:val="000C043F"/>
    <w:rsid w:val="000C08EE"/>
    <w:rsid w:val="000C1320"/>
    <w:rsid w:val="000C1E0B"/>
    <w:rsid w:val="000C2BC7"/>
    <w:rsid w:val="000C2F41"/>
    <w:rsid w:val="000C3D94"/>
    <w:rsid w:val="000C458B"/>
    <w:rsid w:val="000C59AC"/>
    <w:rsid w:val="000C68A2"/>
    <w:rsid w:val="000C692D"/>
    <w:rsid w:val="000C759F"/>
    <w:rsid w:val="000C7989"/>
    <w:rsid w:val="000D0248"/>
    <w:rsid w:val="000D05C6"/>
    <w:rsid w:val="000D2201"/>
    <w:rsid w:val="000D2E69"/>
    <w:rsid w:val="000D35E7"/>
    <w:rsid w:val="000D41CE"/>
    <w:rsid w:val="000D43B4"/>
    <w:rsid w:val="000D44D5"/>
    <w:rsid w:val="000D49FB"/>
    <w:rsid w:val="000D4E0D"/>
    <w:rsid w:val="000D51C0"/>
    <w:rsid w:val="000D52E5"/>
    <w:rsid w:val="000D66A2"/>
    <w:rsid w:val="000D6749"/>
    <w:rsid w:val="000D7D60"/>
    <w:rsid w:val="000E0E3D"/>
    <w:rsid w:val="000E22A8"/>
    <w:rsid w:val="000E25F8"/>
    <w:rsid w:val="000E26E8"/>
    <w:rsid w:val="000E2746"/>
    <w:rsid w:val="000E402A"/>
    <w:rsid w:val="000E58FE"/>
    <w:rsid w:val="000E7397"/>
    <w:rsid w:val="000E77AF"/>
    <w:rsid w:val="000E7EC7"/>
    <w:rsid w:val="000F0C1D"/>
    <w:rsid w:val="000F0C28"/>
    <w:rsid w:val="000F3673"/>
    <w:rsid w:val="000F3B0E"/>
    <w:rsid w:val="000F3F65"/>
    <w:rsid w:val="000F4B7D"/>
    <w:rsid w:val="000F52BB"/>
    <w:rsid w:val="000F53FA"/>
    <w:rsid w:val="000F5EC2"/>
    <w:rsid w:val="000F5EC9"/>
    <w:rsid w:val="00100C00"/>
    <w:rsid w:val="00101228"/>
    <w:rsid w:val="001012C3"/>
    <w:rsid w:val="001015B3"/>
    <w:rsid w:val="0010171E"/>
    <w:rsid w:val="00101F5B"/>
    <w:rsid w:val="00104154"/>
    <w:rsid w:val="001041FC"/>
    <w:rsid w:val="00104C9B"/>
    <w:rsid w:val="00105930"/>
    <w:rsid w:val="00105C91"/>
    <w:rsid w:val="00107245"/>
    <w:rsid w:val="00107485"/>
    <w:rsid w:val="0010790E"/>
    <w:rsid w:val="00107CA4"/>
    <w:rsid w:val="001100DC"/>
    <w:rsid w:val="001101F9"/>
    <w:rsid w:val="001105B6"/>
    <w:rsid w:val="00110BD6"/>
    <w:rsid w:val="0011101E"/>
    <w:rsid w:val="00111051"/>
    <w:rsid w:val="001113EB"/>
    <w:rsid w:val="001120D9"/>
    <w:rsid w:val="00112775"/>
    <w:rsid w:val="00112F96"/>
    <w:rsid w:val="00113AC2"/>
    <w:rsid w:val="0011469F"/>
    <w:rsid w:val="00114736"/>
    <w:rsid w:val="00114A32"/>
    <w:rsid w:val="00115473"/>
    <w:rsid w:val="001154D3"/>
    <w:rsid w:val="00115965"/>
    <w:rsid w:val="0011658F"/>
    <w:rsid w:val="00116955"/>
    <w:rsid w:val="00116A75"/>
    <w:rsid w:val="001175C8"/>
    <w:rsid w:val="00117B26"/>
    <w:rsid w:val="00117B45"/>
    <w:rsid w:val="001200F7"/>
    <w:rsid w:val="001203CE"/>
    <w:rsid w:val="00120572"/>
    <w:rsid w:val="00120608"/>
    <w:rsid w:val="0012116E"/>
    <w:rsid w:val="001211CA"/>
    <w:rsid w:val="0012141D"/>
    <w:rsid w:val="00122590"/>
    <w:rsid w:val="0012297D"/>
    <w:rsid w:val="00123F5C"/>
    <w:rsid w:val="00126351"/>
    <w:rsid w:val="0012682C"/>
    <w:rsid w:val="00126F95"/>
    <w:rsid w:val="00131757"/>
    <w:rsid w:val="00131855"/>
    <w:rsid w:val="001323FD"/>
    <w:rsid w:val="00132639"/>
    <w:rsid w:val="00132A94"/>
    <w:rsid w:val="00132CFC"/>
    <w:rsid w:val="00133D09"/>
    <w:rsid w:val="001343D3"/>
    <w:rsid w:val="00134537"/>
    <w:rsid w:val="00134797"/>
    <w:rsid w:val="00134D9B"/>
    <w:rsid w:val="00134DF2"/>
    <w:rsid w:val="001351D2"/>
    <w:rsid w:val="00136B33"/>
    <w:rsid w:val="00137051"/>
    <w:rsid w:val="001374E9"/>
    <w:rsid w:val="00137DEE"/>
    <w:rsid w:val="0014129D"/>
    <w:rsid w:val="00141614"/>
    <w:rsid w:val="0014169C"/>
    <w:rsid w:val="00141D12"/>
    <w:rsid w:val="00142310"/>
    <w:rsid w:val="0014240A"/>
    <w:rsid w:val="001424D8"/>
    <w:rsid w:val="00142936"/>
    <w:rsid w:val="00143312"/>
    <w:rsid w:val="00143335"/>
    <w:rsid w:val="00150176"/>
    <w:rsid w:val="001505FF"/>
    <w:rsid w:val="0015077A"/>
    <w:rsid w:val="0015245A"/>
    <w:rsid w:val="001532C1"/>
    <w:rsid w:val="0015383B"/>
    <w:rsid w:val="001539EF"/>
    <w:rsid w:val="00153B64"/>
    <w:rsid w:val="00153CF9"/>
    <w:rsid w:val="001540BD"/>
    <w:rsid w:val="00154877"/>
    <w:rsid w:val="00154A5E"/>
    <w:rsid w:val="00154A9A"/>
    <w:rsid w:val="00154E34"/>
    <w:rsid w:val="00157094"/>
    <w:rsid w:val="00157588"/>
    <w:rsid w:val="00157737"/>
    <w:rsid w:val="00160076"/>
    <w:rsid w:val="001601F3"/>
    <w:rsid w:val="0016025E"/>
    <w:rsid w:val="001602BB"/>
    <w:rsid w:val="00160CD4"/>
    <w:rsid w:val="00161252"/>
    <w:rsid w:val="001613D9"/>
    <w:rsid w:val="00161781"/>
    <w:rsid w:val="001622DD"/>
    <w:rsid w:val="001629BF"/>
    <w:rsid w:val="001635E3"/>
    <w:rsid w:val="00164E75"/>
    <w:rsid w:val="001662F1"/>
    <w:rsid w:val="00166320"/>
    <w:rsid w:val="00166F30"/>
    <w:rsid w:val="00167ABC"/>
    <w:rsid w:val="00170345"/>
    <w:rsid w:val="001711AA"/>
    <w:rsid w:val="0017257B"/>
    <w:rsid w:val="00172BDD"/>
    <w:rsid w:val="00172D64"/>
    <w:rsid w:val="00172D68"/>
    <w:rsid w:val="001730C3"/>
    <w:rsid w:val="001735CE"/>
    <w:rsid w:val="00176875"/>
    <w:rsid w:val="00176AE3"/>
    <w:rsid w:val="00176DF8"/>
    <w:rsid w:val="001773D8"/>
    <w:rsid w:val="00177BBC"/>
    <w:rsid w:val="001813DB"/>
    <w:rsid w:val="00182103"/>
    <w:rsid w:val="00182C07"/>
    <w:rsid w:val="001832DC"/>
    <w:rsid w:val="00185B1E"/>
    <w:rsid w:val="00187ADE"/>
    <w:rsid w:val="0019040F"/>
    <w:rsid w:val="001918D3"/>
    <w:rsid w:val="00193688"/>
    <w:rsid w:val="00193714"/>
    <w:rsid w:val="00193794"/>
    <w:rsid w:val="001941AD"/>
    <w:rsid w:val="00194BE1"/>
    <w:rsid w:val="0019751C"/>
    <w:rsid w:val="00197A2D"/>
    <w:rsid w:val="00197AE4"/>
    <w:rsid w:val="001A0F67"/>
    <w:rsid w:val="001A2849"/>
    <w:rsid w:val="001A2EB7"/>
    <w:rsid w:val="001A357E"/>
    <w:rsid w:val="001A371E"/>
    <w:rsid w:val="001A3EF7"/>
    <w:rsid w:val="001A454A"/>
    <w:rsid w:val="001A45FA"/>
    <w:rsid w:val="001A57F8"/>
    <w:rsid w:val="001A582C"/>
    <w:rsid w:val="001A7B64"/>
    <w:rsid w:val="001A7E9A"/>
    <w:rsid w:val="001B025C"/>
    <w:rsid w:val="001B0F0C"/>
    <w:rsid w:val="001B1423"/>
    <w:rsid w:val="001B18A7"/>
    <w:rsid w:val="001B1C7D"/>
    <w:rsid w:val="001B2BF2"/>
    <w:rsid w:val="001B35DD"/>
    <w:rsid w:val="001B3790"/>
    <w:rsid w:val="001B497A"/>
    <w:rsid w:val="001B4A76"/>
    <w:rsid w:val="001B4B24"/>
    <w:rsid w:val="001B58A8"/>
    <w:rsid w:val="001B71C7"/>
    <w:rsid w:val="001B78BE"/>
    <w:rsid w:val="001C0C7F"/>
    <w:rsid w:val="001C1281"/>
    <w:rsid w:val="001C1D27"/>
    <w:rsid w:val="001C2097"/>
    <w:rsid w:val="001C20BE"/>
    <w:rsid w:val="001C2FB5"/>
    <w:rsid w:val="001C3AEC"/>
    <w:rsid w:val="001C3E12"/>
    <w:rsid w:val="001C4FBE"/>
    <w:rsid w:val="001C508D"/>
    <w:rsid w:val="001C598F"/>
    <w:rsid w:val="001C5EE3"/>
    <w:rsid w:val="001C66BB"/>
    <w:rsid w:val="001D0AF4"/>
    <w:rsid w:val="001D1D79"/>
    <w:rsid w:val="001D35FB"/>
    <w:rsid w:val="001D37D7"/>
    <w:rsid w:val="001D3998"/>
    <w:rsid w:val="001D447E"/>
    <w:rsid w:val="001D5600"/>
    <w:rsid w:val="001D6F22"/>
    <w:rsid w:val="001D7D3C"/>
    <w:rsid w:val="001D7E90"/>
    <w:rsid w:val="001E0268"/>
    <w:rsid w:val="001E1202"/>
    <w:rsid w:val="001E1BCD"/>
    <w:rsid w:val="001E3BF9"/>
    <w:rsid w:val="001E4504"/>
    <w:rsid w:val="001E47FD"/>
    <w:rsid w:val="001E48D5"/>
    <w:rsid w:val="001E655E"/>
    <w:rsid w:val="001E7044"/>
    <w:rsid w:val="001F06D1"/>
    <w:rsid w:val="001F1913"/>
    <w:rsid w:val="001F24DF"/>
    <w:rsid w:val="001F366A"/>
    <w:rsid w:val="001F44A5"/>
    <w:rsid w:val="001F4B30"/>
    <w:rsid w:val="001F4F9B"/>
    <w:rsid w:val="001F6371"/>
    <w:rsid w:val="001F6EA6"/>
    <w:rsid w:val="001F7767"/>
    <w:rsid w:val="001F7958"/>
    <w:rsid w:val="001F7AF5"/>
    <w:rsid w:val="00200B53"/>
    <w:rsid w:val="00200D6A"/>
    <w:rsid w:val="0020124F"/>
    <w:rsid w:val="00201918"/>
    <w:rsid w:val="00202A22"/>
    <w:rsid w:val="00202A4A"/>
    <w:rsid w:val="00202F88"/>
    <w:rsid w:val="00203971"/>
    <w:rsid w:val="00203E3B"/>
    <w:rsid w:val="0020493A"/>
    <w:rsid w:val="00204A0B"/>
    <w:rsid w:val="002065D0"/>
    <w:rsid w:val="00210A9F"/>
    <w:rsid w:val="00211063"/>
    <w:rsid w:val="00211122"/>
    <w:rsid w:val="00211170"/>
    <w:rsid w:val="0021320D"/>
    <w:rsid w:val="00213674"/>
    <w:rsid w:val="00213A76"/>
    <w:rsid w:val="00213C5F"/>
    <w:rsid w:val="00213CC7"/>
    <w:rsid w:val="00214246"/>
    <w:rsid w:val="00214AE8"/>
    <w:rsid w:val="00214E25"/>
    <w:rsid w:val="002154B3"/>
    <w:rsid w:val="00215621"/>
    <w:rsid w:val="002157EF"/>
    <w:rsid w:val="00215F6C"/>
    <w:rsid w:val="0021625C"/>
    <w:rsid w:val="002165C0"/>
    <w:rsid w:val="00216E07"/>
    <w:rsid w:val="00220A69"/>
    <w:rsid w:val="00220A9C"/>
    <w:rsid w:val="00221C61"/>
    <w:rsid w:val="00222C66"/>
    <w:rsid w:val="00223D85"/>
    <w:rsid w:val="00224104"/>
    <w:rsid w:val="0022426B"/>
    <w:rsid w:val="00225878"/>
    <w:rsid w:val="002258E1"/>
    <w:rsid w:val="002264F9"/>
    <w:rsid w:val="002266AB"/>
    <w:rsid w:val="00226CA1"/>
    <w:rsid w:val="00231403"/>
    <w:rsid w:val="002316DE"/>
    <w:rsid w:val="0023181B"/>
    <w:rsid w:val="0023194C"/>
    <w:rsid w:val="00234254"/>
    <w:rsid w:val="00234446"/>
    <w:rsid w:val="0023529D"/>
    <w:rsid w:val="00236235"/>
    <w:rsid w:val="00236C71"/>
    <w:rsid w:val="00236E7C"/>
    <w:rsid w:val="002408B5"/>
    <w:rsid w:val="00241E03"/>
    <w:rsid w:val="00242CE4"/>
    <w:rsid w:val="0024323C"/>
    <w:rsid w:val="00243A20"/>
    <w:rsid w:val="00244333"/>
    <w:rsid w:val="00245A1E"/>
    <w:rsid w:val="00245F94"/>
    <w:rsid w:val="002463CB"/>
    <w:rsid w:val="00246669"/>
    <w:rsid w:val="00246FBA"/>
    <w:rsid w:val="00247F27"/>
    <w:rsid w:val="00250682"/>
    <w:rsid w:val="00251F0A"/>
    <w:rsid w:val="00251FA6"/>
    <w:rsid w:val="0025225D"/>
    <w:rsid w:val="00252EEF"/>
    <w:rsid w:val="00252F5E"/>
    <w:rsid w:val="00253D93"/>
    <w:rsid w:val="0025458A"/>
    <w:rsid w:val="00254AD7"/>
    <w:rsid w:val="00254DAB"/>
    <w:rsid w:val="002553FC"/>
    <w:rsid w:val="00255F78"/>
    <w:rsid w:val="002566D6"/>
    <w:rsid w:val="00260BB0"/>
    <w:rsid w:val="00262FDA"/>
    <w:rsid w:val="0026459C"/>
    <w:rsid w:val="00264A28"/>
    <w:rsid w:val="00264A94"/>
    <w:rsid w:val="002650F6"/>
    <w:rsid w:val="002663D7"/>
    <w:rsid w:val="002665D0"/>
    <w:rsid w:val="002670A4"/>
    <w:rsid w:val="00267D09"/>
    <w:rsid w:val="00270377"/>
    <w:rsid w:val="002703E0"/>
    <w:rsid w:val="0027053F"/>
    <w:rsid w:val="00271A34"/>
    <w:rsid w:val="00271B6D"/>
    <w:rsid w:val="0027425A"/>
    <w:rsid w:val="0027565E"/>
    <w:rsid w:val="00280BFB"/>
    <w:rsid w:val="00281749"/>
    <w:rsid w:val="002818EA"/>
    <w:rsid w:val="00282520"/>
    <w:rsid w:val="002829C7"/>
    <w:rsid w:val="00283577"/>
    <w:rsid w:val="0028371A"/>
    <w:rsid w:val="002837E1"/>
    <w:rsid w:val="002842CB"/>
    <w:rsid w:val="002846A9"/>
    <w:rsid w:val="002848D0"/>
    <w:rsid w:val="002856BB"/>
    <w:rsid w:val="002869EA"/>
    <w:rsid w:val="00287AD2"/>
    <w:rsid w:val="002902B6"/>
    <w:rsid w:val="00290334"/>
    <w:rsid w:val="00290583"/>
    <w:rsid w:val="00290CFD"/>
    <w:rsid w:val="00290DC1"/>
    <w:rsid w:val="00291289"/>
    <w:rsid w:val="00291A76"/>
    <w:rsid w:val="00291D31"/>
    <w:rsid w:val="00291F62"/>
    <w:rsid w:val="00292690"/>
    <w:rsid w:val="002927A7"/>
    <w:rsid w:val="00292A06"/>
    <w:rsid w:val="00293AD7"/>
    <w:rsid w:val="00295D22"/>
    <w:rsid w:val="00296757"/>
    <w:rsid w:val="00296911"/>
    <w:rsid w:val="00296B12"/>
    <w:rsid w:val="00296BF0"/>
    <w:rsid w:val="0029703A"/>
    <w:rsid w:val="002974A2"/>
    <w:rsid w:val="002A073A"/>
    <w:rsid w:val="002A0B93"/>
    <w:rsid w:val="002A1037"/>
    <w:rsid w:val="002A1407"/>
    <w:rsid w:val="002A28A9"/>
    <w:rsid w:val="002A3D8B"/>
    <w:rsid w:val="002A41E2"/>
    <w:rsid w:val="002A4589"/>
    <w:rsid w:val="002A60B3"/>
    <w:rsid w:val="002A69A6"/>
    <w:rsid w:val="002A6A5B"/>
    <w:rsid w:val="002A6EB0"/>
    <w:rsid w:val="002A7098"/>
    <w:rsid w:val="002B04B2"/>
    <w:rsid w:val="002B0977"/>
    <w:rsid w:val="002B146B"/>
    <w:rsid w:val="002B15F0"/>
    <w:rsid w:val="002B1808"/>
    <w:rsid w:val="002B190E"/>
    <w:rsid w:val="002B2E70"/>
    <w:rsid w:val="002B3298"/>
    <w:rsid w:val="002B3D1C"/>
    <w:rsid w:val="002B428D"/>
    <w:rsid w:val="002B465D"/>
    <w:rsid w:val="002B4694"/>
    <w:rsid w:val="002B4A6D"/>
    <w:rsid w:val="002B5D41"/>
    <w:rsid w:val="002B65CD"/>
    <w:rsid w:val="002B7888"/>
    <w:rsid w:val="002C040D"/>
    <w:rsid w:val="002C0A2F"/>
    <w:rsid w:val="002C244F"/>
    <w:rsid w:val="002C25AE"/>
    <w:rsid w:val="002C2FB3"/>
    <w:rsid w:val="002C34AB"/>
    <w:rsid w:val="002C3ED6"/>
    <w:rsid w:val="002C484F"/>
    <w:rsid w:val="002C4BFA"/>
    <w:rsid w:val="002C66C1"/>
    <w:rsid w:val="002C6D3C"/>
    <w:rsid w:val="002C6E1B"/>
    <w:rsid w:val="002C7591"/>
    <w:rsid w:val="002C7636"/>
    <w:rsid w:val="002C77A8"/>
    <w:rsid w:val="002C7D43"/>
    <w:rsid w:val="002D0178"/>
    <w:rsid w:val="002D0D8A"/>
    <w:rsid w:val="002D1499"/>
    <w:rsid w:val="002D2859"/>
    <w:rsid w:val="002D29EA"/>
    <w:rsid w:val="002D2E9F"/>
    <w:rsid w:val="002D32F1"/>
    <w:rsid w:val="002D3874"/>
    <w:rsid w:val="002D4648"/>
    <w:rsid w:val="002D6AD6"/>
    <w:rsid w:val="002D6B08"/>
    <w:rsid w:val="002D7221"/>
    <w:rsid w:val="002D777A"/>
    <w:rsid w:val="002D7D84"/>
    <w:rsid w:val="002E0119"/>
    <w:rsid w:val="002E13DA"/>
    <w:rsid w:val="002E1459"/>
    <w:rsid w:val="002E1B69"/>
    <w:rsid w:val="002E2417"/>
    <w:rsid w:val="002E2686"/>
    <w:rsid w:val="002E2D07"/>
    <w:rsid w:val="002E3150"/>
    <w:rsid w:val="002E325B"/>
    <w:rsid w:val="002E372C"/>
    <w:rsid w:val="002E3BF0"/>
    <w:rsid w:val="002E40D2"/>
    <w:rsid w:val="002E504F"/>
    <w:rsid w:val="002E5843"/>
    <w:rsid w:val="002E5EDD"/>
    <w:rsid w:val="002E5F50"/>
    <w:rsid w:val="002E60D5"/>
    <w:rsid w:val="002E71A6"/>
    <w:rsid w:val="002E7388"/>
    <w:rsid w:val="002F0183"/>
    <w:rsid w:val="002F0630"/>
    <w:rsid w:val="002F1E38"/>
    <w:rsid w:val="002F2504"/>
    <w:rsid w:val="002F3009"/>
    <w:rsid w:val="002F3BE0"/>
    <w:rsid w:val="002F49F7"/>
    <w:rsid w:val="002F4C91"/>
    <w:rsid w:val="002F5B6E"/>
    <w:rsid w:val="002F6178"/>
    <w:rsid w:val="002F6A77"/>
    <w:rsid w:val="002F6DF1"/>
    <w:rsid w:val="002F7AA4"/>
    <w:rsid w:val="00300CA8"/>
    <w:rsid w:val="00301430"/>
    <w:rsid w:val="003018FA"/>
    <w:rsid w:val="00302443"/>
    <w:rsid w:val="00302965"/>
    <w:rsid w:val="003032D4"/>
    <w:rsid w:val="0030389E"/>
    <w:rsid w:val="00303F2A"/>
    <w:rsid w:val="0030404A"/>
    <w:rsid w:val="003045F2"/>
    <w:rsid w:val="003046B7"/>
    <w:rsid w:val="003050ED"/>
    <w:rsid w:val="00306DD1"/>
    <w:rsid w:val="0030780B"/>
    <w:rsid w:val="00310068"/>
    <w:rsid w:val="003103BF"/>
    <w:rsid w:val="00311AA5"/>
    <w:rsid w:val="00311EE4"/>
    <w:rsid w:val="0031282C"/>
    <w:rsid w:val="00313C52"/>
    <w:rsid w:val="00313DCD"/>
    <w:rsid w:val="00314784"/>
    <w:rsid w:val="0031600D"/>
    <w:rsid w:val="00316AE9"/>
    <w:rsid w:val="003171BE"/>
    <w:rsid w:val="003211E2"/>
    <w:rsid w:val="003221AD"/>
    <w:rsid w:val="0032258B"/>
    <w:rsid w:val="003228DD"/>
    <w:rsid w:val="00322F21"/>
    <w:rsid w:val="00324A3B"/>
    <w:rsid w:val="00324AB1"/>
    <w:rsid w:val="003258BF"/>
    <w:rsid w:val="00325C2E"/>
    <w:rsid w:val="0032700B"/>
    <w:rsid w:val="0032717D"/>
    <w:rsid w:val="00331F0C"/>
    <w:rsid w:val="00332006"/>
    <w:rsid w:val="00332CDC"/>
    <w:rsid w:val="0033382C"/>
    <w:rsid w:val="0033390C"/>
    <w:rsid w:val="00334293"/>
    <w:rsid w:val="0033446D"/>
    <w:rsid w:val="0033469A"/>
    <w:rsid w:val="00335753"/>
    <w:rsid w:val="00335A91"/>
    <w:rsid w:val="00335B66"/>
    <w:rsid w:val="0033660F"/>
    <w:rsid w:val="00336718"/>
    <w:rsid w:val="0033682E"/>
    <w:rsid w:val="0033683B"/>
    <w:rsid w:val="00340AE2"/>
    <w:rsid w:val="00341317"/>
    <w:rsid w:val="00341468"/>
    <w:rsid w:val="00341697"/>
    <w:rsid w:val="00341B6E"/>
    <w:rsid w:val="003438AC"/>
    <w:rsid w:val="00343AC9"/>
    <w:rsid w:val="0034422F"/>
    <w:rsid w:val="00344555"/>
    <w:rsid w:val="00345974"/>
    <w:rsid w:val="00345B20"/>
    <w:rsid w:val="00345C51"/>
    <w:rsid w:val="003462CE"/>
    <w:rsid w:val="0034748C"/>
    <w:rsid w:val="0034755D"/>
    <w:rsid w:val="0035003E"/>
    <w:rsid w:val="00350716"/>
    <w:rsid w:val="0035127E"/>
    <w:rsid w:val="00351299"/>
    <w:rsid w:val="0035281D"/>
    <w:rsid w:val="0035316F"/>
    <w:rsid w:val="003536DB"/>
    <w:rsid w:val="003536E1"/>
    <w:rsid w:val="0035389F"/>
    <w:rsid w:val="00354445"/>
    <w:rsid w:val="00354CDB"/>
    <w:rsid w:val="0035600C"/>
    <w:rsid w:val="00356276"/>
    <w:rsid w:val="003579A8"/>
    <w:rsid w:val="00357F47"/>
    <w:rsid w:val="003614C6"/>
    <w:rsid w:val="0036164B"/>
    <w:rsid w:val="00362253"/>
    <w:rsid w:val="00364D81"/>
    <w:rsid w:val="003650E7"/>
    <w:rsid w:val="00365185"/>
    <w:rsid w:val="00365224"/>
    <w:rsid w:val="003666FC"/>
    <w:rsid w:val="00366743"/>
    <w:rsid w:val="0036732D"/>
    <w:rsid w:val="003704E1"/>
    <w:rsid w:val="00370964"/>
    <w:rsid w:val="00370D10"/>
    <w:rsid w:val="003723D2"/>
    <w:rsid w:val="0037438B"/>
    <w:rsid w:val="00374B97"/>
    <w:rsid w:val="0037516A"/>
    <w:rsid w:val="00375AB0"/>
    <w:rsid w:val="00375D4C"/>
    <w:rsid w:val="00376857"/>
    <w:rsid w:val="0037735E"/>
    <w:rsid w:val="003803BA"/>
    <w:rsid w:val="0038084B"/>
    <w:rsid w:val="00380A50"/>
    <w:rsid w:val="00380CFB"/>
    <w:rsid w:val="003827A0"/>
    <w:rsid w:val="00382BA4"/>
    <w:rsid w:val="00382FD3"/>
    <w:rsid w:val="003839A2"/>
    <w:rsid w:val="00383B63"/>
    <w:rsid w:val="00383CBB"/>
    <w:rsid w:val="0038479C"/>
    <w:rsid w:val="00385201"/>
    <w:rsid w:val="003867DF"/>
    <w:rsid w:val="0038684B"/>
    <w:rsid w:val="00387012"/>
    <w:rsid w:val="003875F8"/>
    <w:rsid w:val="00391C46"/>
    <w:rsid w:val="00392054"/>
    <w:rsid w:val="003939E0"/>
    <w:rsid w:val="00394163"/>
    <w:rsid w:val="00394CD1"/>
    <w:rsid w:val="003952D6"/>
    <w:rsid w:val="00395631"/>
    <w:rsid w:val="00396190"/>
    <w:rsid w:val="00396723"/>
    <w:rsid w:val="00397747"/>
    <w:rsid w:val="003977F4"/>
    <w:rsid w:val="00397DCD"/>
    <w:rsid w:val="003A1AB5"/>
    <w:rsid w:val="003A29E8"/>
    <w:rsid w:val="003A2AC6"/>
    <w:rsid w:val="003A2B18"/>
    <w:rsid w:val="003A3B04"/>
    <w:rsid w:val="003A3B64"/>
    <w:rsid w:val="003A4185"/>
    <w:rsid w:val="003A42EF"/>
    <w:rsid w:val="003A44D7"/>
    <w:rsid w:val="003A610B"/>
    <w:rsid w:val="003A67AE"/>
    <w:rsid w:val="003A6E87"/>
    <w:rsid w:val="003A739B"/>
    <w:rsid w:val="003A79EA"/>
    <w:rsid w:val="003B121C"/>
    <w:rsid w:val="003B1279"/>
    <w:rsid w:val="003B243C"/>
    <w:rsid w:val="003B259D"/>
    <w:rsid w:val="003B3775"/>
    <w:rsid w:val="003B3A00"/>
    <w:rsid w:val="003B3D1D"/>
    <w:rsid w:val="003B4678"/>
    <w:rsid w:val="003B4B30"/>
    <w:rsid w:val="003B581D"/>
    <w:rsid w:val="003B59C8"/>
    <w:rsid w:val="003B5F38"/>
    <w:rsid w:val="003B6D61"/>
    <w:rsid w:val="003B7B33"/>
    <w:rsid w:val="003C0115"/>
    <w:rsid w:val="003C0CA4"/>
    <w:rsid w:val="003C0EFA"/>
    <w:rsid w:val="003C2928"/>
    <w:rsid w:val="003C2E27"/>
    <w:rsid w:val="003C2F9B"/>
    <w:rsid w:val="003C347A"/>
    <w:rsid w:val="003C43DE"/>
    <w:rsid w:val="003C4AC3"/>
    <w:rsid w:val="003C5532"/>
    <w:rsid w:val="003C60C2"/>
    <w:rsid w:val="003C6AA7"/>
    <w:rsid w:val="003C6E69"/>
    <w:rsid w:val="003C7357"/>
    <w:rsid w:val="003C7EA9"/>
    <w:rsid w:val="003D0480"/>
    <w:rsid w:val="003D058C"/>
    <w:rsid w:val="003D22DB"/>
    <w:rsid w:val="003D3654"/>
    <w:rsid w:val="003D4DA5"/>
    <w:rsid w:val="003D515D"/>
    <w:rsid w:val="003D5174"/>
    <w:rsid w:val="003D6390"/>
    <w:rsid w:val="003D65F0"/>
    <w:rsid w:val="003D692C"/>
    <w:rsid w:val="003D6D71"/>
    <w:rsid w:val="003E01C3"/>
    <w:rsid w:val="003E0CF4"/>
    <w:rsid w:val="003E15CA"/>
    <w:rsid w:val="003E213F"/>
    <w:rsid w:val="003E355B"/>
    <w:rsid w:val="003E3D2D"/>
    <w:rsid w:val="003E529B"/>
    <w:rsid w:val="003E5622"/>
    <w:rsid w:val="003E66EF"/>
    <w:rsid w:val="003E6AF3"/>
    <w:rsid w:val="003E7165"/>
    <w:rsid w:val="003E798B"/>
    <w:rsid w:val="003F027C"/>
    <w:rsid w:val="003F041F"/>
    <w:rsid w:val="003F044E"/>
    <w:rsid w:val="003F0B12"/>
    <w:rsid w:val="003F25C2"/>
    <w:rsid w:val="003F298B"/>
    <w:rsid w:val="003F2D3A"/>
    <w:rsid w:val="003F38C7"/>
    <w:rsid w:val="003F4111"/>
    <w:rsid w:val="003F5208"/>
    <w:rsid w:val="003F72EB"/>
    <w:rsid w:val="003F739C"/>
    <w:rsid w:val="003F7895"/>
    <w:rsid w:val="003F78EE"/>
    <w:rsid w:val="003F7AE1"/>
    <w:rsid w:val="004009ED"/>
    <w:rsid w:val="00400E37"/>
    <w:rsid w:val="00401162"/>
    <w:rsid w:val="004020DB"/>
    <w:rsid w:val="00402182"/>
    <w:rsid w:val="004021DF"/>
    <w:rsid w:val="00402481"/>
    <w:rsid w:val="00402491"/>
    <w:rsid w:val="00402F2B"/>
    <w:rsid w:val="00403281"/>
    <w:rsid w:val="004043B0"/>
    <w:rsid w:val="00404F78"/>
    <w:rsid w:val="004071A9"/>
    <w:rsid w:val="00407859"/>
    <w:rsid w:val="00407B99"/>
    <w:rsid w:val="00407CDF"/>
    <w:rsid w:val="00407D5F"/>
    <w:rsid w:val="0041086C"/>
    <w:rsid w:val="004110A7"/>
    <w:rsid w:val="004111C9"/>
    <w:rsid w:val="00411493"/>
    <w:rsid w:val="00411F9C"/>
    <w:rsid w:val="004137AA"/>
    <w:rsid w:val="0041608F"/>
    <w:rsid w:val="004171A6"/>
    <w:rsid w:val="004171E7"/>
    <w:rsid w:val="00417317"/>
    <w:rsid w:val="00417BA3"/>
    <w:rsid w:val="0042142B"/>
    <w:rsid w:val="004220A2"/>
    <w:rsid w:val="004229E9"/>
    <w:rsid w:val="00422B0D"/>
    <w:rsid w:val="00423114"/>
    <w:rsid w:val="00423ECA"/>
    <w:rsid w:val="0042439D"/>
    <w:rsid w:val="004255C8"/>
    <w:rsid w:val="00427318"/>
    <w:rsid w:val="0042752A"/>
    <w:rsid w:val="00427ECC"/>
    <w:rsid w:val="00430200"/>
    <w:rsid w:val="004315A8"/>
    <w:rsid w:val="00431B82"/>
    <w:rsid w:val="00432901"/>
    <w:rsid w:val="00432F0B"/>
    <w:rsid w:val="004332DB"/>
    <w:rsid w:val="0043347F"/>
    <w:rsid w:val="004339FF"/>
    <w:rsid w:val="00433DC7"/>
    <w:rsid w:val="0043481C"/>
    <w:rsid w:val="0043579E"/>
    <w:rsid w:val="00436167"/>
    <w:rsid w:val="00436985"/>
    <w:rsid w:val="00440659"/>
    <w:rsid w:val="00440963"/>
    <w:rsid w:val="00440A18"/>
    <w:rsid w:val="004411D7"/>
    <w:rsid w:val="00441B68"/>
    <w:rsid w:val="00442286"/>
    <w:rsid w:val="0044309E"/>
    <w:rsid w:val="004433F3"/>
    <w:rsid w:val="00443603"/>
    <w:rsid w:val="004442CA"/>
    <w:rsid w:val="004445A3"/>
    <w:rsid w:val="00446902"/>
    <w:rsid w:val="00447917"/>
    <w:rsid w:val="00450165"/>
    <w:rsid w:val="00451308"/>
    <w:rsid w:val="0045188E"/>
    <w:rsid w:val="004520CD"/>
    <w:rsid w:val="00453C12"/>
    <w:rsid w:val="00453DAA"/>
    <w:rsid w:val="00453EBA"/>
    <w:rsid w:val="00454C5D"/>
    <w:rsid w:val="00455B34"/>
    <w:rsid w:val="00455DA6"/>
    <w:rsid w:val="0045795B"/>
    <w:rsid w:val="00461073"/>
    <w:rsid w:val="00462788"/>
    <w:rsid w:val="004629D4"/>
    <w:rsid w:val="00463D72"/>
    <w:rsid w:val="004643F3"/>
    <w:rsid w:val="0046453F"/>
    <w:rsid w:val="00464FD2"/>
    <w:rsid w:val="0046545C"/>
    <w:rsid w:val="00465F60"/>
    <w:rsid w:val="00465FB2"/>
    <w:rsid w:val="004661FB"/>
    <w:rsid w:val="00466A62"/>
    <w:rsid w:val="00466CDC"/>
    <w:rsid w:val="00466FAB"/>
    <w:rsid w:val="00467529"/>
    <w:rsid w:val="0047069B"/>
    <w:rsid w:val="00470E80"/>
    <w:rsid w:val="00472D6E"/>
    <w:rsid w:val="00472F35"/>
    <w:rsid w:val="004734AD"/>
    <w:rsid w:val="004735F5"/>
    <w:rsid w:val="00474795"/>
    <w:rsid w:val="00474D30"/>
    <w:rsid w:val="00474D3A"/>
    <w:rsid w:val="00477470"/>
    <w:rsid w:val="00477E58"/>
    <w:rsid w:val="0048105F"/>
    <w:rsid w:val="004814A1"/>
    <w:rsid w:val="00484EEE"/>
    <w:rsid w:val="00485D0A"/>
    <w:rsid w:val="00486D35"/>
    <w:rsid w:val="0048770F"/>
    <w:rsid w:val="004905E5"/>
    <w:rsid w:val="00490710"/>
    <w:rsid w:val="00490782"/>
    <w:rsid w:val="00490DD3"/>
    <w:rsid w:val="004911E9"/>
    <w:rsid w:val="004914FD"/>
    <w:rsid w:val="00492279"/>
    <w:rsid w:val="004924B2"/>
    <w:rsid w:val="00493B4D"/>
    <w:rsid w:val="00495246"/>
    <w:rsid w:val="00495AFD"/>
    <w:rsid w:val="00496504"/>
    <w:rsid w:val="004969B4"/>
    <w:rsid w:val="0049726F"/>
    <w:rsid w:val="00497C62"/>
    <w:rsid w:val="004A051E"/>
    <w:rsid w:val="004A08CB"/>
    <w:rsid w:val="004A2BF8"/>
    <w:rsid w:val="004A39D3"/>
    <w:rsid w:val="004A3AA3"/>
    <w:rsid w:val="004A3BB3"/>
    <w:rsid w:val="004A4E2A"/>
    <w:rsid w:val="004A5329"/>
    <w:rsid w:val="004A53D6"/>
    <w:rsid w:val="004A5A28"/>
    <w:rsid w:val="004A6594"/>
    <w:rsid w:val="004A69CB"/>
    <w:rsid w:val="004A6F22"/>
    <w:rsid w:val="004B03B5"/>
    <w:rsid w:val="004B074B"/>
    <w:rsid w:val="004B0E46"/>
    <w:rsid w:val="004B106C"/>
    <w:rsid w:val="004B2CB0"/>
    <w:rsid w:val="004B3F5A"/>
    <w:rsid w:val="004B47D0"/>
    <w:rsid w:val="004B480E"/>
    <w:rsid w:val="004B4D97"/>
    <w:rsid w:val="004B57F1"/>
    <w:rsid w:val="004B592B"/>
    <w:rsid w:val="004B5FAE"/>
    <w:rsid w:val="004B67A8"/>
    <w:rsid w:val="004B7BAC"/>
    <w:rsid w:val="004C1545"/>
    <w:rsid w:val="004C17E4"/>
    <w:rsid w:val="004C220D"/>
    <w:rsid w:val="004C22D2"/>
    <w:rsid w:val="004C2976"/>
    <w:rsid w:val="004C3C2E"/>
    <w:rsid w:val="004C4ABD"/>
    <w:rsid w:val="004C5893"/>
    <w:rsid w:val="004C5AED"/>
    <w:rsid w:val="004C64ED"/>
    <w:rsid w:val="004C7212"/>
    <w:rsid w:val="004C73BB"/>
    <w:rsid w:val="004D0051"/>
    <w:rsid w:val="004D0786"/>
    <w:rsid w:val="004D07DD"/>
    <w:rsid w:val="004D19DD"/>
    <w:rsid w:val="004D1DA2"/>
    <w:rsid w:val="004D23CE"/>
    <w:rsid w:val="004D2D02"/>
    <w:rsid w:val="004D30CC"/>
    <w:rsid w:val="004D3F8C"/>
    <w:rsid w:val="004D3FF1"/>
    <w:rsid w:val="004D4A16"/>
    <w:rsid w:val="004D4EBF"/>
    <w:rsid w:val="004E036C"/>
    <w:rsid w:val="004E0481"/>
    <w:rsid w:val="004E0FEE"/>
    <w:rsid w:val="004E263E"/>
    <w:rsid w:val="004E333B"/>
    <w:rsid w:val="004E3A51"/>
    <w:rsid w:val="004E3EE7"/>
    <w:rsid w:val="004E44C4"/>
    <w:rsid w:val="004E5533"/>
    <w:rsid w:val="004E5BF5"/>
    <w:rsid w:val="004E6065"/>
    <w:rsid w:val="004E640F"/>
    <w:rsid w:val="004E666E"/>
    <w:rsid w:val="004E6DDC"/>
    <w:rsid w:val="004E71DD"/>
    <w:rsid w:val="004F0462"/>
    <w:rsid w:val="004F05B0"/>
    <w:rsid w:val="004F1A5F"/>
    <w:rsid w:val="004F1B08"/>
    <w:rsid w:val="004F2291"/>
    <w:rsid w:val="004F2954"/>
    <w:rsid w:val="004F49BD"/>
    <w:rsid w:val="004F4A50"/>
    <w:rsid w:val="004F4C3F"/>
    <w:rsid w:val="004F523F"/>
    <w:rsid w:val="004F5781"/>
    <w:rsid w:val="004F5B21"/>
    <w:rsid w:val="004F787A"/>
    <w:rsid w:val="004F7883"/>
    <w:rsid w:val="00500E1A"/>
    <w:rsid w:val="00500ED5"/>
    <w:rsid w:val="00501146"/>
    <w:rsid w:val="00502552"/>
    <w:rsid w:val="005026E5"/>
    <w:rsid w:val="00502917"/>
    <w:rsid w:val="00503E38"/>
    <w:rsid w:val="00504808"/>
    <w:rsid w:val="00505D9B"/>
    <w:rsid w:val="00506F03"/>
    <w:rsid w:val="00507222"/>
    <w:rsid w:val="00507D34"/>
    <w:rsid w:val="00510190"/>
    <w:rsid w:val="00510651"/>
    <w:rsid w:val="0051285C"/>
    <w:rsid w:val="0051311B"/>
    <w:rsid w:val="0051463C"/>
    <w:rsid w:val="00514B31"/>
    <w:rsid w:val="005152F7"/>
    <w:rsid w:val="00515476"/>
    <w:rsid w:val="005200FC"/>
    <w:rsid w:val="00520614"/>
    <w:rsid w:val="005207B9"/>
    <w:rsid w:val="005207DF"/>
    <w:rsid w:val="005211A7"/>
    <w:rsid w:val="00521313"/>
    <w:rsid w:val="005213E3"/>
    <w:rsid w:val="005214ED"/>
    <w:rsid w:val="00522279"/>
    <w:rsid w:val="005224F5"/>
    <w:rsid w:val="00522524"/>
    <w:rsid w:val="00522C89"/>
    <w:rsid w:val="005230D3"/>
    <w:rsid w:val="0052525F"/>
    <w:rsid w:val="00525EEF"/>
    <w:rsid w:val="00525FEF"/>
    <w:rsid w:val="0052616E"/>
    <w:rsid w:val="00526542"/>
    <w:rsid w:val="00526D83"/>
    <w:rsid w:val="005270CE"/>
    <w:rsid w:val="005270D4"/>
    <w:rsid w:val="005274BF"/>
    <w:rsid w:val="005303C0"/>
    <w:rsid w:val="00530872"/>
    <w:rsid w:val="0053089B"/>
    <w:rsid w:val="00530E93"/>
    <w:rsid w:val="005313CB"/>
    <w:rsid w:val="00533E83"/>
    <w:rsid w:val="005348F2"/>
    <w:rsid w:val="00536130"/>
    <w:rsid w:val="005368A6"/>
    <w:rsid w:val="0053730D"/>
    <w:rsid w:val="00537520"/>
    <w:rsid w:val="005375DD"/>
    <w:rsid w:val="005379D2"/>
    <w:rsid w:val="0054011D"/>
    <w:rsid w:val="00540355"/>
    <w:rsid w:val="00542232"/>
    <w:rsid w:val="005441AB"/>
    <w:rsid w:val="00545152"/>
    <w:rsid w:val="00546611"/>
    <w:rsid w:val="00546DD2"/>
    <w:rsid w:val="00547A84"/>
    <w:rsid w:val="00547BF3"/>
    <w:rsid w:val="0055003E"/>
    <w:rsid w:val="005517D8"/>
    <w:rsid w:val="0055392F"/>
    <w:rsid w:val="00554BCC"/>
    <w:rsid w:val="00555E92"/>
    <w:rsid w:val="00557128"/>
    <w:rsid w:val="005572F2"/>
    <w:rsid w:val="005607C2"/>
    <w:rsid w:val="005607E6"/>
    <w:rsid w:val="00561018"/>
    <w:rsid w:val="00562340"/>
    <w:rsid w:val="00563A66"/>
    <w:rsid w:val="00563F7D"/>
    <w:rsid w:val="005658E1"/>
    <w:rsid w:val="00565913"/>
    <w:rsid w:val="00565FE4"/>
    <w:rsid w:val="005673E9"/>
    <w:rsid w:val="00567536"/>
    <w:rsid w:val="005701A7"/>
    <w:rsid w:val="0057061E"/>
    <w:rsid w:val="00571350"/>
    <w:rsid w:val="0057240A"/>
    <w:rsid w:val="00572883"/>
    <w:rsid w:val="00572E37"/>
    <w:rsid w:val="00573BD5"/>
    <w:rsid w:val="005760E6"/>
    <w:rsid w:val="005775DE"/>
    <w:rsid w:val="00577735"/>
    <w:rsid w:val="00577A74"/>
    <w:rsid w:val="00580112"/>
    <w:rsid w:val="00580373"/>
    <w:rsid w:val="005804B0"/>
    <w:rsid w:val="00580D2F"/>
    <w:rsid w:val="005815C5"/>
    <w:rsid w:val="005821F0"/>
    <w:rsid w:val="00582FBB"/>
    <w:rsid w:val="00585E27"/>
    <w:rsid w:val="005871A9"/>
    <w:rsid w:val="00587ACC"/>
    <w:rsid w:val="005916EA"/>
    <w:rsid w:val="0059304F"/>
    <w:rsid w:val="005931E4"/>
    <w:rsid w:val="00593733"/>
    <w:rsid w:val="0059537B"/>
    <w:rsid w:val="005954F2"/>
    <w:rsid w:val="00595C92"/>
    <w:rsid w:val="005963F2"/>
    <w:rsid w:val="005968CD"/>
    <w:rsid w:val="00596C7D"/>
    <w:rsid w:val="005971DF"/>
    <w:rsid w:val="00597841"/>
    <w:rsid w:val="00597B48"/>
    <w:rsid w:val="005A055F"/>
    <w:rsid w:val="005A0591"/>
    <w:rsid w:val="005A0ED9"/>
    <w:rsid w:val="005A12EE"/>
    <w:rsid w:val="005A16B0"/>
    <w:rsid w:val="005A16F6"/>
    <w:rsid w:val="005A1A17"/>
    <w:rsid w:val="005A1A30"/>
    <w:rsid w:val="005A233D"/>
    <w:rsid w:val="005A3BA8"/>
    <w:rsid w:val="005A4063"/>
    <w:rsid w:val="005A4B74"/>
    <w:rsid w:val="005A4DE7"/>
    <w:rsid w:val="005A54E8"/>
    <w:rsid w:val="005A69CB"/>
    <w:rsid w:val="005B0101"/>
    <w:rsid w:val="005B0334"/>
    <w:rsid w:val="005B0A38"/>
    <w:rsid w:val="005B1AD8"/>
    <w:rsid w:val="005B226A"/>
    <w:rsid w:val="005B4143"/>
    <w:rsid w:val="005B55EF"/>
    <w:rsid w:val="005B58AD"/>
    <w:rsid w:val="005B5AFC"/>
    <w:rsid w:val="005B5C28"/>
    <w:rsid w:val="005B5D5A"/>
    <w:rsid w:val="005B5E97"/>
    <w:rsid w:val="005B6A9E"/>
    <w:rsid w:val="005B7832"/>
    <w:rsid w:val="005B7928"/>
    <w:rsid w:val="005C099F"/>
    <w:rsid w:val="005C0FAF"/>
    <w:rsid w:val="005C23E8"/>
    <w:rsid w:val="005C2430"/>
    <w:rsid w:val="005C405F"/>
    <w:rsid w:val="005C425D"/>
    <w:rsid w:val="005C48A0"/>
    <w:rsid w:val="005C4C9D"/>
    <w:rsid w:val="005C4FC7"/>
    <w:rsid w:val="005C5328"/>
    <w:rsid w:val="005C6659"/>
    <w:rsid w:val="005C75D1"/>
    <w:rsid w:val="005D00B6"/>
    <w:rsid w:val="005D1A73"/>
    <w:rsid w:val="005D1B75"/>
    <w:rsid w:val="005D21C6"/>
    <w:rsid w:val="005D229D"/>
    <w:rsid w:val="005D2432"/>
    <w:rsid w:val="005D2B28"/>
    <w:rsid w:val="005D311B"/>
    <w:rsid w:val="005D3DFD"/>
    <w:rsid w:val="005D41AC"/>
    <w:rsid w:val="005D4F1F"/>
    <w:rsid w:val="005D50AC"/>
    <w:rsid w:val="005D523B"/>
    <w:rsid w:val="005D6B90"/>
    <w:rsid w:val="005D7BBC"/>
    <w:rsid w:val="005E063C"/>
    <w:rsid w:val="005E09ED"/>
    <w:rsid w:val="005E0DB2"/>
    <w:rsid w:val="005E16F4"/>
    <w:rsid w:val="005E2064"/>
    <w:rsid w:val="005E4A85"/>
    <w:rsid w:val="005E4F11"/>
    <w:rsid w:val="005E513D"/>
    <w:rsid w:val="005E5E28"/>
    <w:rsid w:val="005E6F05"/>
    <w:rsid w:val="005F0922"/>
    <w:rsid w:val="005F0FD0"/>
    <w:rsid w:val="005F211C"/>
    <w:rsid w:val="005F440B"/>
    <w:rsid w:val="005F4CEB"/>
    <w:rsid w:val="005F4D97"/>
    <w:rsid w:val="005F67DA"/>
    <w:rsid w:val="005F6CF6"/>
    <w:rsid w:val="005F7F45"/>
    <w:rsid w:val="0060049D"/>
    <w:rsid w:val="00601147"/>
    <w:rsid w:val="00601329"/>
    <w:rsid w:val="006016C0"/>
    <w:rsid w:val="00601F02"/>
    <w:rsid w:val="00601FAC"/>
    <w:rsid w:val="006034FC"/>
    <w:rsid w:val="006037F4"/>
    <w:rsid w:val="00603DBB"/>
    <w:rsid w:val="00604104"/>
    <w:rsid w:val="0060423A"/>
    <w:rsid w:val="00604AC3"/>
    <w:rsid w:val="00604D1C"/>
    <w:rsid w:val="00604E3B"/>
    <w:rsid w:val="006051C0"/>
    <w:rsid w:val="00605320"/>
    <w:rsid w:val="0060583D"/>
    <w:rsid w:val="0060769B"/>
    <w:rsid w:val="0061134F"/>
    <w:rsid w:val="006128B5"/>
    <w:rsid w:val="00613679"/>
    <w:rsid w:val="00613DF7"/>
    <w:rsid w:val="00614105"/>
    <w:rsid w:val="00615EBF"/>
    <w:rsid w:val="006171A6"/>
    <w:rsid w:val="00617293"/>
    <w:rsid w:val="0061759D"/>
    <w:rsid w:val="0061785B"/>
    <w:rsid w:val="00617CF6"/>
    <w:rsid w:val="00617FE8"/>
    <w:rsid w:val="00620699"/>
    <w:rsid w:val="00621507"/>
    <w:rsid w:val="00621F59"/>
    <w:rsid w:val="0062251D"/>
    <w:rsid w:val="006230BE"/>
    <w:rsid w:val="00623B83"/>
    <w:rsid w:val="00623C16"/>
    <w:rsid w:val="00623F47"/>
    <w:rsid w:val="00624BBF"/>
    <w:rsid w:val="00624E62"/>
    <w:rsid w:val="00625B67"/>
    <w:rsid w:val="0062710E"/>
    <w:rsid w:val="006271D3"/>
    <w:rsid w:val="006276BC"/>
    <w:rsid w:val="00630752"/>
    <w:rsid w:val="00630864"/>
    <w:rsid w:val="00630B1C"/>
    <w:rsid w:val="00631BE1"/>
    <w:rsid w:val="00631BFA"/>
    <w:rsid w:val="00633597"/>
    <w:rsid w:val="00633E94"/>
    <w:rsid w:val="00634F3B"/>
    <w:rsid w:val="00635BA0"/>
    <w:rsid w:val="00635EF0"/>
    <w:rsid w:val="00636C4E"/>
    <w:rsid w:val="00641346"/>
    <w:rsid w:val="00641B59"/>
    <w:rsid w:val="006422F0"/>
    <w:rsid w:val="006424B1"/>
    <w:rsid w:val="00642D9B"/>
    <w:rsid w:val="00643E18"/>
    <w:rsid w:val="006447E3"/>
    <w:rsid w:val="00644B7F"/>
    <w:rsid w:val="00645B14"/>
    <w:rsid w:val="00646414"/>
    <w:rsid w:val="006475C5"/>
    <w:rsid w:val="006500C9"/>
    <w:rsid w:val="0065034B"/>
    <w:rsid w:val="00650B8F"/>
    <w:rsid w:val="00650E4F"/>
    <w:rsid w:val="00651CC5"/>
    <w:rsid w:val="00651EA7"/>
    <w:rsid w:val="00652769"/>
    <w:rsid w:val="00652B38"/>
    <w:rsid w:val="00652D5E"/>
    <w:rsid w:val="00653593"/>
    <w:rsid w:val="006547E6"/>
    <w:rsid w:val="00654C38"/>
    <w:rsid w:val="00654DCC"/>
    <w:rsid w:val="00655B7A"/>
    <w:rsid w:val="00655D22"/>
    <w:rsid w:val="006563E3"/>
    <w:rsid w:val="00656443"/>
    <w:rsid w:val="006568A0"/>
    <w:rsid w:val="00656EB0"/>
    <w:rsid w:val="006574BD"/>
    <w:rsid w:val="00657D47"/>
    <w:rsid w:val="00660249"/>
    <w:rsid w:val="00660716"/>
    <w:rsid w:val="00660ED7"/>
    <w:rsid w:val="006615DC"/>
    <w:rsid w:val="00661DBD"/>
    <w:rsid w:val="00662995"/>
    <w:rsid w:val="00662D17"/>
    <w:rsid w:val="00662D3A"/>
    <w:rsid w:val="0066333A"/>
    <w:rsid w:val="00663979"/>
    <w:rsid w:val="00663C99"/>
    <w:rsid w:val="00663F4A"/>
    <w:rsid w:val="00664048"/>
    <w:rsid w:val="0066418B"/>
    <w:rsid w:val="00664621"/>
    <w:rsid w:val="006652CC"/>
    <w:rsid w:val="0066587D"/>
    <w:rsid w:val="0066748D"/>
    <w:rsid w:val="00667C2D"/>
    <w:rsid w:val="00671F22"/>
    <w:rsid w:val="00672B24"/>
    <w:rsid w:val="00672D80"/>
    <w:rsid w:val="00672E59"/>
    <w:rsid w:val="00672FAF"/>
    <w:rsid w:val="00674BA7"/>
    <w:rsid w:val="006759CD"/>
    <w:rsid w:val="00675D88"/>
    <w:rsid w:val="006769AA"/>
    <w:rsid w:val="00676E7C"/>
    <w:rsid w:val="00677215"/>
    <w:rsid w:val="0067743A"/>
    <w:rsid w:val="00680455"/>
    <w:rsid w:val="006807FA"/>
    <w:rsid w:val="0068250B"/>
    <w:rsid w:val="006826EB"/>
    <w:rsid w:val="00682F65"/>
    <w:rsid w:val="0068332E"/>
    <w:rsid w:val="0068495A"/>
    <w:rsid w:val="00685C01"/>
    <w:rsid w:val="006864C9"/>
    <w:rsid w:val="00686862"/>
    <w:rsid w:val="00686AC2"/>
    <w:rsid w:val="00687E58"/>
    <w:rsid w:val="006911D4"/>
    <w:rsid w:val="0069170C"/>
    <w:rsid w:val="00691914"/>
    <w:rsid w:val="006919FF"/>
    <w:rsid w:val="00692A6B"/>
    <w:rsid w:val="00692F28"/>
    <w:rsid w:val="006931F4"/>
    <w:rsid w:val="0069328F"/>
    <w:rsid w:val="006932D7"/>
    <w:rsid w:val="00694309"/>
    <w:rsid w:val="00694C1A"/>
    <w:rsid w:val="00695316"/>
    <w:rsid w:val="00695A76"/>
    <w:rsid w:val="00695BBF"/>
    <w:rsid w:val="0069676A"/>
    <w:rsid w:val="00696B68"/>
    <w:rsid w:val="006977C1"/>
    <w:rsid w:val="0069786E"/>
    <w:rsid w:val="006A00BD"/>
    <w:rsid w:val="006A0569"/>
    <w:rsid w:val="006A1389"/>
    <w:rsid w:val="006A150D"/>
    <w:rsid w:val="006A1BFB"/>
    <w:rsid w:val="006A2566"/>
    <w:rsid w:val="006A2B4A"/>
    <w:rsid w:val="006A316C"/>
    <w:rsid w:val="006A4749"/>
    <w:rsid w:val="006A4B39"/>
    <w:rsid w:val="006A524D"/>
    <w:rsid w:val="006A580B"/>
    <w:rsid w:val="006A63AD"/>
    <w:rsid w:val="006A67F9"/>
    <w:rsid w:val="006A6FE0"/>
    <w:rsid w:val="006A7939"/>
    <w:rsid w:val="006B0EC7"/>
    <w:rsid w:val="006B1010"/>
    <w:rsid w:val="006B12AE"/>
    <w:rsid w:val="006B1C4F"/>
    <w:rsid w:val="006B2237"/>
    <w:rsid w:val="006B24A7"/>
    <w:rsid w:val="006B3C63"/>
    <w:rsid w:val="006B40A5"/>
    <w:rsid w:val="006B5862"/>
    <w:rsid w:val="006B696C"/>
    <w:rsid w:val="006C0E95"/>
    <w:rsid w:val="006C1393"/>
    <w:rsid w:val="006C2017"/>
    <w:rsid w:val="006C2BD9"/>
    <w:rsid w:val="006C2D0C"/>
    <w:rsid w:val="006C3162"/>
    <w:rsid w:val="006C36DA"/>
    <w:rsid w:val="006C3CA9"/>
    <w:rsid w:val="006C48D9"/>
    <w:rsid w:val="006C5B3B"/>
    <w:rsid w:val="006C6579"/>
    <w:rsid w:val="006C6EA1"/>
    <w:rsid w:val="006C6FC6"/>
    <w:rsid w:val="006C707C"/>
    <w:rsid w:val="006C7296"/>
    <w:rsid w:val="006C7387"/>
    <w:rsid w:val="006C7824"/>
    <w:rsid w:val="006C782C"/>
    <w:rsid w:val="006C79CB"/>
    <w:rsid w:val="006C7B5D"/>
    <w:rsid w:val="006C7DA1"/>
    <w:rsid w:val="006C7F65"/>
    <w:rsid w:val="006D01C1"/>
    <w:rsid w:val="006D08DC"/>
    <w:rsid w:val="006D0C07"/>
    <w:rsid w:val="006D0E69"/>
    <w:rsid w:val="006D13D5"/>
    <w:rsid w:val="006D2AFD"/>
    <w:rsid w:val="006D3901"/>
    <w:rsid w:val="006D41AD"/>
    <w:rsid w:val="006D4BD4"/>
    <w:rsid w:val="006D5FBA"/>
    <w:rsid w:val="006D62D4"/>
    <w:rsid w:val="006D69B0"/>
    <w:rsid w:val="006E0455"/>
    <w:rsid w:val="006E0A24"/>
    <w:rsid w:val="006E1246"/>
    <w:rsid w:val="006E1513"/>
    <w:rsid w:val="006E3864"/>
    <w:rsid w:val="006E43DA"/>
    <w:rsid w:val="006E5199"/>
    <w:rsid w:val="006E56A4"/>
    <w:rsid w:val="006E5D79"/>
    <w:rsid w:val="006E697B"/>
    <w:rsid w:val="006E7615"/>
    <w:rsid w:val="006F0EB0"/>
    <w:rsid w:val="006F105F"/>
    <w:rsid w:val="006F19E3"/>
    <w:rsid w:val="006F1AF0"/>
    <w:rsid w:val="006F1E2D"/>
    <w:rsid w:val="006F20E1"/>
    <w:rsid w:val="006F2147"/>
    <w:rsid w:val="006F230F"/>
    <w:rsid w:val="006F2CD7"/>
    <w:rsid w:val="006F2F25"/>
    <w:rsid w:val="006F372E"/>
    <w:rsid w:val="006F398B"/>
    <w:rsid w:val="006F3A15"/>
    <w:rsid w:val="006F4515"/>
    <w:rsid w:val="006F5A70"/>
    <w:rsid w:val="006F5CBA"/>
    <w:rsid w:val="006F6E4A"/>
    <w:rsid w:val="006F6F32"/>
    <w:rsid w:val="006F724F"/>
    <w:rsid w:val="006F7A42"/>
    <w:rsid w:val="007018C8"/>
    <w:rsid w:val="00701958"/>
    <w:rsid w:val="00701E23"/>
    <w:rsid w:val="0070385F"/>
    <w:rsid w:val="00704498"/>
    <w:rsid w:val="007045CB"/>
    <w:rsid w:val="00704C38"/>
    <w:rsid w:val="00704C76"/>
    <w:rsid w:val="00704DA8"/>
    <w:rsid w:val="00705ADC"/>
    <w:rsid w:val="00705AF9"/>
    <w:rsid w:val="00706447"/>
    <w:rsid w:val="00706C32"/>
    <w:rsid w:val="00711325"/>
    <w:rsid w:val="0071138D"/>
    <w:rsid w:val="00713532"/>
    <w:rsid w:val="00714209"/>
    <w:rsid w:val="00714EAD"/>
    <w:rsid w:val="00715276"/>
    <w:rsid w:val="00716458"/>
    <w:rsid w:val="007164A7"/>
    <w:rsid w:val="007168E3"/>
    <w:rsid w:val="0071773F"/>
    <w:rsid w:val="0071774D"/>
    <w:rsid w:val="00717C54"/>
    <w:rsid w:val="00717E9E"/>
    <w:rsid w:val="00720611"/>
    <w:rsid w:val="00721D0E"/>
    <w:rsid w:val="007222B5"/>
    <w:rsid w:val="0072263E"/>
    <w:rsid w:val="00722813"/>
    <w:rsid w:val="00722E94"/>
    <w:rsid w:val="007235DB"/>
    <w:rsid w:val="00723D27"/>
    <w:rsid w:val="007248E8"/>
    <w:rsid w:val="00725C66"/>
    <w:rsid w:val="00726213"/>
    <w:rsid w:val="00726A09"/>
    <w:rsid w:val="0072719A"/>
    <w:rsid w:val="0072730A"/>
    <w:rsid w:val="00727C6A"/>
    <w:rsid w:val="00731436"/>
    <w:rsid w:val="007352B7"/>
    <w:rsid w:val="00736413"/>
    <w:rsid w:val="00736A8E"/>
    <w:rsid w:val="00737B39"/>
    <w:rsid w:val="00737E29"/>
    <w:rsid w:val="007400E1"/>
    <w:rsid w:val="00740161"/>
    <w:rsid w:val="007407B8"/>
    <w:rsid w:val="00740BAD"/>
    <w:rsid w:val="00742175"/>
    <w:rsid w:val="00742AC8"/>
    <w:rsid w:val="0074340F"/>
    <w:rsid w:val="00743531"/>
    <w:rsid w:val="00743553"/>
    <w:rsid w:val="00743921"/>
    <w:rsid w:val="007445E6"/>
    <w:rsid w:val="00745523"/>
    <w:rsid w:val="007456D7"/>
    <w:rsid w:val="00745CDD"/>
    <w:rsid w:val="00746767"/>
    <w:rsid w:val="00746ABB"/>
    <w:rsid w:val="00746FB8"/>
    <w:rsid w:val="00747ED8"/>
    <w:rsid w:val="00750293"/>
    <w:rsid w:val="007517C4"/>
    <w:rsid w:val="00751824"/>
    <w:rsid w:val="00751E7C"/>
    <w:rsid w:val="00752757"/>
    <w:rsid w:val="00752BB3"/>
    <w:rsid w:val="00753366"/>
    <w:rsid w:val="00754434"/>
    <w:rsid w:val="00754FA0"/>
    <w:rsid w:val="007560CA"/>
    <w:rsid w:val="00756100"/>
    <w:rsid w:val="00756351"/>
    <w:rsid w:val="00756A6C"/>
    <w:rsid w:val="007570C4"/>
    <w:rsid w:val="007575F7"/>
    <w:rsid w:val="007602AC"/>
    <w:rsid w:val="00760CB0"/>
    <w:rsid w:val="007624E1"/>
    <w:rsid w:val="0076284B"/>
    <w:rsid w:val="00762CD3"/>
    <w:rsid w:val="0076302E"/>
    <w:rsid w:val="007630A3"/>
    <w:rsid w:val="007631AE"/>
    <w:rsid w:val="00763233"/>
    <w:rsid w:val="00763932"/>
    <w:rsid w:val="0076422A"/>
    <w:rsid w:val="007645CE"/>
    <w:rsid w:val="00765A72"/>
    <w:rsid w:val="00765CE9"/>
    <w:rsid w:val="00765D1B"/>
    <w:rsid w:val="00766408"/>
    <w:rsid w:val="00766979"/>
    <w:rsid w:val="0076729F"/>
    <w:rsid w:val="00767C8A"/>
    <w:rsid w:val="00770036"/>
    <w:rsid w:val="0077122A"/>
    <w:rsid w:val="00773D77"/>
    <w:rsid w:val="00773E9B"/>
    <w:rsid w:val="00774057"/>
    <w:rsid w:val="00774597"/>
    <w:rsid w:val="007746F3"/>
    <w:rsid w:val="00774BCB"/>
    <w:rsid w:val="00774EC4"/>
    <w:rsid w:val="00776172"/>
    <w:rsid w:val="00776A1C"/>
    <w:rsid w:val="007800D3"/>
    <w:rsid w:val="0078123D"/>
    <w:rsid w:val="0078126C"/>
    <w:rsid w:val="007819E4"/>
    <w:rsid w:val="00781BD7"/>
    <w:rsid w:val="00782D53"/>
    <w:rsid w:val="00782F7A"/>
    <w:rsid w:val="00784212"/>
    <w:rsid w:val="00784BB7"/>
    <w:rsid w:val="00784CFF"/>
    <w:rsid w:val="00784E57"/>
    <w:rsid w:val="007850C5"/>
    <w:rsid w:val="0078691E"/>
    <w:rsid w:val="007877C2"/>
    <w:rsid w:val="00787BF4"/>
    <w:rsid w:val="00790A94"/>
    <w:rsid w:val="00790FE5"/>
    <w:rsid w:val="00791790"/>
    <w:rsid w:val="00791987"/>
    <w:rsid w:val="00791B0D"/>
    <w:rsid w:val="00792EAD"/>
    <w:rsid w:val="00792EC1"/>
    <w:rsid w:val="007932D0"/>
    <w:rsid w:val="00793E6C"/>
    <w:rsid w:val="00794472"/>
    <w:rsid w:val="00794CFF"/>
    <w:rsid w:val="007958C2"/>
    <w:rsid w:val="00795AAE"/>
    <w:rsid w:val="00795D55"/>
    <w:rsid w:val="0079737D"/>
    <w:rsid w:val="007976C0"/>
    <w:rsid w:val="00797B22"/>
    <w:rsid w:val="00797FC9"/>
    <w:rsid w:val="007A18BC"/>
    <w:rsid w:val="007A234F"/>
    <w:rsid w:val="007A3274"/>
    <w:rsid w:val="007A3773"/>
    <w:rsid w:val="007A47CE"/>
    <w:rsid w:val="007A53F1"/>
    <w:rsid w:val="007A54CB"/>
    <w:rsid w:val="007A5F85"/>
    <w:rsid w:val="007A6CF6"/>
    <w:rsid w:val="007B00DF"/>
    <w:rsid w:val="007B03B8"/>
    <w:rsid w:val="007B0439"/>
    <w:rsid w:val="007B06A4"/>
    <w:rsid w:val="007B0E79"/>
    <w:rsid w:val="007B1685"/>
    <w:rsid w:val="007B24A3"/>
    <w:rsid w:val="007B2FDA"/>
    <w:rsid w:val="007B35F2"/>
    <w:rsid w:val="007B5AEF"/>
    <w:rsid w:val="007B5C01"/>
    <w:rsid w:val="007B6210"/>
    <w:rsid w:val="007B7C42"/>
    <w:rsid w:val="007B7E9D"/>
    <w:rsid w:val="007C0D56"/>
    <w:rsid w:val="007C2BD9"/>
    <w:rsid w:val="007C3552"/>
    <w:rsid w:val="007C4B2D"/>
    <w:rsid w:val="007C4FDD"/>
    <w:rsid w:val="007C5589"/>
    <w:rsid w:val="007C57DF"/>
    <w:rsid w:val="007C66D9"/>
    <w:rsid w:val="007C6BA4"/>
    <w:rsid w:val="007C7215"/>
    <w:rsid w:val="007C744C"/>
    <w:rsid w:val="007D00FB"/>
    <w:rsid w:val="007D0B9F"/>
    <w:rsid w:val="007D14F5"/>
    <w:rsid w:val="007D1548"/>
    <w:rsid w:val="007D169D"/>
    <w:rsid w:val="007D1845"/>
    <w:rsid w:val="007D1ADC"/>
    <w:rsid w:val="007D22B5"/>
    <w:rsid w:val="007D25DC"/>
    <w:rsid w:val="007D2E42"/>
    <w:rsid w:val="007D39C7"/>
    <w:rsid w:val="007D3BCE"/>
    <w:rsid w:val="007D4308"/>
    <w:rsid w:val="007D446B"/>
    <w:rsid w:val="007D4794"/>
    <w:rsid w:val="007D4E3F"/>
    <w:rsid w:val="007D4EDB"/>
    <w:rsid w:val="007D76EB"/>
    <w:rsid w:val="007D77FD"/>
    <w:rsid w:val="007D7DB8"/>
    <w:rsid w:val="007E042C"/>
    <w:rsid w:val="007E08AD"/>
    <w:rsid w:val="007E0F0D"/>
    <w:rsid w:val="007E11FC"/>
    <w:rsid w:val="007E2561"/>
    <w:rsid w:val="007E279D"/>
    <w:rsid w:val="007E2AC7"/>
    <w:rsid w:val="007E3777"/>
    <w:rsid w:val="007E4307"/>
    <w:rsid w:val="007E60F1"/>
    <w:rsid w:val="007E6425"/>
    <w:rsid w:val="007E6C39"/>
    <w:rsid w:val="007E7777"/>
    <w:rsid w:val="007F00BE"/>
    <w:rsid w:val="007F13AC"/>
    <w:rsid w:val="007F1591"/>
    <w:rsid w:val="007F1FEB"/>
    <w:rsid w:val="007F33E6"/>
    <w:rsid w:val="007F3EA5"/>
    <w:rsid w:val="007F430A"/>
    <w:rsid w:val="007F4646"/>
    <w:rsid w:val="007F4692"/>
    <w:rsid w:val="007F536D"/>
    <w:rsid w:val="007F5E31"/>
    <w:rsid w:val="007F651C"/>
    <w:rsid w:val="007F682D"/>
    <w:rsid w:val="007F68B1"/>
    <w:rsid w:val="007F7579"/>
    <w:rsid w:val="00800485"/>
    <w:rsid w:val="00800D43"/>
    <w:rsid w:val="008011CA"/>
    <w:rsid w:val="008012AD"/>
    <w:rsid w:val="00803B04"/>
    <w:rsid w:val="00803CFE"/>
    <w:rsid w:val="0080443C"/>
    <w:rsid w:val="00806CCF"/>
    <w:rsid w:val="00807283"/>
    <w:rsid w:val="008072B3"/>
    <w:rsid w:val="00810BC7"/>
    <w:rsid w:val="00810C3D"/>
    <w:rsid w:val="0081116A"/>
    <w:rsid w:val="008111FF"/>
    <w:rsid w:val="00811628"/>
    <w:rsid w:val="00811969"/>
    <w:rsid w:val="00812544"/>
    <w:rsid w:val="00813AE1"/>
    <w:rsid w:val="00813FDF"/>
    <w:rsid w:val="008140CA"/>
    <w:rsid w:val="008141EB"/>
    <w:rsid w:val="008167FD"/>
    <w:rsid w:val="00816D75"/>
    <w:rsid w:val="00817005"/>
    <w:rsid w:val="00817224"/>
    <w:rsid w:val="008172BD"/>
    <w:rsid w:val="0081760B"/>
    <w:rsid w:val="00817C0E"/>
    <w:rsid w:val="0082118E"/>
    <w:rsid w:val="00821750"/>
    <w:rsid w:val="008217DA"/>
    <w:rsid w:val="00821F33"/>
    <w:rsid w:val="008220AB"/>
    <w:rsid w:val="00822355"/>
    <w:rsid w:val="00822A6A"/>
    <w:rsid w:val="00822B86"/>
    <w:rsid w:val="00822C98"/>
    <w:rsid w:val="008242D6"/>
    <w:rsid w:val="008268D1"/>
    <w:rsid w:val="00826965"/>
    <w:rsid w:val="0082799D"/>
    <w:rsid w:val="00827BE5"/>
    <w:rsid w:val="00827CDA"/>
    <w:rsid w:val="00827D59"/>
    <w:rsid w:val="00830406"/>
    <w:rsid w:val="008327A9"/>
    <w:rsid w:val="008339FD"/>
    <w:rsid w:val="00833D63"/>
    <w:rsid w:val="008360C1"/>
    <w:rsid w:val="008363F6"/>
    <w:rsid w:val="008369E7"/>
    <w:rsid w:val="00836DD1"/>
    <w:rsid w:val="0083720D"/>
    <w:rsid w:val="0083722C"/>
    <w:rsid w:val="00837644"/>
    <w:rsid w:val="00837CF4"/>
    <w:rsid w:val="00840921"/>
    <w:rsid w:val="00840DDB"/>
    <w:rsid w:val="008414E5"/>
    <w:rsid w:val="008418BD"/>
    <w:rsid w:val="00841AC0"/>
    <w:rsid w:val="00841D6C"/>
    <w:rsid w:val="00841D93"/>
    <w:rsid w:val="00843B41"/>
    <w:rsid w:val="00843D43"/>
    <w:rsid w:val="00844C15"/>
    <w:rsid w:val="00844ED4"/>
    <w:rsid w:val="008455A4"/>
    <w:rsid w:val="0084676F"/>
    <w:rsid w:val="00846993"/>
    <w:rsid w:val="00847700"/>
    <w:rsid w:val="0084780E"/>
    <w:rsid w:val="00847B34"/>
    <w:rsid w:val="00850A5B"/>
    <w:rsid w:val="00850EB5"/>
    <w:rsid w:val="00850F34"/>
    <w:rsid w:val="0085110C"/>
    <w:rsid w:val="00851A1C"/>
    <w:rsid w:val="00851B51"/>
    <w:rsid w:val="00851DBC"/>
    <w:rsid w:val="00852401"/>
    <w:rsid w:val="00853044"/>
    <w:rsid w:val="00853540"/>
    <w:rsid w:val="008540DB"/>
    <w:rsid w:val="008558F4"/>
    <w:rsid w:val="0085650D"/>
    <w:rsid w:val="00856630"/>
    <w:rsid w:val="00857BC3"/>
    <w:rsid w:val="00860D72"/>
    <w:rsid w:val="008615DB"/>
    <w:rsid w:val="00861D87"/>
    <w:rsid w:val="00861E77"/>
    <w:rsid w:val="008624EC"/>
    <w:rsid w:val="008639F0"/>
    <w:rsid w:val="00863F97"/>
    <w:rsid w:val="008641CB"/>
    <w:rsid w:val="00864359"/>
    <w:rsid w:val="00864C47"/>
    <w:rsid w:val="00864FC2"/>
    <w:rsid w:val="00866246"/>
    <w:rsid w:val="008663DE"/>
    <w:rsid w:val="00866D76"/>
    <w:rsid w:val="00867637"/>
    <w:rsid w:val="008677DA"/>
    <w:rsid w:val="00867AAE"/>
    <w:rsid w:val="00867B7A"/>
    <w:rsid w:val="008713B5"/>
    <w:rsid w:val="00873B2C"/>
    <w:rsid w:val="0087463D"/>
    <w:rsid w:val="00874F6F"/>
    <w:rsid w:val="008758F9"/>
    <w:rsid w:val="008759E5"/>
    <w:rsid w:val="00876382"/>
    <w:rsid w:val="008778C2"/>
    <w:rsid w:val="00877902"/>
    <w:rsid w:val="00877BA4"/>
    <w:rsid w:val="00880412"/>
    <w:rsid w:val="00881027"/>
    <w:rsid w:val="008811CB"/>
    <w:rsid w:val="00881637"/>
    <w:rsid w:val="00881C03"/>
    <w:rsid w:val="00882C1E"/>
    <w:rsid w:val="00883362"/>
    <w:rsid w:val="00883AA5"/>
    <w:rsid w:val="00883B33"/>
    <w:rsid w:val="00883F7A"/>
    <w:rsid w:val="008847BC"/>
    <w:rsid w:val="0088482F"/>
    <w:rsid w:val="00884A4A"/>
    <w:rsid w:val="00885CEE"/>
    <w:rsid w:val="00885ED6"/>
    <w:rsid w:val="00886386"/>
    <w:rsid w:val="00890AC3"/>
    <w:rsid w:val="008915B5"/>
    <w:rsid w:val="008915C3"/>
    <w:rsid w:val="00891B8A"/>
    <w:rsid w:val="00891FD1"/>
    <w:rsid w:val="008920E4"/>
    <w:rsid w:val="00892C86"/>
    <w:rsid w:val="0089329B"/>
    <w:rsid w:val="008933F8"/>
    <w:rsid w:val="00893DDF"/>
    <w:rsid w:val="008956C3"/>
    <w:rsid w:val="00895D5E"/>
    <w:rsid w:val="008A0907"/>
    <w:rsid w:val="008A0E28"/>
    <w:rsid w:val="008A1005"/>
    <w:rsid w:val="008A260D"/>
    <w:rsid w:val="008A2D18"/>
    <w:rsid w:val="008A2E84"/>
    <w:rsid w:val="008A2FAF"/>
    <w:rsid w:val="008A32A4"/>
    <w:rsid w:val="008A32F7"/>
    <w:rsid w:val="008A385B"/>
    <w:rsid w:val="008A5084"/>
    <w:rsid w:val="008A51BE"/>
    <w:rsid w:val="008A54C2"/>
    <w:rsid w:val="008A7458"/>
    <w:rsid w:val="008B0BF8"/>
    <w:rsid w:val="008B1050"/>
    <w:rsid w:val="008B124B"/>
    <w:rsid w:val="008B17AA"/>
    <w:rsid w:val="008B1CB4"/>
    <w:rsid w:val="008B21B4"/>
    <w:rsid w:val="008B245B"/>
    <w:rsid w:val="008B2A5F"/>
    <w:rsid w:val="008B2DF0"/>
    <w:rsid w:val="008B356C"/>
    <w:rsid w:val="008B4CE2"/>
    <w:rsid w:val="008B5092"/>
    <w:rsid w:val="008B7493"/>
    <w:rsid w:val="008C0FB8"/>
    <w:rsid w:val="008C14AD"/>
    <w:rsid w:val="008C2541"/>
    <w:rsid w:val="008C2855"/>
    <w:rsid w:val="008C2D80"/>
    <w:rsid w:val="008C4725"/>
    <w:rsid w:val="008C4AE2"/>
    <w:rsid w:val="008C4FFC"/>
    <w:rsid w:val="008C5E0A"/>
    <w:rsid w:val="008C63A7"/>
    <w:rsid w:val="008D07DC"/>
    <w:rsid w:val="008D1496"/>
    <w:rsid w:val="008D29FD"/>
    <w:rsid w:val="008D3592"/>
    <w:rsid w:val="008D3648"/>
    <w:rsid w:val="008D4C8A"/>
    <w:rsid w:val="008D4EC2"/>
    <w:rsid w:val="008D5026"/>
    <w:rsid w:val="008D608F"/>
    <w:rsid w:val="008D6109"/>
    <w:rsid w:val="008D71F7"/>
    <w:rsid w:val="008E0448"/>
    <w:rsid w:val="008E3229"/>
    <w:rsid w:val="008E33C3"/>
    <w:rsid w:val="008E3CD8"/>
    <w:rsid w:val="008E4066"/>
    <w:rsid w:val="008E432F"/>
    <w:rsid w:val="008E50F0"/>
    <w:rsid w:val="008E585A"/>
    <w:rsid w:val="008E591E"/>
    <w:rsid w:val="008E5C30"/>
    <w:rsid w:val="008F08B2"/>
    <w:rsid w:val="008F0EE1"/>
    <w:rsid w:val="008F2136"/>
    <w:rsid w:val="008F2144"/>
    <w:rsid w:val="008F2217"/>
    <w:rsid w:val="008F2816"/>
    <w:rsid w:val="008F28FF"/>
    <w:rsid w:val="008F2C29"/>
    <w:rsid w:val="008F4321"/>
    <w:rsid w:val="008F4623"/>
    <w:rsid w:val="008F49F0"/>
    <w:rsid w:val="008F4E57"/>
    <w:rsid w:val="008F561D"/>
    <w:rsid w:val="008F5A6F"/>
    <w:rsid w:val="008F60A3"/>
    <w:rsid w:val="008F7134"/>
    <w:rsid w:val="008F7E4C"/>
    <w:rsid w:val="009006F2"/>
    <w:rsid w:val="0090232A"/>
    <w:rsid w:val="009025D6"/>
    <w:rsid w:val="00902D26"/>
    <w:rsid w:val="009032A0"/>
    <w:rsid w:val="009037BC"/>
    <w:rsid w:val="00903EBE"/>
    <w:rsid w:val="00904811"/>
    <w:rsid w:val="00904940"/>
    <w:rsid w:val="00904BDE"/>
    <w:rsid w:val="00905648"/>
    <w:rsid w:val="009064E3"/>
    <w:rsid w:val="009069F3"/>
    <w:rsid w:val="00906E69"/>
    <w:rsid w:val="009074B2"/>
    <w:rsid w:val="00911327"/>
    <w:rsid w:val="0091182D"/>
    <w:rsid w:val="00911876"/>
    <w:rsid w:val="00911CAA"/>
    <w:rsid w:val="009120E2"/>
    <w:rsid w:val="00912935"/>
    <w:rsid w:val="00914E5D"/>
    <w:rsid w:val="0091515C"/>
    <w:rsid w:val="0091519E"/>
    <w:rsid w:val="00920190"/>
    <w:rsid w:val="00920245"/>
    <w:rsid w:val="00920477"/>
    <w:rsid w:val="009204AD"/>
    <w:rsid w:val="00920FD7"/>
    <w:rsid w:val="009210A0"/>
    <w:rsid w:val="00922892"/>
    <w:rsid w:val="00922F4B"/>
    <w:rsid w:val="00923A47"/>
    <w:rsid w:val="0092430C"/>
    <w:rsid w:val="00924325"/>
    <w:rsid w:val="0092569E"/>
    <w:rsid w:val="00925918"/>
    <w:rsid w:val="00925C6E"/>
    <w:rsid w:val="00925CC9"/>
    <w:rsid w:val="009260A5"/>
    <w:rsid w:val="0092685E"/>
    <w:rsid w:val="00926E0D"/>
    <w:rsid w:val="009270CF"/>
    <w:rsid w:val="009301AC"/>
    <w:rsid w:val="009321A3"/>
    <w:rsid w:val="00932AB9"/>
    <w:rsid w:val="00932BAD"/>
    <w:rsid w:val="00932DF2"/>
    <w:rsid w:val="00934C06"/>
    <w:rsid w:val="00935A77"/>
    <w:rsid w:val="00936DB2"/>
    <w:rsid w:val="009372EF"/>
    <w:rsid w:val="0093730F"/>
    <w:rsid w:val="009377ED"/>
    <w:rsid w:val="00937B7F"/>
    <w:rsid w:val="00937C27"/>
    <w:rsid w:val="00937DC3"/>
    <w:rsid w:val="00940008"/>
    <w:rsid w:val="0094094C"/>
    <w:rsid w:val="00941630"/>
    <w:rsid w:val="009419C2"/>
    <w:rsid w:val="00941AC9"/>
    <w:rsid w:val="00941CE2"/>
    <w:rsid w:val="009423CD"/>
    <w:rsid w:val="009427AE"/>
    <w:rsid w:val="00942D84"/>
    <w:rsid w:val="00943310"/>
    <w:rsid w:val="00943FD8"/>
    <w:rsid w:val="0094508F"/>
    <w:rsid w:val="00946D96"/>
    <w:rsid w:val="00946E54"/>
    <w:rsid w:val="00946EBA"/>
    <w:rsid w:val="009479D5"/>
    <w:rsid w:val="00947ACD"/>
    <w:rsid w:val="00947BB6"/>
    <w:rsid w:val="009505E4"/>
    <w:rsid w:val="00951746"/>
    <w:rsid w:val="00952873"/>
    <w:rsid w:val="00952A3A"/>
    <w:rsid w:val="00952B5D"/>
    <w:rsid w:val="00954522"/>
    <w:rsid w:val="009547E1"/>
    <w:rsid w:val="0095728A"/>
    <w:rsid w:val="00957306"/>
    <w:rsid w:val="0096070F"/>
    <w:rsid w:val="009609E1"/>
    <w:rsid w:val="009610E4"/>
    <w:rsid w:val="0096114A"/>
    <w:rsid w:val="00961D38"/>
    <w:rsid w:val="00961F35"/>
    <w:rsid w:val="0096218B"/>
    <w:rsid w:val="0096277F"/>
    <w:rsid w:val="009628D2"/>
    <w:rsid w:val="009628D7"/>
    <w:rsid w:val="00963092"/>
    <w:rsid w:val="009639C9"/>
    <w:rsid w:val="00963A18"/>
    <w:rsid w:val="00964362"/>
    <w:rsid w:val="00964667"/>
    <w:rsid w:val="009655DE"/>
    <w:rsid w:val="00965658"/>
    <w:rsid w:val="00965E85"/>
    <w:rsid w:val="0096624C"/>
    <w:rsid w:val="009663B0"/>
    <w:rsid w:val="00966911"/>
    <w:rsid w:val="00967DE1"/>
    <w:rsid w:val="009717B4"/>
    <w:rsid w:val="009717C7"/>
    <w:rsid w:val="0097185D"/>
    <w:rsid w:val="00971A7A"/>
    <w:rsid w:val="00971E3E"/>
    <w:rsid w:val="0097209B"/>
    <w:rsid w:val="009720EA"/>
    <w:rsid w:val="0097276F"/>
    <w:rsid w:val="009735BF"/>
    <w:rsid w:val="0097392A"/>
    <w:rsid w:val="00973E9F"/>
    <w:rsid w:val="00974402"/>
    <w:rsid w:val="009752F9"/>
    <w:rsid w:val="00975312"/>
    <w:rsid w:val="009756E2"/>
    <w:rsid w:val="009770A1"/>
    <w:rsid w:val="0097764A"/>
    <w:rsid w:val="00977AA5"/>
    <w:rsid w:val="00980621"/>
    <w:rsid w:val="00981496"/>
    <w:rsid w:val="00981BD4"/>
    <w:rsid w:val="009823E9"/>
    <w:rsid w:val="00983086"/>
    <w:rsid w:val="0098340A"/>
    <w:rsid w:val="00983763"/>
    <w:rsid w:val="00984FAB"/>
    <w:rsid w:val="0098503D"/>
    <w:rsid w:val="00985618"/>
    <w:rsid w:val="00985D1E"/>
    <w:rsid w:val="00985FA0"/>
    <w:rsid w:val="00986328"/>
    <w:rsid w:val="009869C6"/>
    <w:rsid w:val="009872D3"/>
    <w:rsid w:val="009874D5"/>
    <w:rsid w:val="009907C8"/>
    <w:rsid w:val="00991813"/>
    <w:rsid w:val="0099183F"/>
    <w:rsid w:val="00992008"/>
    <w:rsid w:val="00993C68"/>
    <w:rsid w:val="00993ECB"/>
    <w:rsid w:val="00993FD3"/>
    <w:rsid w:val="00994647"/>
    <w:rsid w:val="009954AD"/>
    <w:rsid w:val="00995886"/>
    <w:rsid w:val="00997550"/>
    <w:rsid w:val="0099794B"/>
    <w:rsid w:val="00997D56"/>
    <w:rsid w:val="009A0C18"/>
    <w:rsid w:val="009A17F9"/>
    <w:rsid w:val="009A1F26"/>
    <w:rsid w:val="009A2E9B"/>
    <w:rsid w:val="009A3AC7"/>
    <w:rsid w:val="009A43FF"/>
    <w:rsid w:val="009A48C8"/>
    <w:rsid w:val="009A4C5E"/>
    <w:rsid w:val="009A58A8"/>
    <w:rsid w:val="009A69C7"/>
    <w:rsid w:val="009A6CD3"/>
    <w:rsid w:val="009A72FC"/>
    <w:rsid w:val="009A751C"/>
    <w:rsid w:val="009A7A35"/>
    <w:rsid w:val="009B1B49"/>
    <w:rsid w:val="009B23F6"/>
    <w:rsid w:val="009B2546"/>
    <w:rsid w:val="009B2575"/>
    <w:rsid w:val="009B2893"/>
    <w:rsid w:val="009B2D44"/>
    <w:rsid w:val="009B3ED6"/>
    <w:rsid w:val="009B4438"/>
    <w:rsid w:val="009B4451"/>
    <w:rsid w:val="009B4D86"/>
    <w:rsid w:val="009B790E"/>
    <w:rsid w:val="009B7975"/>
    <w:rsid w:val="009C054D"/>
    <w:rsid w:val="009C0D68"/>
    <w:rsid w:val="009C1419"/>
    <w:rsid w:val="009C26F2"/>
    <w:rsid w:val="009C28CE"/>
    <w:rsid w:val="009C2D7C"/>
    <w:rsid w:val="009C32ED"/>
    <w:rsid w:val="009C356B"/>
    <w:rsid w:val="009C3856"/>
    <w:rsid w:val="009C4955"/>
    <w:rsid w:val="009C6D85"/>
    <w:rsid w:val="009C7354"/>
    <w:rsid w:val="009C7E0C"/>
    <w:rsid w:val="009D0D99"/>
    <w:rsid w:val="009D2A0B"/>
    <w:rsid w:val="009D2D0F"/>
    <w:rsid w:val="009D2ED9"/>
    <w:rsid w:val="009D3CC4"/>
    <w:rsid w:val="009D3EC2"/>
    <w:rsid w:val="009D3FEF"/>
    <w:rsid w:val="009D4AF6"/>
    <w:rsid w:val="009D4E77"/>
    <w:rsid w:val="009D6DB1"/>
    <w:rsid w:val="009D7AAC"/>
    <w:rsid w:val="009D7EC3"/>
    <w:rsid w:val="009D7FFB"/>
    <w:rsid w:val="009E0C86"/>
    <w:rsid w:val="009E1E07"/>
    <w:rsid w:val="009E29EA"/>
    <w:rsid w:val="009E2A12"/>
    <w:rsid w:val="009E2BB7"/>
    <w:rsid w:val="009E3661"/>
    <w:rsid w:val="009E37C5"/>
    <w:rsid w:val="009E418F"/>
    <w:rsid w:val="009E4907"/>
    <w:rsid w:val="009E63FA"/>
    <w:rsid w:val="009E66FC"/>
    <w:rsid w:val="009E6C24"/>
    <w:rsid w:val="009E702F"/>
    <w:rsid w:val="009E72FE"/>
    <w:rsid w:val="009E73BD"/>
    <w:rsid w:val="009E7919"/>
    <w:rsid w:val="009E7C13"/>
    <w:rsid w:val="009F0663"/>
    <w:rsid w:val="009F213D"/>
    <w:rsid w:val="009F2C32"/>
    <w:rsid w:val="009F3EED"/>
    <w:rsid w:val="009F5FF1"/>
    <w:rsid w:val="009F6FFC"/>
    <w:rsid w:val="00A00DE6"/>
    <w:rsid w:val="00A00E1E"/>
    <w:rsid w:val="00A01C30"/>
    <w:rsid w:val="00A01D88"/>
    <w:rsid w:val="00A01F1C"/>
    <w:rsid w:val="00A03B9E"/>
    <w:rsid w:val="00A03BD7"/>
    <w:rsid w:val="00A05196"/>
    <w:rsid w:val="00A057B1"/>
    <w:rsid w:val="00A05A71"/>
    <w:rsid w:val="00A05D0A"/>
    <w:rsid w:val="00A06125"/>
    <w:rsid w:val="00A06998"/>
    <w:rsid w:val="00A102C1"/>
    <w:rsid w:val="00A1072A"/>
    <w:rsid w:val="00A1121F"/>
    <w:rsid w:val="00A11690"/>
    <w:rsid w:val="00A11866"/>
    <w:rsid w:val="00A132E1"/>
    <w:rsid w:val="00A13447"/>
    <w:rsid w:val="00A13AC5"/>
    <w:rsid w:val="00A148ED"/>
    <w:rsid w:val="00A14E08"/>
    <w:rsid w:val="00A15D42"/>
    <w:rsid w:val="00A163E1"/>
    <w:rsid w:val="00A16AD7"/>
    <w:rsid w:val="00A1770E"/>
    <w:rsid w:val="00A1777E"/>
    <w:rsid w:val="00A202E1"/>
    <w:rsid w:val="00A20A65"/>
    <w:rsid w:val="00A20DE1"/>
    <w:rsid w:val="00A21425"/>
    <w:rsid w:val="00A21F8E"/>
    <w:rsid w:val="00A228D7"/>
    <w:rsid w:val="00A230F0"/>
    <w:rsid w:val="00A2447E"/>
    <w:rsid w:val="00A246F5"/>
    <w:rsid w:val="00A2544A"/>
    <w:rsid w:val="00A256A5"/>
    <w:rsid w:val="00A25DDE"/>
    <w:rsid w:val="00A26275"/>
    <w:rsid w:val="00A26C11"/>
    <w:rsid w:val="00A26DA4"/>
    <w:rsid w:val="00A27082"/>
    <w:rsid w:val="00A27182"/>
    <w:rsid w:val="00A30575"/>
    <w:rsid w:val="00A324E2"/>
    <w:rsid w:val="00A3284C"/>
    <w:rsid w:val="00A33F35"/>
    <w:rsid w:val="00A340EF"/>
    <w:rsid w:val="00A3446D"/>
    <w:rsid w:val="00A34971"/>
    <w:rsid w:val="00A34EF3"/>
    <w:rsid w:val="00A3535A"/>
    <w:rsid w:val="00A36088"/>
    <w:rsid w:val="00A36B8A"/>
    <w:rsid w:val="00A41E57"/>
    <w:rsid w:val="00A45E89"/>
    <w:rsid w:val="00A46DCD"/>
    <w:rsid w:val="00A4765E"/>
    <w:rsid w:val="00A477AA"/>
    <w:rsid w:val="00A478B7"/>
    <w:rsid w:val="00A500F3"/>
    <w:rsid w:val="00A51738"/>
    <w:rsid w:val="00A51F24"/>
    <w:rsid w:val="00A52590"/>
    <w:rsid w:val="00A540FD"/>
    <w:rsid w:val="00A544CC"/>
    <w:rsid w:val="00A56192"/>
    <w:rsid w:val="00A5664B"/>
    <w:rsid w:val="00A567DA"/>
    <w:rsid w:val="00A569C9"/>
    <w:rsid w:val="00A57D5F"/>
    <w:rsid w:val="00A60552"/>
    <w:rsid w:val="00A60B53"/>
    <w:rsid w:val="00A60E2F"/>
    <w:rsid w:val="00A60EB1"/>
    <w:rsid w:val="00A612EC"/>
    <w:rsid w:val="00A626F9"/>
    <w:rsid w:val="00A62EFA"/>
    <w:rsid w:val="00A6450A"/>
    <w:rsid w:val="00A647F0"/>
    <w:rsid w:val="00A651CD"/>
    <w:rsid w:val="00A65858"/>
    <w:rsid w:val="00A65F75"/>
    <w:rsid w:val="00A66099"/>
    <w:rsid w:val="00A67004"/>
    <w:rsid w:val="00A70875"/>
    <w:rsid w:val="00A70FAD"/>
    <w:rsid w:val="00A71237"/>
    <w:rsid w:val="00A7143B"/>
    <w:rsid w:val="00A71640"/>
    <w:rsid w:val="00A725B0"/>
    <w:rsid w:val="00A7266A"/>
    <w:rsid w:val="00A73360"/>
    <w:rsid w:val="00A750C6"/>
    <w:rsid w:val="00A76131"/>
    <w:rsid w:val="00A765C7"/>
    <w:rsid w:val="00A765F1"/>
    <w:rsid w:val="00A76637"/>
    <w:rsid w:val="00A76640"/>
    <w:rsid w:val="00A76764"/>
    <w:rsid w:val="00A8046E"/>
    <w:rsid w:val="00A82C04"/>
    <w:rsid w:val="00A82C14"/>
    <w:rsid w:val="00A83B6B"/>
    <w:rsid w:val="00A845C3"/>
    <w:rsid w:val="00A847E2"/>
    <w:rsid w:val="00A850E5"/>
    <w:rsid w:val="00A8548A"/>
    <w:rsid w:val="00A86CD9"/>
    <w:rsid w:val="00A87196"/>
    <w:rsid w:val="00A87D0C"/>
    <w:rsid w:val="00A9026B"/>
    <w:rsid w:val="00A90527"/>
    <w:rsid w:val="00A90DCD"/>
    <w:rsid w:val="00A91D36"/>
    <w:rsid w:val="00A9323E"/>
    <w:rsid w:val="00A933D0"/>
    <w:rsid w:val="00A93CF2"/>
    <w:rsid w:val="00A94FD6"/>
    <w:rsid w:val="00A968A5"/>
    <w:rsid w:val="00A96974"/>
    <w:rsid w:val="00A971DD"/>
    <w:rsid w:val="00A97BCE"/>
    <w:rsid w:val="00AA17A0"/>
    <w:rsid w:val="00AA286E"/>
    <w:rsid w:val="00AA28E4"/>
    <w:rsid w:val="00AA2951"/>
    <w:rsid w:val="00AA2A86"/>
    <w:rsid w:val="00AA3901"/>
    <w:rsid w:val="00AA4585"/>
    <w:rsid w:val="00AA4B38"/>
    <w:rsid w:val="00AA62E8"/>
    <w:rsid w:val="00AA7330"/>
    <w:rsid w:val="00AA7455"/>
    <w:rsid w:val="00AB159D"/>
    <w:rsid w:val="00AB1AE5"/>
    <w:rsid w:val="00AB1CEC"/>
    <w:rsid w:val="00AB1D80"/>
    <w:rsid w:val="00AB1E58"/>
    <w:rsid w:val="00AB1F25"/>
    <w:rsid w:val="00AB31A0"/>
    <w:rsid w:val="00AB3425"/>
    <w:rsid w:val="00AB5465"/>
    <w:rsid w:val="00AB5692"/>
    <w:rsid w:val="00AB5ADD"/>
    <w:rsid w:val="00AB5D9D"/>
    <w:rsid w:val="00AB75BB"/>
    <w:rsid w:val="00AB771E"/>
    <w:rsid w:val="00AB7FDA"/>
    <w:rsid w:val="00AC052C"/>
    <w:rsid w:val="00AC1362"/>
    <w:rsid w:val="00AC2CC9"/>
    <w:rsid w:val="00AC33BC"/>
    <w:rsid w:val="00AC3BD0"/>
    <w:rsid w:val="00AC421A"/>
    <w:rsid w:val="00AC5334"/>
    <w:rsid w:val="00AC5BA1"/>
    <w:rsid w:val="00AC5CB0"/>
    <w:rsid w:val="00AC7B45"/>
    <w:rsid w:val="00AD0AC8"/>
    <w:rsid w:val="00AD1208"/>
    <w:rsid w:val="00AD1CA9"/>
    <w:rsid w:val="00AD1F46"/>
    <w:rsid w:val="00AD22AC"/>
    <w:rsid w:val="00AD2D69"/>
    <w:rsid w:val="00AD35FD"/>
    <w:rsid w:val="00AD3C56"/>
    <w:rsid w:val="00AD5081"/>
    <w:rsid w:val="00AD57AC"/>
    <w:rsid w:val="00AD6656"/>
    <w:rsid w:val="00AD6CF3"/>
    <w:rsid w:val="00AD6D0C"/>
    <w:rsid w:val="00AD6D18"/>
    <w:rsid w:val="00AE064B"/>
    <w:rsid w:val="00AE0EB9"/>
    <w:rsid w:val="00AE15A9"/>
    <w:rsid w:val="00AE179E"/>
    <w:rsid w:val="00AE1ABB"/>
    <w:rsid w:val="00AE20E6"/>
    <w:rsid w:val="00AE2F2B"/>
    <w:rsid w:val="00AE3028"/>
    <w:rsid w:val="00AE4129"/>
    <w:rsid w:val="00AE4BDA"/>
    <w:rsid w:val="00AE5F3A"/>
    <w:rsid w:val="00AE6304"/>
    <w:rsid w:val="00AE73D0"/>
    <w:rsid w:val="00AF0F8F"/>
    <w:rsid w:val="00AF1BCD"/>
    <w:rsid w:val="00AF2C8D"/>
    <w:rsid w:val="00AF2F32"/>
    <w:rsid w:val="00AF30B3"/>
    <w:rsid w:val="00AF31CA"/>
    <w:rsid w:val="00AF4FD9"/>
    <w:rsid w:val="00AF616D"/>
    <w:rsid w:val="00AF625E"/>
    <w:rsid w:val="00AF6A7D"/>
    <w:rsid w:val="00AF797C"/>
    <w:rsid w:val="00AF7D1C"/>
    <w:rsid w:val="00B001A0"/>
    <w:rsid w:val="00B00322"/>
    <w:rsid w:val="00B00D94"/>
    <w:rsid w:val="00B01041"/>
    <w:rsid w:val="00B0109D"/>
    <w:rsid w:val="00B01190"/>
    <w:rsid w:val="00B015B9"/>
    <w:rsid w:val="00B02225"/>
    <w:rsid w:val="00B02FEE"/>
    <w:rsid w:val="00B037A1"/>
    <w:rsid w:val="00B03AF2"/>
    <w:rsid w:val="00B0457D"/>
    <w:rsid w:val="00B04793"/>
    <w:rsid w:val="00B04A15"/>
    <w:rsid w:val="00B06E82"/>
    <w:rsid w:val="00B11914"/>
    <w:rsid w:val="00B133EA"/>
    <w:rsid w:val="00B138C3"/>
    <w:rsid w:val="00B13ED9"/>
    <w:rsid w:val="00B13FE0"/>
    <w:rsid w:val="00B146A1"/>
    <w:rsid w:val="00B14C1F"/>
    <w:rsid w:val="00B15130"/>
    <w:rsid w:val="00B1530E"/>
    <w:rsid w:val="00B15389"/>
    <w:rsid w:val="00B17A3C"/>
    <w:rsid w:val="00B20293"/>
    <w:rsid w:val="00B21C3C"/>
    <w:rsid w:val="00B21EC7"/>
    <w:rsid w:val="00B2225C"/>
    <w:rsid w:val="00B23A37"/>
    <w:rsid w:val="00B2403E"/>
    <w:rsid w:val="00B240EE"/>
    <w:rsid w:val="00B25434"/>
    <w:rsid w:val="00B25D4F"/>
    <w:rsid w:val="00B2610C"/>
    <w:rsid w:val="00B27B86"/>
    <w:rsid w:val="00B27EDA"/>
    <w:rsid w:val="00B27F13"/>
    <w:rsid w:val="00B316BE"/>
    <w:rsid w:val="00B31F6B"/>
    <w:rsid w:val="00B40060"/>
    <w:rsid w:val="00B403D2"/>
    <w:rsid w:val="00B417F3"/>
    <w:rsid w:val="00B43479"/>
    <w:rsid w:val="00B434B9"/>
    <w:rsid w:val="00B43987"/>
    <w:rsid w:val="00B45CA4"/>
    <w:rsid w:val="00B46584"/>
    <w:rsid w:val="00B466C7"/>
    <w:rsid w:val="00B467B0"/>
    <w:rsid w:val="00B46992"/>
    <w:rsid w:val="00B507FA"/>
    <w:rsid w:val="00B50814"/>
    <w:rsid w:val="00B50ADC"/>
    <w:rsid w:val="00B51226"/>
    <w:rsid w:val="00B52E3B"/>
    <w:rsid w:val="00B5334D"/>
    <w:rsid w:val="00B53551"/>
    <w:rsid w:val="00B536ED"/>
    <w:rsid w:val="00B53A57"/>
    <w:rsid w:val="00B53D80"/>
    <w:rsid w:val="00B53E68"/>
    <w:rsid w:val="00B54002"/>
    <w:rsid w:val="00B5451D"/>
    <w:rsid w:val="00B54F3B"/>
    <w:rsid w:val="00B55217"/>
    <w:rsid w:val="00B55319"/>
    <w:rsid w:val="00B56D13"/>
    <w:rsid w:val="00B57A57"/>
    <w:rsid w:val="00B57D0E"/>
    <w:rsid w:val="00B60A58"/>
    <w:rsid w:val="00B6101C"/>
    <w:rsid w:val="00B61109"/>
    <w:rsid w:val="00B617B0"/>
    <w:rsid w:val="00B624A9"/>
    <w:rsid w:val="00B63186"/>
    <w:rsid w:val="00B63793"/>
    <w:rsid w:val="00B63FF7"/>
    <w:rsid w:val="00B64A9C"/>
    <w:rsid w:val="00B6592D"/>
    <w:rsid w:val="00B65A7C"/>
    <w:rsid w:val="00B65A94"/>
    <w:rsid w:val="00B67EAC"/>
    <w:rsid w:val="00B701D9"/>
    <w:rsid w:val="00B70489"/>
    <w:rsid w:val="00B708C3"/>
    <w:rsid w:val="00B71D7E"/>
    <w:rsid w:val="00B7329A"/>
    <w:rsid w:val="00B73D10"/>
    <w:rsid w:val="00B7459D"/>
    <w:rsid w:val="00B75874"/>
    <w:rsid w:val="00B75F0E"/>
    <w:rsid w:val="00B75F54"/>
    <w:rsid w:val="00B76471"/>
    <w:rsid w:val="00B76D24"/>
    <w:rsid w:val="00B779B8"/>
    <w:rsid w:val="00B80463"/>
    <w:rsid w:val="00B81592"/>
    <w:rsid w:val="00B8248C"/>
    <w:rsid w:val="00B82CF7"/>
    <w:rsid w:val="00B83D3C"/>
    <w:rsid w:val="00B83DAB"/>
    <w:rsid w:val="00B83DEA"/>
    <w:rsid w:val="00B83F7F"/>
    <w:rsid w:val="00B86101"/>
    <w:rsid w:val="00B8625D"/>
    <w:rsid w:val="00B865B4"/>
    <w:rsid w:val="00B8694C"/>
    <w:rsid w:val="00B86982"/>
    <w:rsid w:val="00B87249"/>
    <w:rsid w:val="00B8797A"/>
    <w:rsid w:val="00B90152"/>
    <w:rsid w:val="00B90A4A"/>
    <w:rsid w:val="00B91A36"/>
    <w:rsid w:val="00B92437"/>
    <w:rsid w:val="00B92AB5"/>
    <w:rsid w:val="00B94465"/>
    <w:rsid w:val="00B95753"/>
    <w:rsid w:val="00B960F3"/>
    <w:rsid w:val="00B96620"/>
    <w:rsid w:val="00B96998"/>
    <w:rsid w:val="00B96D6C"/>
    <w:rsid w:val="00B96F96"/>
    <w:rsid w:val="00BA081A"/>
    <w:rsid w:val="00BA0D64"/>
    <w:rsid w:val="00BA307A"/>
    <w:rsid w:val="00BA3E40"/>
    <w:rsid w:val="00BA3F79"/>
    <w:rsid w:val="00BA4C72"/>
    <w:rsid w:val="00BA50D7"/>
    <w:rsid w:val="00BA75E1"/>
    <w:rsid w:val="00BA7A94"/>
    <w:rsid w:val="00BB0E9B"/>
    <w:rsid w:val="00BB157D"/>
    <w:rsid w:val="00BB1C6E"/>
    <w:rsid w:val="00BB2065"/>
    <w:rsid w:val="00BB304D"/>
    <w:rsid w:val="00BB3AF4"/>
    <w:rsid w:val="00BB3BB2"/>
    <w:rsid w:val="00BB3F90"/>
    <w:rsid w:val="00BB4588"/>
    <w:rsid w:val="00BB5383"/>
    <w:rsid w:val="00BB5477"/>
    <w:rsid w:val="00BB5EE3"/>
    <w:rsid w:val="00BB638C"/>
    <w:rsid w:val="00BB63C9"/>
    <w:rsid w:val="00BB6622"/>
    <w:rsid w:val="00BB67A2"/>
    <w:rsid w:val="00BB7557"/>
    <w:rsid w:val="00BB758A"/>
    <w:rsid w:val="00BB7A60"/>
    <w:rsid w:val="00BB7B42"/>
    <w:rsid w:val="00BC08C5"/>
    <w:rsid w:val="00BC0AA8"/>
    <w:rsid w:val="00BC13CB"/>
    <w:rsid w:val="00BC1C00"/>
    <w:rsid w:val="00BC1FE9"/>
    <w:rsid w:val="00BC358D"/>
    <w:rsid w:val="00BC3ECE"/>
    <w:rsid w:val="00BC4072"/>
    <w:rsid w:val="00BC437E"/>
    <w:rsid w:val="00BC4601"/>
    <w:rsid w:val="00BC568C"/>
    <w:rsid w:val="00BC6A96"/>
    <w:rsid w:val="00BC76A4"/>
    <w:rsid w:val="00BC7990"/>
    <w:rsid w:val="00BC7D66"/>
    <w:rsid w:val="00BD01B6"/>
    <w:rsid w:val="00BD1CE9"/>
    <w:rsid w:val="00BD226F"/>
    <w:rsid w:val="00BD293C"/>
    <w:rsid w:val="00BD374B"/>
    <w:rsid w:val="00BD42C3"/>
    <w:rsid w:val="00BD6561"/>
    <w:rsid w:val="00BD7789"/>
    <w:rsid w:val="00BD787B"/>
    <w:rsid w:val="00BE01C3"/>
    <w:rsid w:val="00BE0699"/>
    <w:rsid w:val="00BE073B"/>
    <w:rsid w:val="00BE081E"/>
    <w:rsid w:val="00BE13D9"/>
    <w:rsid w:val="00BE1D10"/>
    <w:rsid w:val="00BE28F4"/>
    <w:rsid w:val="00BE2E9B"/>
    <w:rsid w:val="00BE2F09"/>
    <w:rsid w:val="00BE3415"/>
    <w:rsid w:val="00BE3679"/>
    <w:rsid w:val="00BE3923"/>
    <w:rsid w:val="00BE5233"/>
    <w:rsid w:val="00BE53DD"/>
    <w:rsid w:val="00BE55D1"/>
    <w:rsid w:val="00BE56CC"/>
    <w:rsid w:val="00BE597C"/>
    <w:rsid w:val="00BE64CC"/>
    <w:rsid w:val="00BE6594"/>
    <w:rsid w:val="00BE694F"/>
    <w:rsid w:val="00BE6AF0"/>
    <w:rsid w:val="00BE7360"/>
    <w:rsid w:val="00BE7401"/>
    <w:rsid w:val="00BE74DB"/>
    <w:rsid w:val="00BE7657"/>
    <w:rsid w:val="00BE7B2E"/>
    <w:rsid w:val="00BF08ED"/>
    <w:rsid w:val="00BF0A9F"/>
    <w:rsid w:val="00BF27BA"/>
    <w:rsid w:val="00BF3139"/>
    <w:rsid w:val="00BF37F1"/>
    <w:rsid w:val="00BF37F8"/>
    <w:rsid w:val="00BF3B65"/>
    <w:rsid w:val="00BF3C72"/>
    <w:rsid w:val="00BF4D14"/>
    <w:rsid w:val="00BF5947"/>
    <w:rsid w:val="00BF62DD"/>
    <w:rsid w:val="00BF65F1"/>
    <w:rsid w:val="00BF6EF8"/>
    <w:rsid w:val="00C00875"/>
    <w:rsid w:val="00C00E04"/>
    <w:rsid w:val="00C01D47"/>
    <w:rsid w:val="00C028DE"/>
    <w:rsid w:val="00C02DFD"/>
    <w:rsid w:val="00C02E2B"/>
    <w:rsid w:val="00C033A6"/>
    <w:rsid w:val="00C035FC"/>
    <w:rsid w:val="00C044FF"/>
    <w:rsid w:val="00C047CB"/>
    <w:rsid w:val="00C04E1C"/>
    <w:rsid w:val="00C050F0"/>
    <w:rsid w:val="00C07BD5"/>
    <w:rsid w:val="00C12168"/>
    <w:rsid w:val="00C124A4"/>
    <w:rsid w:val="00C12869"/>
    <w:rsid w:val="00C14A95"/>
    <w:rsid w:val="00C14B40"/>
    <w:rsid w:val="00C14D28"/>
    <w:rsid w:val="00C151C6"/>
    <w:rsid w:val="00C15D9B"/>
    <w:rsid w:val="00C15E2D"/>
    <w:rsid w:val="00C1635D"/>
    <w:rsid w:val="00C168D5"/>
    <w:rsid w:val="00C174DC"/>
    <w:rsid w:val="00C1756C"/>
    <w:rsid w:val="00C20ACC"/>
    <w:rsid w:val="00C20C04"/>
    <w:rsid w:val="00C2131D"/>
    <w:rsid w:val="00C21907"/>
    <w:rsid w:val="00C21D7E"/>
    <w:rsid w:val="00C222DD"/>
    <w:rsid w:val="00C228A6"/>
    <w:rsid w:val="00C23401"/>
    <w:rsid w:val="00C239BA"/>
    <w:rsid w:val="00C23B2C"/>
    <w:rsid w:val="00C241FA"/>
    <w:rsid w:val="00C24637"/>
    <w:rsid w:val="00C257DC"/>
    <w:rsid w:val="00C26220"/>
    <w:rsid w:val="00C2661C"/>
    <w:rsid w:val="00C268D4"/>
    <w:rsid w:val="00C2746B"/>
    <w:rsid w:val="00C2766A"/>
    <w:rsid w:val="00C27F30"/>
    <w:rsid w:val="00C33605"/>
    <w:rsid w:val="00C34219"/>
    <w:rsid w:val="00C36006"/>
    <w:rsid w:val="00C363AB"/>
    <w:rsid w:val="00C40122"/>
    <w:rsid w:val="00C415DC"/>
    <w:rsid w:val="00C41908"/>
    <w:rsid w:val="00C4426B"/>
    <w:rsid w:val="00C450A9"/>
    <w:rsid w:val="00C45813"/>
    <w:rsid w:val="00C459C1"/>
    <w:rsid w:val="00C45F19"/>
    <w:rsid w:val="00C4611B"/>
    <w:rsid w:val="00C46A3D"/>
    <w:rsid w:val="00C46A93"/>
    <w:rsid w:val="00C46B89"/>
    <w:rsid w:val="00C474C2"/>
    <w:rsid w:val="00C47C6B"/>
    <w:rsid w:val="00C47CFB"/>
    <w:rsid w:val="00C50B44"/>
    <w:rsid w:val="00C50E4B"/>
    <w:rsid w:val="00C51F61"/>
    <w:rsid w:val="00C51FC7"/>
    <w:rsid w:val="00C5230A"/>
    <w:rsid w:val="00C529A0"/>
    <w:rsid w:val="00C52F64"/>
    <w:rsid w:val="00C53EAB"/>
    <w:rsid w:val="00C54998"/>
    <w:rsid w:val="00C55376"/>
    <w:rsid w:val="00C555D0"/>
    <w:rsid w:val="00C557FA"/>
    <w:rsid w:val="00C55C35"/>
    <w:rsid w:val="00C57465"/>
    <w:rsid w:val="00C6027B"/>
    <w:rsid w:val="00C60601"/>
    <w:rsid w:val="00C607CE"/>
    <w:rsid w:val="00C61956"/>
    <w:rsid w:val="00C62D5F"/>
    <w:rsid w:val="00C6416D"/>
    <w:rsid w:val="00C66713"/>
    <w:rsid w:val="00C66A58"/>
    <w:rsid w:val="00C67239"/>
    <w:rsid w:val="00C67555"/>
    <w:rsid w:val="00C6762A"/>
    <w:rsid w:val="00C67AD7"/>
    <w:rsid w:val="00C724CA"/>
    <w:rsid w:val="00C72659"/>
    <w:rsid w:val="00C7472D"/>
    <w:rsid w:val="00C75F76"/>
    <w:rsid w:val="00C77159"/>
    <w:rsid w:val="00C7757F"/>
    <w:rsid w:val="00C77E93"/>
    <w:rsid w:val="00C77F26"/>
    <w:rsid w:val="00C81158"/>
    <w:rsid w:val="00C81BD5"/>
    <w:rsid w:val="00C8260F"/>
    <w:rsid w:val="00C826DB"/>
    <w:rsid w:val="00C83B69"/>
    <w:rsid w:val="00C83BFC"/>
    <w:rsid w:val="00C84AF9"/>
    <w:rsid w:val="00C85911"/>
    <w:rsid w:val="00C85FE9"/>
    <w:rsid w:val="00C8672B"/>
    <w:rsid w:val="00C86C79"/>
    <w:rsid w:val="00C8725B"/>
    <w:rsid w:val="00C87633"/>
    <w:rsid w:val="00C87C04"/>
    <w:rsid w:val="00C87C83"/>
    <w:rsid w:val="00C903D2"/>
    <w:rsid w:val="00C91361"/>
    <w:rsid w:val="00C929A3"/>
    <w:rsid w:val="00C929B5"/>
    <w:rsid w:val="00C935F4"/>
    <w:rsid w:val="00C93A5C"/>
    <w:rsid w:val="00C941EF"/>
    <w:rsid w:val="00C94F92"/>
    <w:rsid w:val="00C95AAA"/>
    <w:rsid w:val="00C96754"/>
    <w:rsid w:val="00C9740F"/>
    <w:rsid w:val="00C97F28"/>
    <w:rsid w:val="00CA062D"/>
    <w:rsid w:val="00CA31A4"/>
    <w:rsid w:val="00CA3A0F"/>
    <w:rsid w:val="00CA3F7D"/>
    <w:rsid w:val="00CA44FF"/>
    <w:rsid w:val="00CA4CF2"/>
    <w:rsid w:val="00CA6130"/>
    <w:rsid w:val="00CA61BF"/>
    <w:rsid w:val="00CA71D9"/>
    <w:rsid w:val="00CA746D"/>
    <w:rsid w:val="00CA7B0E"/>
    <w:rsid w:val="00CB1277"/>
    <w:rsid w:val="00CB1935"/>
    <w:rsid w:val="00CB1BF1"/>
    <w:rsid w:val="00CB1FE1"/>
    <w:rsid w:val="00CB2E5C"/>
    <w:rsid w:val="00CB352C"/>
    <w:rsid w:val="00CB3E8F"/>
    <w:rsid w:val="00CB4C75"/>
    <w:rsid w:val="00CB4E50"/>
    <w:rsid w:val="00CB54F1"/>
    <w:rsid w:val="00CB582C"/>
    <w:rsid w:val="00CB5949"/>
    <w:rsid w:val="00CB6233"/>
    <w:rsid w:val="00CB62ED"/>
    <w:rsid w:val="00CB6913"/>
    <w:rsid w:val="00CB7F8D"/>
    <w:rsid w:val="00CC05AA"/>
    <w:rsid w:val="00CC120A"/>
    <w:rsid w:val="00CC16A1"/>
    <w:rsid w:val="00CC1D72"/>
    <w:rsid w:val="00CC1DBF"/>
    <w:rsid w:val="00CC21DF"/>
    <w:rsid w:val="00CC335D"/>
    <w:rsid w:val="00CC3846"/>
    <w:rsid w:val="00CC3F0B"/>
    <w:rsid w:val="00CC4AF0"/>
    <w:rsid w:val="00CC55FD"/>
    <w:rsid w:val="00CC5D00"/>
    <w:rsid w:val="00CC64C5"/>
    <w:rsid w:val="00CC6C0A"/>
    <w:rsid w:val="00CC6D9E"/>
    <w:rsid w:val="00CC6EFF"/>
    <w:rsid w:val="00CD085F"/>
    <w:rsid w:val="00CD09D6"/>
    <w:rsid w:val="00CD1500"/>
    <w:rsid w:val="00CD198A"/>
    <w:rsid w:val="00CD1C0E"/>
    <w:rsid w:val="00CD2036"/>
    <w:rsid w:val="00CD2269"/>
    <w:rsid w:val="00CD2590"/>
    <w:rsid w:val="00CD33AE"/>
    <w:rsid w:val="00CD3B98"/>
    <w:rsid w:val="00CD464E"/>
    <w:rsid w:val="00CD4B14"/>
    <w:rsid w:val="00CD5A01"/>
    <w:rsid w:val="00CD5E12"/>
    <w:rsid w:val="00CD6353"/>
    <w:rsid w:val="00CD67BB"/>
    <w:rsid w:val="00CD6F55"/>
    <w:rsid w:val="00CD7231"/>
    <w:rsid w:val="00CE13B7"/>
    <w:rsid w:val="00CE22AC"/>
    <w:rsid w:val="00CE3B22"/>
    <w:rsid w:val="00CE6179"/>
    <w:rsid w:val="00CE6D52"/>
    <w:rsid w:val="00CE7A12"/>
    <w:rsid w:val="00CE7A66"/>
    <w:rsid w:val="00CE7B76"/>
    <w:rsid w:val="00CF0CFD"/>
    <w:rsid w:val="00CF22BE"/>
    <w:rsid w:val="00CF2419"/>
    <w:rsid w:val="00CF35AD"/>
    <w:rsid w:val="00CF37B9"/>
    <w:rsid w:val="00CF46BA"/>
    <w:rsid w:val="00CF4D81"/>
    <w:rsid w:val="00CF501C"/>
    <w:rsid w:val="00CF5381"/>
    <w:rsid w:val="00CF5D82"/>
    <w:rsid w:val="00CF6480"/>
    <w:rsid w:val="00CF73BF"/>
    <w:rsid w:val="00CF7503"/>
    <w:rsid w:val="00CF75C5"/>
    <w:rsid w:val="00CF7A17"/>
    <w:rsid w:val="00CF7A22"/>
    <w:rsid w:val="00CF7CA6"/>
    <w:rsid w:val="00CF7CE2"/>
    <w:rsid w:val="00CF7D93"/>
    <w:rsid w:val="00D006C9"/>
    <w:rsid w:val="00D01FAD"/>
    <w:rsid w:val="00D02D5E"/>
    <w:rsid w:val="00D030E8"/>
    <w:rsid w:val="00D0488D"/>
    <w:rsid w:val="00D06681"/>
    <w:rsid w:val="00D06FD2"/>
    <w:rsid w:val="00D07C18"/>
    <w:rsid w:val="00D1022A"/>
    <w:rsid w:val="00D1032B"/>
    <w:rsid w:val="00D10665"/>
    <w:rsid w:val="00D10672"/>
    <w:rsid w:val="00D11115"/>
    <w:rsid w:val="00D1189F"/>
    <w:rsid w:val="00D11987"/>
    <w:rsid w:val="00D11D9B"/>
    <w:rsid w:val="00D12DF3"/>
    <w:rsid w:val="00D135CD"/>
    <w:rsid w:val="00D137B0"/>
    <w:rsid w:val="00D1460D"/>
    <w:rsid w:val="00D14829"/>
    <w:rsid w:val="00D14FC4"/>
    <w:rsid w:val="00D16CA2"/>
    <w:rsid w:val="00D16FE4"/>
    <w:rsid w:val="00D1728F"/>
    <w:rsid w:val="00D1778C"/>
    <w:rsid w:val="00D17E88"/>
    <w:rsid w:val="00D17F55"/>
    <w:rsid w:val="00D20C51"/>
    <w:rsid w:val="00D20DB5"/>
    <w:rsid w:val="00D20FA6"/>
    <w:rsid w:val="00D21BCB"/>
    <w:rsid w:val="00D22C9F"/>
    <w:rsid w:val="00D22D3B"/>
    <w:rsid w:val="00D22E7E"/>
    <w:rsid w:val="00D2315E"/>
    <w:rsid w:val="00D23822"/>
    <w:rsid w:val="00D239B0"/>
    <w:rsid w:val="00D23B14"/>
    <w:rsid w:val="00D2414A"/>
    <w:rsid w:val="00D25A03"/>
    <w:rsid w:val="00D26CCB"/>
    <w:rsid w:val="00D26E35"/>
    <w:rsid w:val="00D26F3C"/>
    <w:rsid w:val="00D27552"/>
    <w:rsid w:val="00D31C7A"/>
    <w:rsid w:val="00D32B85"/>
    <w:rsid w:val="00D33050"/>
    <w:rsid w:val="00D3311B"/>
    <w:rsid w:val="00D36B9D"/>
    <w:rsid w:val="00D3759E"/>
    <w:rsid w:val="00D37A48"/>
    <w:rsid w:val="00D408F4"/>
    <w:rsid w:val="00D40DDB"/>
    <w:rsid w:val="00D40F24"/>
    <w:rsid w:val="00D41BDD"/>
    <w:rsid w:val="00D4233A"/>
    <w:rsid w:val="00D424A3"/>
    <w:rsid w:val="00D4270F"/>
    <w:rsid w:val="00D431CB"/>
    <w:rsid w:val="00D431F6"/>
    <w:rsid w:val="00D433D2"/>
    <w:rsid w:val="00D442D8"/>
    <w:rsid w:val="00D44A6F"/>
    <w:rsid w:val="00D44FFB"/>
    <w:rsid w:val="00D4570C"/>
    <w:rsid w:val="00D4594B"/>
    <w:rsid w:val="00D469A8"/>
    <w:rsid w:val="00D46D92"/>
    <w:rsid w:val="00D47798"/>
    <w:rsid w:val="00D51996"/>
    <w:rsid w:val="00D51A27"/>
    <w:rsid w:val="00D5299F"/>
    <w:rsid w:val="00D53FA1"/>
    <w:rsid w:val="00D55E6A"/>
    <w:rsid w:val="00D5679D"/>
    <w:rsid w:val="00D569AF"/>
    <w:rsid w:val="00D57864"/>
    <w:rsid w:val="00D57E8C"/>
    <w:rsid w:val="00D60198"/>
    <w:rsid w:val="00D6251D"/>
    <w:rsid w:val="00D627BC"/>
    <w:rsid w:val="00D628C1"/>
    <w:rsid w:val="00D63120"/>
    <w:rsid w:val="00D63732"/>
    <w:rsid w:val="00D643EB"/>
    <w:rsid w:val="00D6476E"/>
    <w:rsid w:val="00D6568C"/>
    <w:rsid w:val="00D65F30"/>
    <w:rsid w:val="00D6611F"/>
    <w:rsid w:val="00D66EA4"/>
    <w:rsid w:val="00D67FA2"/>
    <w:rsid w:val="00D704C2"/>
    <w:rsid w:val="00D70B53"/>
    <w:rsid w:val="00D70D7B"/>
    <w:rsid w:val="00D71605"/>
    <w:rsid w:val="00D724A9"/>
    <w:rsid w:val="00D72852"/>
    <w:rsid w:val="00D7322D"/>
    <w:rsid w:val="00D73F89"/>
    <w:rsid w:val="00D74A25"/>
    <w:rsid w:val="00D74D6B"/>
    <w:rsid w:val="00D75BA2"/>
    <w:rsid w:val="00D76529"/>
    <w:rsid w:val="00D76577"/>
    <w:rsid w:val="00D767A6"/>
    <w:rsid w:val="00D770C7"/>
    <w:rsid w:val="00D77FF4"/>
    <w:rsid w:val="00D80171"/>
    <w:rsid w:val="00D802C1"/>
    <w:rsid w:val="00D81D3B"/>
    <w:rsid w:val="00D821C8"/>
    <w:rsid w:val="00D822A9"/>
    <w:rsid w:val="00D822B6"/>
    <w:rsid w:val="00D8243A"/>
    <w:rsid w:val="00D82475"/>
    <w:rsid w:val="00D82537"/>
    <w:rsid w:val="00D828F9"/>
    <w:rsid w:val="00D83782"/>
    <w:rsid w:val="00D839BC"/>
    <w:rsid w:val="00D8407F"/>
    <w:rsid w:val="00D8498A"/>
    <w:rsid w:val="00D86127"/>
    <w:rsid w:val="00D86434"/>
    <w:rsid w:val="00D86671"/>
    <w:rsid w:val="00D86AD6"/>
    <w:rsid w:val="00D8729B"/>
    <w:rsid w:val="00D873DC"/>
    <w:rsid w:val="00D877C1"/>
    <w:rsid w:val="00D878BA"/>
    <w:rsid w:val="00D87A12"/>
    <w:rsid w:val="00D90844"/>
    <w:rsid w:val="00D91E41"/>
    <w:rsid w:val="00D920D7"/>
    <w:rsid w:val="00D92B02"/>
    <w:rsid w:val="00D93551"/>
    <w:rsid w:val="00D9469D"/>
    <w:rsid w:val="00D95FC8"/>
    <w:rsid w:val="00D95FFC"/>
    <w:rsid w:val="00D96297"/>
    <w:rsid w:val="00D966E2"/>
    <w:rsid w:val="00D978A9"/>
    <w:rsid w:val="00D97B8E"/>
    <w:rsid w:val="00DA21CC"/>
    <w:rsid w:val="00DA244C"/>
    <w:rsid w:val="00DA2A45"/>
    <w:rsid w:val="00DA2BD5"/>
    <w:rsid w:val="00DA3350"/>
    <w:rsid w:val="00DA3AF3"/>
    <w:rsid w:val="00DA3F32"/>
    <w:rsid w:val="00DA45BC"/>
    <w:rsid w:val="00DA496C"/>
    <w:rsid w:val="00DA5855"/>
    <w:rsid w:val="00DA5D6A"/>
    <w:rsid w:val="00DA5ECE"/>
    <w:rsid w:val="00DA5ED0"/>
    <w:rsid w:val="00DA6938"/>
    <w:rsid w:val="00DA696E"/>
    <w:rsid w:val="00DA7208"/>
    <w:rsid w:val="00DA7225"/>
    <w:rsid w:val="00DA743D"/>
    <w:rsid w:val="00DB028E"/>
    <w:rsid w:val="00DB0422"/>
    <w:rsid w:val="00DB07E6"/>
    <w:rsid w:val="00DB0985"/>
    <w:rsid w:val="00DB0AB4"/>
    <w:rsid w:val="00DB120B"/>
    <w:rsid w:val="00DB1BE6"/>
    <w:rsid w:val="00DB22AA"/>
    <w:rsid w:val="00DB24A8"/>
    <w:rsid w:val="00DB2781"/>
    <w:rsid w:val="00DB2DA7"/>
    <w:rsid w:val="00DB5910"/>
    <w:rsid w:val="00DB59D3"/>
    <w:rsid w:val="00DB6340"/>
    <w:rsid w:val="00DB6D75"/>
    <w:rsid w:val="00DB720A"/>
    <w:rsid w:val="00DB738F"/>
    <w:rsid w:val="00DC02A3"/>
    <w:rsid w:val="00DC10DE"/>
    <w:rsid w:val="00DC20F9"/>
    <w:rsid w:val="00DC3AAF"/>
    <w:rsid w:val="00DC4939"/>
    <w:rsid w:val="00DC5B38"/>
    <w:rsid w:val="00DC5E43"/>
    <w:rsid w:val="00DC629F"/>
    <w:rsid w:val="00DC75A2"/>
    <w:rsid w:val="00DC7AFD"/>
    <w:rsid w:val="00DD0422"/>
    <w:rsid w:val="00DD05B1"/>
    <w:rsid w:val="00DD12A7"/>
    <w:rsid w:val="00DD1352"/>
    <w:rsid w:val="00DD176B"/>
    <w:rsid w:val="00DD20C0"/>
    <w:rsid w:val="00DD24A6"/>
    <w:rsid w:val="00DD2B4E"/>
    <w:rsid w:val="00DD44F2"/>
    <w:rsid w:val="00DD4978"/>
    <w:rsid w:val="00DD4B38"/>
    <w:rsid w:val="00DD5AC0"/>
    <w:rsid w:val="00DD6A19"/>
    <w:rsid w:val="00DE03B8"/>
    <w:rsid w:val="00DE33FB"/>
    <w:rsid w:val="00DE3A40"/>
    <w:rsid w:val="00DE4894"/>
    <w:rsid w:val="00DE507E"/>
    <w:rsid w:val="00DE50B9"/>
    <w:rsid w:val="00DE523E"/>
    <w:rsid w:val="00DE5517"/>
    <w:rsid w:val="00DE5BF0"/>
    <w:rsid w:val="00DE5FCA"/>
    <w:rsid w:val="00DE6D5B"/>
    <w:rsid w:val="00DE6F72"/>
    <w:rsid w:val="00DE7ED3"/>
    <w:rsid w:val="00DF05CD"/>
    <w:rsid w:val="00DF1FAA"/>
    <w:rsid w:val="00DF25D6"/>
    <w:rsid w:val="00DF3D4B"/>
    <w:rsid w:val="00DF3E88"/>
    <w:rsid w:val="00DF623A"/>
    <w:rsid w:val="00DF63AE"/>
    <w:rsid w:val="00DF683F"/>
    <w:rsid w:val="00DF6BFA"/>
    <w:rsid w:val="00E00600"/>
    <w:rsid w:val="00E01144"/>
    <w:rsid w:val="00E0151A"/>
    <w:rsid w:val="00E01E55"/>
    <w:rsid w:val="00E01EFF"/>
    <w:rsid w:val="00E021DE"/>
    <w:rsid w:val="00E05151"/>
    <w:rsid w:val="00E0549F"/>
    <w:rsid w:val="00E06384"/>
    <w:rsid w:val="00E06868"/>
    <w:rsid w:val="00E075CF"/>
    <w:rsid w:val="00E10635"/>
    <w:rsid w:val="00E10D0A"/>
    <w:rsid w:val="00E11AD0"/>
    <w:rsid w:val="00E122C1"/>
    <w:rsid w:val="00E131B4"/>
    <w:rsid w:val="00E144C3"/>
    <w:rsid w:val="00E14AC8"/>
    <w:rsid w:val="00E14D4E"/>
    <w:rsid w:val="00E15C1A"/>
    <w:rsid w:val="00E162BD"/>
    <w:rsid w:val="00E1657D"/>
    <w:rsid w:val="00E20659"/>
    <w:rsid w:val="00E207C1"/>
    <w:rsid w:val="00E20EFA"/>
    <w:rsid w:val="00E21062"/>
    <w:rsid w:val="00E2157B"/>
    <w:rsid w:val="00E2214A"/>
    <w:rsid w:val="00E2226D"/>
    <w:rsid w:val="00E22370"/>
    <w:rsid w:val="00E22669"/>
    <w:rsid w:val="00E22848"/>
    <w:rsid w:val="00E23A5B"/>
    <w:rsid w:val="00E25CED"/>
    <w:rsid w:val="00E2664B"/>
    <w:rsid w:val="00E267BA"/>
    <w:rsid w:val="00E26A02"/>
    <w:rsid w:val="00E26AC9"/>
    <w:rsid w:val="00E27679"/>
    <w:rsid w:val="00E27710"/>
    <w:rsid w:val="00E277DD"/>
    <w:rsid w:val="00E304E5"/>
    <w:rsid w:val="00E304EE"/>
    <w:rsid w:val="00E31CB6"/>
    <w:rsid w:val="00E32411"/>
    <w:rsid w:val="00E324F8"/>
    <w:rsid w:val="00E329AE"/>
    <w:rsid w:val="00E32CFB"/>
    <w:rsid w:val="00E33127"/>
    <w:rsid w:val="00E33DE5"/>
    <w:rsid w:val="00E345AA"/>
    <w:rsid w:val="00E36C50"/>
    <w:rsid w:val="00E379EB"/>
    <w:rsid w:val="00E37B61"/>
    <w:rsid w:val="00E41229"/>
    <w:rsid w:val="00E41C3B"/>
    <w:rsid w:val="00E41F5B"/>
    <w:rsid w:val="00E431F5"/>
    <w:rsid w:val="00E4331F"/>
    <w:rsid w:val="00E45BBF"/>
    <w:rsid w:val="00E46015"/>
    <w:rsid w:val="00E470D3"/>
    <w:rsid w:val="00E4758E"/>
    <w:rsid w:val="00E478FF"/>
    <w:rsid w:val="00E47DBA"/>
    <w:rsid w:val="00E50506"/>
    <w:rsid w:val="00E50C3E"/>
    <w:rsid w:val="00E51000"/>
    <w:rsid w:val="00E51198"/>
    <w:rsid w:val="00E520DD"/>
    <w:rsid w:val="00E52B7E"/>
    <w:rsid w:val="00E5321E"/>
    <w:rsid w:val="00E536A6"/>
    <w:rsid w:val="00E53CC7"/>
    <w:rsid w:val="00E541DB"/>
    <w:rsid w:val="00E541F5"/>
    <w:rsid w:val="00E54D49"/>
    <w:rsid w:val="00E54E64"/>
    <w:rsid w:val="00E567F4"/>
    <w:rsid w:val="00E574CB"/>
    <w:rsid w:val="00E575DF"/>
    <w:rsid w:val="00E57C13"/>
    <w:rsid w:val="00E6009F"/>
    <w:rsid w:val="00E600AC"/>
    <w:rsid w:val="00E605C2"/>
    <w:rsid w:val="00E61786"/>
    <w:rsid w:val="00E62E60"/>
    <w:rsid w:val="00E63248"/>
    <w:rsid w:val="00E640A1"/>
    <w:rsid w:val="00E64858"/>
    <w:rsid w:val="00E6577A"/>
    <w:rsid w:val="00E658DB"/>
    <w:rsid w:val="00E65C69"/>
    <w:rsid w:val="00E66578"/>
    <w:rsid w:val="00E6724A"/>
    <w:rsid w:val="00E676FB"/>
    <w:rsid w:val="00E678F9"/>
    <w:rsid w:val="00E67B38"/>
    <w:rsid w:val="00E701B2"/>
    <w:rsid w:val="00E70F97"/>
    <w:rsid w:val="00E71095"/>
    <w:rsid w:val="00E713D0"/>
    <w:rsid w:val="00E71734"/>
    <w:rsid w:val="00E72885"/>
    <w:rsid w:val="00E72FFB"/>
    <w:rsid w:val="00E73702"/>
    <w:rsid w:val="00E743D9"/>
    <w:rsid w:val="00E747C2"/>
    <w:rsid w:val="00E75B71"/>
    <w:rsid w:val="00E76A5B"/>
    <w:rsid w:val="00E76E26"/>
    <w:rsid w:val="00E76FBC"/>
    <w:rsid w:val="00E77923"/>
    <w:rsid w:val="00E77D08"/>
    <w:rsid w:val="00E80169"/>
    <w:rsid w:val="00E805AB"/>
    <w:rsid w:val="00E816B6"/>
    <w:rsid w:val="00E81B8C"/>
    <w:rsid w:val="00E82EC0"/>
    <w:rsid w:val="00E83101"/>
    <w:rsid w:val="00E83702"/>
    <w:rsid w:val="00E84147"/>
    <w:rsid w:val="00E84EE5"/>
    <w:rsid w:val="00E85E5A"/>
    <w:rsid w:val="00E87905"/>
    <w:rsid w:val="00E87F58"/>
    <w:rsid w:val="00E9019E"/>
    <w:rsid w:val="00E90C36"/>
    <w:rsid w:val="00E90F8A"/>
    <w:rsid w:val="00E91016"/>
    <w:rsid w:val="00E914BD"/>
    <w:rsid w:val="00E917D9"/>
    <w:rsid w:val="00E91E49"/>
    <w:rsid w:val="00E9225E"/>
    <w:rsid w:val="00E9234E"/>
    <w:rsid w:val="00E92A51"/>
    <w:rsid w:val="00E92BEC"/>
    <w:rsid w:val="00E92E63"/>
    <w:rsid w:val="00E93216"/>
    <w:rsid w:val="00E936A7"/>
    <w:rsid w:val="00E938A3"/>
    <w:rsid w:val="00E93904"/>
    <w:rsid w:val="00E93BBD"/>
    <w:rsid w:val="00E9600F"/>
    <w:rsid w:val="00E9657A"/>
    <w:rsid w:val="00E96882"/>
    <w:rsid w:val="00E968FA"/>
    <w:rsid w:val="00E96994"/>
    <w:rsid w:val="00EA092F"/>
    <w:rsid w:val="00EA0961"/>
    <w:rsid w:val="00EA1531"/>
    <w:rsid w:val="00EA179F"/>
    <w:rsid w:val="00EA1D39"/>
    <w:rsid w:val="00EA34ED"/>
    <w:rsid w:val="00EA3767"/>
    <w:rsid w:val="00EA3776"/>
    <w:rsid w:val="00EA4673"/>
    <w:rsid w:val="00EA51B2"/>
    <w:rsid w:val="00EA530E"/>
    <w:rsid w:val="00EA632B"/>
    <w:rsid w:val="00EA6344"/>
    <w:rsid w:val="00EA6963"/>
    <w:rsid w:val="00EA69E9"/>
    <w:rsid w:val="00EA70A2"/>
    <w:rsid w:val="00EB01B4"/>
    <w:rsid w:val="00EB07DF"/>
    <w:rsid w:val="00EB1437"/>
    <w:rsid w:val="00EB1BCE"/>
    <w:rsid w:val="00EB2C45"/>
    <w:rsid w:val="00EB31BB"/>
    <w:rsid w:val="00EB31DC"/>
    <w:rsid w:val="00EB37D1"/>
    <w:rsid w:val="00EB3CC3"/>
    <w:rsid w:val="00EB3F04"/>
    <w:rsid w:val="00EB466C"/>
    <w:rsid w:val="00EB4FE0"/>
    <w:rsid w:val="00EB57F2"/>
    <w:rsid w:val="00EB6D34"/>
    <w:rsid w:val="00EB7730"/>
    <w:rsid w:val="00EC0963"/>
    <w:rsid w:val="00EC1110"/>
    <w:rsid w:val="00EC1458"/>
    <w:rsid w:val="00EC1D35"/>
    <w:rsid w:val="00EC204E"/>
    <w:rsid w:val="00EC3F73"/>
    <w:rsid w:val="00EC4099"/>
    <w:rsid w:val="00EC43E2"/>
    <w:rsid w:val="00EC47B5"/>
    <w:rsid w:val="00EC5AB7"/>
    <w:rsid w:val="00EC60B1"/>
    <w:rsid w:val="00EC692A"/>
    <w:rsid w:val="00EC7108"/>
    <w:rsid w:val="00EC7229"/>
    <w:rsid w:val="00EC7608"/>
    <w:rsid w:val="00ED0999"/>
    <w:rsid w:val="00ED0A12"/>
    <w:rsid w:val="00ED0EBA"/>
    <w:rsid w:val="00ED17CC"/>
    <w:rsid w:val="00ED26AF"/>
    <w:rsid w:val="00ED26B2"/>
    <w:rsid w:val="00ED26D2"/>
    <w:rsid w:val="00ED4546"/>
    <w:rsid w:val="00ED4697"/>
    <w:rsid w:val="00ED4BAD"/>
    <w:rsid w:val="00ED4E7B"/>
    <w:rsid w:val="00ED5421"/>
    <w:rsid w:val="00ED581D"/>
    <w:rsid w:val="00ED5FFB"/>
    <w:rsid w:val="00ED6135"/>
    <w:rsid w:val="00ED68EB"/>
    <w:rsid w:val="00EE0F7F"/>
    <w:rsid w:val="00EE128E"/>
    <w:rsid w:val="00EE1A1F"/>
    <w:rsid w:val="00EE233F"/>
    <w:rsid w:val="00EE242B"/>
    <w:rsid w:val="00EE284B"/>
    <w:rsid w:val="00EE398C"/>
    <w:rsid w:val="00EE3A0F"/>
    <w:rsid w:val="00EE5030"/>
    <w:rsid w:val="00EE55FF"/>
    <w:rsid w:val="00EE5862"/>
    <w:rsid w:val="00EE589B"/>
    <w:rsid w:val="00EE5ED3"/>
    <w:rsid w:val="00EE752F"/>
    <w:rsid w:val="00EE755F"/>
    <w:rsid w:val="00EF1B2B"/>
    <w:rsid w:val="00EF1F18"/>
    <w:rsid w:val="00EF2DD4"/>
    <w:rsid w:val="00EF2FE5"/>
    <w:rsid w:val="00EF45D8"/>
    <w:rsid w:val="00EF48D9"/>
    <w:rsid w:val="00EF4A7F"/>
    <w:rsid w:val="00EF53E7"/>
    <w:rsid w:val="00EF5987"/>
    <w:rsid w:val="00EF677F"/>
    <w:rsid w:val="00EF68DA"/>
    <w:rsid w:val="00EF7BD3"/>
    <w:rsid w:val="00EF7EB6"/>
    <w:rsid w:val="00F0014A"/>
    <w:rsid w:val="00F00B99"/>
    <w:rsid w:val="00F00C01"/>
    <w:rsid w:val="00F01DC6"/>
    <w:rsid w:val="00F03569"/>
    <w:rsid w:val="00F03937"/>
    <w:rsid w:val="00F03B53"/>
    <w:rsid w:val="00F03EAE"/>
    <w:rsid w:val="00F0490F"/>
    <w:rsid w:val="00F0493F"/>
    <w:rsid w:val="00F05310"/>
    <w:rsid w:val="00F061E7"/>
    <w:rsid w:val="00F07462"/>
    <w:rsid w:val="00F0779A"/>
    <w:rsid w:val="00F10A8F"/>
    <w:rsid w:val="00F11365"/>
    <w:rsid w:val="00F11907"/>
    <w:rsid w:val="00F12043"/>
    <w:rsid w:val="00F12F9B"/>
    <w:rsid w:val="00F13775"/>
    <w:rsid w:val="00F13BAE"/>
    <w:rsid w:val="00F15BC5"/>
    <w:rsid w:val="00F15E06"/>
    <w:rsid w:val="00F16FE0"/>
    <w:rsid w:val="00F21750"/>
    <w:rsid w:val="00F21CE6"/>
    <w:rsid w:val="00F23349"/>
    <w:rsid w:val="00F23B79"/>
    <w:rsid w:val="00F2450A"/>
    <w:rsid w:val="00F24D76"/>
    <w:rsid w:val="00F2628D"/>
    <w:rsid w:val="00F262A1"/>
    <w:rsid w:val="00F27230"/>
    <w:rsid w:val="00F27715"/>
    <w:rsid w:val="00F27776"/>
    <w:rsid w:val="00F27798"/>
    <w:rsid w:val="00F27E80"/>
    <w:rsid w:val="00F30026"/>
    <w:rsid w:val="00F30B75"/>
    <w:rsid w:val="00F30D39"/>
    <w:rsid w:val="00F312DD"/>
    <w:rsid w:val="00F3146C"/>
    <w:rsid w:val="00F31DC3"/>
    <w:rsid w:val="00F32423"/>
    <w:rsid w:val="00F32CEF"/>
    <w:rsid w:val="00F32D91"/>
    <w:rsid w:val="00F340F5"/>
    <w:rsid w:val="00F34592"/>
    <w:rsid w:val="00F34926"/>
    <w:rsid w:val="00F34E30"/>
    <w:rsid w:val="00F363B4"/>
    <w:rsid w:val="00F36D98"/>
    <w:rsid w:val="00F36FE8"/>
    <w:rsid w:val="00F37209"/>
    <w:rsid w:val="00F40463"/>
    <w:rsid w:val="00F430F5"/>
    <w:rsid w:val="00F438C7"/>
    <w:rsid w:val="00F4414F"/>
    <w:rsid w:val="00F44418"/>
    <w:rsid w:val="00F44699"/>
    <w:rsid w:val="00F4470E"/>
    <w:rsid w:val="00F45844"/>
    <w:rsid w:val="00F45D9F"/>
    <w:rsid w:val="00F4601B"/>
    <w:rsid w:val="00F467E1"/>
    <w:rsid w:val="00F46B01"/>
    <w:rsid w:val="00F50826"/>
    <w:rsid w:val="00F50D32"/>
    <w:rsid w:val="00F519EC"/>
    <w:rsid w:val="00F527C7"/>
    <w:rsid w:val="00F53750"/>
    <w:rsid w:val="00F553D2"/>
    <w:rsid w:val="00F55AED"/>
    <w:rsid w:val="00F56A38"/>
    <w:rsid w:val="00F56A8E"/>
    <w:rsid w:val="00F57455"/>
    <w:rsid w:val="00F57AE5"/>
    <w:rsid w:val="00F608C3"/>
    <w:rsid w:val="00F6096D"/>
    <w:rsid w:val="00F613EE"/>
    <w:rsid w:val="00F61475"/>
    <w:rsid w:val="00F6202C"/>
    <w:rsid w:val="00F62629"/>
    <w:rsid w:val="00F627E2"/>
    <w:rsid w:val="00F62897"/>
    <w:rsid w:val="00F6468E"/>
    <w:rsid w:val="00F64BA5"/>
    <w:rsid w:val="00F6552A"/>
    <w:rsid w:val="00F65B4F"/>
    <w:rsid w:val="00F65CBE"/>
    <w:rsid w:val="00F66E28"/>
    <w:rsid w:val="00F677B3"/>
    <w:rsid w:val="00F67A4E"/>
    <w:rsid w:val="00F67DB5"/>
    <w:rsid w:val="00F704CF"/>
    <w:rsid w:val="00F70E37"/>
    <w:rsid w:val="00F719B6"/>
    <w:rsid w:val="00F71E5C"/>
    <w:rsid w:val="00F73683"/>
    <w:rsid w:val="00F736F7"/>
    <w:rsid w:val="00F7470B"/>
    <w:rsid w:val="00F74953"/>
    <w:rsid w:val="00F74ECE"/>
    <w:rsid w:val="00F75B51"/>
    <w:rsid w:val="00F76AE1"/>
    <w:rsid w:val="00F77408"/>
    <w:rsid w:val="00F77830"/>
    <w:rsid w:val="00F77FB0"/>
    <w:rsid w:val="00F8009A"/>
    <w:rsid w:val="00F8012F"/>
    <w:rsid w:val="00F80282"/>
    <w:rsid w:val="00F80785"/>
    <w:rsid w:val="00F80936"/>
    <w:rsid w:val="00F80E15"/>
    <w:rsid w:val="00F81A7B"/>
    <w:rsid w:val="00F81BCF"/>
    <w:rsid w:val="00F828B6"/>
    <w:rsid w:val="00F8376B"/>
    <w:rsid w:val="00F83847"/>
    <w:rsid w:val="00F83CC7"/>
    <w:rsid w:val="00F83D34"/>
    <w:rsid w:val="00F853D8"/>
    <w:rsid w:val="00F8545E"/>
    <w:rsid w:val="00F85911"/>
    <w:rsid w:val="00F86622"/>
    <w:rsid w:val="00F87428"/>
    <w:rsid w:val="00F87A75"/>
    <w:rsid w:val="00F87D43"/>
    <w:rsid w:val="00F90835"/>
    <w:rsid w:val="00F9085D"/>
    <w:rsid w:val="00F9116F"/>
    <w:rsid w:val="00F917A7"/>
    <w:rsid w:val="00F91B80"/>
    <w:rsid w:val="00F92300"/>
    <w:rsid w:val="00F926C0"/>
    <w:rsid w:val="00F92F33"/>
    <w:rsid w:val="00F93891"/>
    <w:rsid w:val="00F940F9"/>
    <w:rsid w:val="00F94272"/>
    <w:rsid w:val="00F950BD"/>
    <w:rsid w:val="00F95170"/>
    <w:rsid w:val="00F95287"/>
    <w:rsid w:val="00F9593C"/>
    <w:rsid w:val="00F966C7"/>
    <w:rsid w:val="00FA0726"/>
    <w:rsid w:val="00FA1146"/>
    <w:rsid w:val="00FA18E2"/>
    <w:rsid w:val="00FA238B"/>
    <w:rsid w:val="00FA3160"/>
    <w:rsid w:val="00FA3747"/>
    <w:rsid w:val="00FA4489"/>
    <w:rsid w:val="00FA4705"/>
    <w:rsid w:val="00FA4B0F"/>
    <w:rsid w:val="00FA4C76"/>
    <w:rsid w:val="00FA4E84"/>
    <w:rsid w:val="00FA4EFB"/>
    <w:rsid w:val="00FA5104"/>
    <w:rsid w:val="00FA5144"/>
    <w:rsid w:val="00FA590E"/>
    <w:rsid w:val="00FA59B9"/>
    <w:rsid w:val="00FA7278"/>
    <w:rsid w:val="00FA76F5"/>
    <w:rsid w:val="00FA7738"/>
    <w:rsid w:val="00FA7FDF"/>
    <w:rsid w:val="00FB1057"/>
    <w:rsid w:val="00FB2788"/>
    <w:rsid w:val="00FB27FF"/>
    <w:rsid w:val="00FB28E8"/>
    <w:rsid w:val="00FB5671"/>
    <w:rsid w:val="00FB575B"/>
    <w:rsid w:val="00FB62E9"/>
    <w:rsid w:val="00FB6B2A"/>
    <w:rsid w:val="00FB77FD"/>
    <w:rsid w:val="00FC0333"/>
    <w:rsid w:val="00FC0CBF"/>
    <w:rsid w:val="00FC1393"/>
    <w:rsid w:val="00FC3779"/>
    <w:rsid w:val="00FC4393"/>
    <w:rsid w:val="00FC4979"/>
    <w:rsid w:val="00FC5473"/>
    <w:rsid w:val="00FC5BF2"/>
    <w:rsid w:val="00FC66B9"/>
    <w:rsid w:val="00FC6719"/>
    <w:rsid w:val="00FC696F"/>
    <w:rsid w:val="00FC6BF5"/>
    <w:rsid w:val="00FC7A21"/>
    <w:rsid w:val="00FD0416"/>
    <w:rsid w:val="00FD0C3A"/>
    <w:rsid w:val="00FD167E"/>
    <w:rsid w:val="00FD194A"/>
    <w:rsid w:val="00FD1D4A"/>
    <w:rsid w:val="00FD22FE"/>
    <w:rsid w:val="00FD23F6"/>
    <w:rsid w:val="00FD2E88"/>
    <w:rsid w:val="00FD454B"/>
    <w:rsid w:val="00FD4647"/>
    <w:rsid w:val="00FD4C0D"/>
    <w:rsid w:val="00FD50DA"/>
    <w:rsid w:val="00FD5463"/>
    <w:rsid w:val="00FD6217"/>
    <w:rsid w:val="00FD6349"/>
    <w:rsid w:val="00FD650D"/>
    <w:rsid w:val="00FD6D21"/>
    <w:rsid w:val="00FD7381"/>
    <w:rsid w:val="00FD7F24"/>
    <w:rsid w:val="00FE0C07"/>
    <w:rsid w:val="00FE0FC4"/>
    <w:rsid w:val="00FE18D4"/>
    <w:rsid w:val="00FE1D27"/>
    <w:rsid w:val="00FE24EA"/>
    <w:rsid w:val="00FE266E"/>
    <w:rsid w:val="00FE3068"/>
    <w:rsid w:val="00FE3BB3"/>
    <w:rsid w:val="00FE427C"/>
    <w:rsid w:val="00FE4F40"/>
    <w:rsid w:val="00FE6409"/>
    <w:rsid w:val="00FE6479"/>
    <w:rsid w:val="00FE6BC0"/>
    <w:rsid w:val="00FE6D18"/>
    <w:rsid w:val="00FE7F9F"/>
    <w:rsid w:val="00FF03BD"/>
    <w:rsid w:val="00FF20C9"/>
    <w:rsid w:val="00FF2495"/>
    <w:rsid w:val="00FF2A5A"/>
    <w:rsid w:val="00FF2CAB"/>
    <w:rsid w:val="00FF30BE"/>
    <w:rsid w:val="00FF3AE8"/>
    <w:rsid w:val="00FF3BC6"/>
    <w:rsid w:val="00FF463A"/>
    <w:rsid w:val="00FF4773"/>
    <w:rsid w:val="00FF7750"/>
    <w:rsid w:val="00FF7CE4"/>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fill="f" fillcolor="white" stroke="f">
      <v:fill color="white" on="f"/>
      <v:stroke on="f"/>
      <o:colormru v:ext="edit" colors="#eaeaea,#f8f8f8"/>
    </o:shapedefaults>
    <o:shapelayout v:ext="edit">
      <o:idmap v:ext="edit" data="1"/>
    </o:shapelayout>
  </w:shapeDefaults>
  <w:decimalSymbol w:val="."/>
  <w:listSeparator w:val=","/>
  <w14:docId w14:val="76EC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caption" w:uiPriority="99"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after="180"/>
    </w:pPr>
    <w:rPr>
      <w:rFonts w:ascii="Garamond" w:hAnsi="Garamond"/>
      <w:sz w:val="22"/>
      <w:szCs w:val="24"/>
      <w:lang w:eastAsia="en-US"/>
    </w:rPr>
  </w:style>
  <w:style w:type="paragraph" w:styleId="Heading1">
    <w:name w:val="heading 1"/>
    <w:basedOn w:val="NumSection"/>
    <w:next w:val="Normal"/>
    <w:link w:val="Heading1Char"/>
    <w:uiPriority w:val="99"/>
    <w:qFormat/>
    <w:rsid w:val="00F6552A"/>
    <w:pPr>
      <w:keepNext/>
      <w:framePr w:w="0" w:wrap="auto" w:vAnchor="margin" w:yAlign="inline"/>
      <w:numPr>
        <w:numId w:val="8"/>
      </w:numPr>
      <w:tabs>
        <w:tab w:val="clear" w:pos="-360"/>
      </w:tabs>
      <w:spacing w:after="400" w:line="260" w:lineRule="atLeast"/>
      <w:ind w:left="0" w:hanging="567"/>
      <w:outlineLvl w:val="0"/>
    </w:pPr>
    <w:rPr>
      <w:rFonts w:cs="Arial"/>
      <w:bCs/>
      <w:kern w:val="32"/>
      <w:szCs w:val="21"/>
    </w:rPr>
  </w:style>
  <w:style w:type="paragraph" w:styleId="Heading2">
    <w:name w:val="heading 2"/>
    <w:basedOn w:val="NormalHeading"/>
    <w:next w:val="Normal"/>
    <w:uiPriority w:val="99"/>
    <w:qFormat/>
    <w:pPr>
      <w:keepNext/>
      <w:numPr>
        <w:ilvl w:val="1"/>
        <w:numId w:val="8"/>
      </w:numPr>
      <w:tabs>
        <w:tab w:val="clear" w:pos="-288"/>
      </w:tabs>
      <w:spacing w:before="260" w:line="260" w:lineRule="atLeast"/>
      <w:ind w:left="0" w:hanging="567"/>
      <w:outlineLvl w:val="1"/>
    </w:pPr>
    <w:rPr>
      <w:b/>
      <w:bCs/>
      <w:iCs/>
      <w:color w:val="4F2D7F"/>
      <w:sz w:val="26"/>
      <w:szCs w:val="19"/>
    </w:rPr>
  </w:style>
  <w:style w:type="paragraph" w:styleId="Heading3">
    <w:name w:val="heading 3"/>
    <w:basedOn w:val="Heading2"/>
    <w:next w:val="Normal"/>
    <w:uiPriority w:val="99"/>
    <w:qFormat/>
    <w:pPr>
      <w:numPr>
        <w:ilvl w:val="2"/>
      </w:numPr>
      <w:tabs>
        <w:tab w:val="clear" w:pos="720"/>
      </w:tabs>
      <w:ind w:left="357" w:hanging="357"/>
      <w:outlineLvl w:val="2"/>
    </w:pPr>
    <w:rPr>
      <w:bCs w:val="0"/>
      <w:color w:val="auto"/>
      <w:sz w:val="22"/>
    </w:rPr>
  </w:style>
  <w:style w:type="paragraph" w:styleId="Heading4">
    <w:name w:val="heading 4"/>
    <w:basedOn w:val="Heading3"/>
    <w:next w:val="Normal"/>
    <w:qFormat/>
    <w:pPr>
      <w:outlineLvl w:val="3"/>
    </w:pPr>
    <w:rPr>
      <w:b w:val="0"/>
      <w:bCs/>
    </w:rPr>
  </w:style>
  <w:style w:type="paragraph" w:styleId="Heading5">
    <w:name w:val="heading 5"/>
    <w:basedOn w:val="Normal"/>
    <w:next w:val="Normal"/>
    <w:uiPriority w:val="99"/>
    <w:qFormat/>
    <w:pPr>
      <w:numPr>
        <w:ilvl w:val="4"/>
        <w:numId w:val="7"/>
      </w:numPr>
      <w:spacing w:before="240"/>
      <w:outlineLvl w:val="4"/>
    </w:pPr>
    <w:rPr>
      <w:b/>
      <w:bCs/>
      <w:i/>
      <w:iCs/>
      <w:sz w:val="26"/>
      <w:szCs w:val="26"/>
    </w:rPr>
  </w:style>
  <w:style w:type="paragraph" w:styleId="Heading6">
    <w:name w:val="heading 6"/>
    <w:basedOn w:val="Normal"/>
    <w:next w:val="Normal"/>
    <w:uiPriority w:val="99"/>
    <w:qFormat/>
    <w:pPr>
      <w:numPr>
        <w:ilvl w:val="5"/>
        <w:numId w:val="7"/>
      </w:numPr>
      <w:spacing w:before="240"/>
      <w:outlineLvl w:val="5"/>
    </w:pPr>
    <w:rPr>
      <w:rFonts w:ascii="Times New Roman" w:hAnsi="Times New Roman"/>
      <w:b/>
      <w:bCs/>
      <w:szCs w:val="22"/>
    </w:rPr>
  </w:style>
  <w:style w:type="paragraph" w:styleId="Heading7">
    <w:name w:val="heading 7"/>
    <w:basedOn w:val="Normal"/>
    <w:next w:val="Normal"/>
    <w:uiPriority w:val="99"/>
    <w:qFormat/>
    <w:pPr>
      <w:numPr>
        <w:ilvl w:val="6"/>
        <w:numId w:val="7"/>
      </w:numPr>
      <w:spacing w:before="240"/>
      <w:outlineLvl w:val="6"/>
    </w:pPr>
    <w:rPr>
      <w:rFonts w:ascii="Times New Roman" w:hAnsi="Times New Roman"/>
      <w:sz w:val="24"/>
    </w:rPr>
  </w:style>
  <w:style w:type="paragraph" w:styleId="Heading8">
    <w:name w:val="heading 8"/>
    <w:basedOn w:val="Normal"/>
    <w:next w:val="Normal"/>
    <w:uiPriority w:val="99"/>
    <w:qFormat/>
    <w:pPr>
      <w:numPr>
        <w:ilvl w:val="7"/>
        <w:numId w:val="7"/>
      </w:numPr>
      <w:spacing w:before="240"/>
      <w:outlineLvl w:val="7"/>
    </w:pPr>
    <w:rPr>
      <w:rFonts w:ascii="Times New Roman" w:hAnsi="Times New Roman"/>
      <w:i/>
      <w:iCs/>
      <w:sz w:val="24"/>
    </w:rPr>
  </w:style>
  <w:style w:type="paragraph" w:styleId="Heading9">
    <w:name w:val="heading 9"/>
    <w:basedOn w:val="Normal"/>
    <w:next w:val="Normal"/>
    <w:uiPriority w:val="99"/>
    <w:qFormat/>
    <w:pPr>
      <w:numPr>
        <w:ilvl w:val="8"/>
        <w:numId w:val="7"/>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99"/>
    <w:pPr>
      <w:numPr>
        <w:numId w:val="1"/>
      </w:numPr>
      <w:spacing w:after="0"/>
      <w:jc w:val="right"/>
    </w:pPr>
    <w:rPr>
      <w:rFonts w:ascii="Arial" w:hAnsi="Arial"/>
      <w:b/>
      <w:color w:val="808080"/>
      <w:sz w:val="16"/>
    </w:rPr>
  </w:style>
  <w:style w:type="paragraph" w:styleId="Subtitle">
    <w:name w:val="Subtitle"/>
    <w:qFormat/>
    <w:pPr>
      <w:spacing w:line="280" w:lineRule="atLeast"/>
      <w:outlineLvl w:val="1"/>
    </w:pPr>
    <w:rPr>
      <w:rFonts w:ascii="Arial" w:hAnsi="Arial" w:cs="Arial"/>
      <w:bCs/>
      <w:kern w:val="28"/>
      <w:sz w:val="24"/>
      <w:szCs w:val="24"/>
      <w:lang w:val="en-US" w:eastAsia="en-US"/>
    </w:rPr>
  </w:style>
  <w:style w:type="paragraph" w:styleId="Footer">
    <w:name w:val="footer"/>
    <w:basedOn w:val="Normal"/>
    <w:pPr>
      <w:tabs>
        <w:tab w:val="center" w:pos="4153"/>
        <w:tab w:val="right" w:pos="8306"/>
      </w:tabs>
      <w:spacing w:after="0"/>
    </w:pPr>
    <w:rPr>
      <w:rFonts w:ascii="Arial" w:hAnsi="Arial"/>
      <w:b/>
      <w:color w:val="808080"/>
      <w:sz w:val="16"/>
    </w:rPr>
  </w:style>
  <w:style w:type="paragraph" w:styleId="Header">
    <w:name w:val="header"/>
    <w:basedOn w:val="Normal"/>
    <w:pPr>
      <w:tabs>
        <w:tab w:val="center" w:pos="4150"/>
        <w:tab w:val="right" w:pos="8307"/>
      </w:tabs>
      <w:spacing w:after="0"/>
    </w:pPr>
    <w:rPr>
      <w:rFonts w:ascii="Arial" w:hAnsi="Arial"/>
      <w:b/>
      <w:color w:val="808080"/>
      <w:sz w:val="16"/>
    </w:rPr>
  </w:style>
  <w:style w:type="paragraph" w:customStyle="1" w:styleId="TableHeading">
    <w:name w:val="Table Heading"/>
    <w:basedOn w:val="TableText"/>
    <w:rPr>
      <w:b/>
      <w:bCs/>
      <w:kern w:val="28"/>
      <w:szCs w:val="24"/>
    </w:rPr>
  </w:style>
  <w:style w:type="paragraph" w:customStyle="1" w:styleId="TableText">
    <w:name w:val="Table Text"/>
    <w:basedOn w:val="Normal"/>
    <w:uiPriority w:val="99"/>
    <w:pPr>
      <w:spacing w:after="0"/>
      <w:ind w:right="142"/>
    </w:pPr>
    <w:rPr>
      <w:szCs w:val="22"/>
    </w:rPr>
  </w:style>
  <w:style w:type="paragraph" w:customStyle="1" w:styleId="TableSubTot">
    <w:name w:val="Table SubTot"/>
    <w:basedOn w:val="TableFigures"/>
    <w:pPr>
      <w:pBdr>
        <w:top w:val="single" w:sz="6" w:space="1" w:color="auto"/>
      </w:pBdr>
    </w:pPr>
    <w:rPr>
      <w:szCs w:val="24"/>
    </w:rPr>
  </w:style>
  <w:style w:type="paragraph" w:customStyle="1" w:styleId="TableFigures">
    <w:name w:val="Table Figures"/>
    <w:basedOn w:val="TableText"/>
    <w:pPr>
      <w:spacing w:before="25"/>
    </w:pPr>
    <w:rPr>
      <w:rFonts w:ascii="Arial" w:hAnsi="Arial"/>
      <w:sz w:val="18"/>
    </w:rPr>
  </w:style>
  <w:style w:type="paragraph" w:customStyle="1" w:styleId="TableTotal">
    <w:name w:val="Table Total"/>
    <w:basedOn w:val="TableFigures"/>
    <w:pPr>
      <w:pBdr>
        <w:top w:val="single" w:sz="6" w:space="1" w:color="auto"/>
        <w:bottom w:val="double" w:sz="6" w:space="1" w:color="auto"/>
      </w:pBdr>
    </w:pPr>
  </w:style>
  <w:style w:type="paragraph" w:styleId="Title">
    <w:name w:val="Title"/>
    <w:basedOn w:val="Normal"/>
    <w:next w:val="Subtitle"/>
    <w:qFormat/>
    <w:pPr>
      <w:spacing w:before="400" w:after="400" w:line="580" w:lineRule="atLeast"/>
    </w:pPr>
    <w:rPr>
      <w:rFonts w:cs="Arial"/>
      <w:bCs/>
      <w:color w:val="4F2D7F"/>
      <w:kern w:val="28"/>
      <w:sz w:val="40"/>
      <w:szCs w:val="32"/>
    </w:rPr>
  </w:style>
  <w:style w:type="paragraph" w:customStyle="1" w:styleId="TableDouble">
    <w:name w:val="Table Double"/>
    <w:basedOn w:val="TableFigures"/>
    <w:pPr>
      <w:pBdr>
        <w:bottom w:val="double" w:sz="6" w:space="1" w:color="auto"/>
      </w:pBdr>
    </w:pPr>
    <w:rPr>
      <w:sz w:val="16"/>
      <w:szCs w:val="24"/>
    </w:rPr>
  </w:style>
  <w:style w:type="paragraph" w:customStyle="1" w:styleId="TableSingle">
    <w:name w:val="Table Single"/>
    <w:basedOn w:val="TableFigures"/>
    <w:pPr>
      <w:pBdr>
        <w:bottom w:val="single" w:sz="6" w:space="1" w:color="auto"/>
      </w:pBdr>
    </w:pPr>
    <w:rPr>
      <w:szCs w:val="24"/>
    </w:rPr>
  </w:style>
  <w:style w:type="paragraph" w:customStyle="1" w:styleId="TableBullet">
    <w:name w:val="Table Bullet"/>
    <w:basedOn w:val="TableText"/>
    <w:uiPriority w:val="99"/>
    <w:pPr>
      <w:numPr>
        <w:numId w:val="3"/>
      </w:numPr>
    </w:pPr>
    <w:rPr>
      <w:szCs w:val="20"/>
    </w:rPr>
  </w:style>
  <w:style w:type="paragraph" w:customStyle="1" w:styleId="TableNumberBullet">
    <w:name w:val="Table Number Bullet"/>
    <w:basedOn w:val="TableText"/>
    <w:pPr>
      <w:numPr>
        <w:numId w:val="4"/>
      </w:numPr>
    </w:pPr>
    <w:rPr>
      <w:szCs w:val="24"/>
    </w:rPr>
  </w:style>
  <w:style w:type="paragraph" w:styleId="TOC1">
    <w:name w:val="toc 1"/>
    <w:basedOn w:val="Normal"/>
    <w:next w:val="Normal"/>
    <w:uiPriority w:val="39"/>
    <w:pPr>
      <w:tabs>
        <w:tab w:val="right" w:pos="8108"/>
      </w:tabs>
      <w:spacing w:before="120" w:after="0"/>
      <w:ind w:left="567" w:hanging="567"/>
    </w:pPr>
    <w:rPr>
      <w:b/>
      <w:bCs/>
    </w:rPr>
  </w:style>
  <w:style w:type="paragraph" w:customStyle="1" w:styleId="AppendixTitle">
    <w:name w:val="Appendix Title"/>
    <w:basedOn w:val="Title"/>
    <w:next w:val="Normal"/>
    <w:pPr>
      <w:pageBreakBefore/>
      <w:numPr>
        <w:numId w:val="2"/>
      </w:numPr>
      <w:tabs>
        <w:tab w:val="clear" w:pos="454"/>
      </w:tabs>
      <w:spacing w:before="0" w:after="1400" w:line="240" w:lineRule="auto"/>
      <w:ind w:left="567" w:hanging="567"/>
    </w:pPr>
  </w:style>
  <w:style w:type="character" w:styleId="PageNumber">
    <w:name w:val="page number"/>
    <w:basedOn w:val="DefaultParagraphFont"/>
  </w:style>
  <w:style w:type="paragraph" w:customStyle="1" w:styleId="BulletOne">
    <w:name w:val="BulletOne"/>
    <w:basedOn w:val="Normal"/>
    <w:next w:val="Normal"/>
    <w:link w:val="BulletOneChar1"/>
    <w:uiPriority w:val="99"/>
    <w:rsid w:val="000879BC"/>
    <w:pPr>
      <w:numPr>
        <w:ilvl w:val="1"/>
        <w:numId w:val="11"/>
      </w:numPr>
      <w:tabs>
        <w:tab w:val="clear" w:pos="1420"/>
      </w:tabs>
      <w:spacing w:before="0" w:after="120"/>
      <w:ind w:left="340"/>
    </w:pPr>
  </w:style>
  <w:style w:type="paragraph" w:customStyle="1" w:styleId="BulletThree">
    <w:name w:val="BulletThree"/>
    <w:basedOn w:val="Normal"/>
    <w:uiPriority w:val="99"/>
    <w:pPr>
      <w:numPr>
        <w:numId w:val="5"/>
      </w:numPr>
      <w:spacing w:after="0"/>
    </w:pPr>
  </w:style>
  <w:style w:type="paragraph" w:customStyle="1" w:styleId="BulletTwo">
    <w:name w:val="BulletTwo"/>
    <w:basedOn w:val="Normal"/>
    <w:pPr>
      <w:numPr>
        <w:numId w:val="6"/>
      </w:numPr>
      <w:spacing w:after="0"/>
    </w:pPr>
  </w:style>
  <w:style w:type="paragraph" w:customStyle="1" w:styleId="Indent1">
    <w:name w:val="Indent1"/>
    <w:basedOn w:val="Normal"/>
    <w:pPr>
      <w:tabs>
        <w:tab w:val="left" w:pos="567"/>
      </w:tabs>
      <w:ind w:left="567" w:hanging="567"/>
    </w:pPr>
  </w:style>
  <w:style w:type="paragraph" w:customStyle="1" w:styleId="Indent2">
    <w:name w:val="Indent2"/>
    <w:basedOn w:val="Normal"/>
    <w:pPr>
      <w:tabs>
        <w:tab w:val="left" w:pos="1134"/>
      </w:tabs>
      <w:ind w:left="1134" w:hanging="567"/>
    </w:pPr>
  </w:style>
  <w:style w:type="paragraph" w:customStyle="1" w:styleId="NumBulletOne">
    <w:name w:val="NumBulletOne"/>
    <w:basedOn w:val="Normal"/>
    <w:uiPriority w:val="99"/>
    <w:pPr>
      <w:numPr>
        <w:numId w:val="7"/>
      </w:numPr>
      <w:spacing w:after="0"/>
    </w:pPr>
  </w:style>
  <w:style w:type="paragraph" w:customStyle="1" w:styleId="NumBulletThree">
    <w:name w:val="NumBulletThree"/>
    <w:basedOn w:val="Normal"/>
    <w:uiPriority w:val="99"/>
    <w:pPr>
      <w:numPr>
        <w:ilvl w:val="2"/>
        <w:numId w:val="7"/>
      </w:numPr>
      <w:spacing w:after="0"/>
    </w:pPr>
  </w:style>
  <w:style w:type="paragraph" w:customStyle="1" w:styleId="NumBulletTwo">
    <w:name w:val="NumBulletTwo"/>
    <w:basedOn w:val="Normal"/>
    <w:uiPriority w:val="99"/>
    <w:pPr>
      <w:numPr>
        <w:ilvl w:val="1"/>
        <w:numId w:val="7"/>
      </w:numPr>
      <w:spacing w:after="0"/>
    </w:pPr>
  </w:style>
  <w:style w:type="paragraph" w:styleId="TOC2">
    <w:name w:val="toc 2"/>
    <w:basedOn w:val="Normal"/>
    <w:next w:val="Normal"/>
    <w:uiPriority w:val="39"/>
    <w:pPr>
      <w:tabs>
        <w:tab w:val="left" w:pos="1134"/>
        <w:tab w:val="right" w:pos="8108"/>
      </w:tabs>
      <w:spacing w:before="120" w:after="0"/>
      <w:ind w:left="1134" w:hanging="567"/>
      <w:contextualSpacing/>
    </w:pPr>
  </w:style>
  <w:style w:type="character" w:styleId="Hyperlink">
    <w:name w:val="Hyperlink"/>
    <w:uiPriority w:val="99"/>
    <w:rPr>
      <w:color w:val="0000FF"/>
      <w:u w:val="single"/>
    </w:rPr>
  </w:style>
  <w:style w:type="paragraph" w:styleId="TOC3">
    <w:name w:val="toc 3"/>
    <w:basedOn w:val="Normal"/>
    <w:next w:val="Normal"/>
    <w:semiHidden/>
    <w:pPr>
      <w:tabs>
        <w:tab w:val="right" w:pos="8108"/>
      </w:tabs>
      <w:spacing w:before="120" w:after="0"/>
      <w:ind w:left="567" w:hanging="567"/>
    </w:pPr>
    <w:rPr>
      <w:b/>
    </w:rPr>
  </w:style>
  <w:style w:type="paragraph" w:customStyle="1" w:styleId="NormalHeading">
    <w:name w:val="Normal Heading"/>
    <w:basedOn w:val="Normal"/>
    <w:pPr>
      <w:spacing w:before="0" w:after="0"/>
    </w:pPr>
  </w:style>
  <w:style w:type="paragraph" w:customStyle="1" w:styleId="Contents">
    <w:name w:val="Contents"/>
    <w:basedOn w:val="Normal"/>
    <w:next w:val="Normal"/>
    <w:pPr>
      <w:framePr w:w="8108" w:wrap="around" w:vAnchor="text" w:hAnchor="text" w:y="1"/>
      <w:spacing w:after="1400"/>
    </w:pPr>
    <w:rPr>
      <w:sz w:val="40"/>
    </w:rPr>
  </w:style>
  <w:style w:type="paragraph" w:customStyle="1" w:styleId="NumSection">
    <w:name w:val="NumSection"/>
    <w:basedOn w:val="Normal"/>
    <w:next w:val="NumHead"/>
    <w:pPr>
      <w:pageBreakBefore/>
      <w:framePr w:w="8222" w:wrap="around" w:vAnchor="text" w:hAnchor="text" w:y="1"/>
      <w:numPr>
        <w:numId w:val="9"/>
      </w:numPr>
      <w:spacing w:after="1400"/>
    </w:pPr>
    <w:rPr>
      <w:color w:val="4F2D7F"/>
      <w:sz w:val="40"/>
    </w:rPr>
  </w:style>
  <w:style w:type="paragraph" w:customStyle="1" w:styleId="NumHead">
    <w:name w:val="NumHead"/>
    <w:basedOn w:val="NormalHeading"/>
    <w:next w:val="Normal"/>
    <w:pPr>
      <w:keepNext/>
      <w:spacing w:line="220" w:lineRule="exact"/>
      <w:outlineLvl w:val="1"/>
    </w:pPr>
    <w:rPr>
      <w:b/>
      <w:color w:val="4F2D7F"/>
      <w:sz w:val="26"/>
      <w:szCs w:val="19"/>
    </w:rPr>
  </w:style>
  <w:style w:type="paragraph" w:styleId="Caption">
    <w:name w:val="caption"/>
    <w:basedOn w:val="Normal"/>
    <w:next w:val="Normal"/>
    <w:uiPriority w:val="99"/>
    <w:qFormat/>
    <w:pPr>
      <w:keepNext/>
    </w:pPr>
    <w:rPr>
      <w:b/>
      <w:bCs/>
      <w:szCs w:val="20"/>
    </w:rPr>
  </w:style>
  <w:style w:type="paragraph" w:styleId="Index1">
    <w:name w:val="index 1"/>
    <w:basedOn w:val="Normal"/>
    <w:next w:val="Normal"/>
    <w:autoRedefine/>
    <w:semiHidden/>
    <w:pPr>
      <w:ind w:left="220" w:hanging="2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uiPriority w:val="99"/>
    <w:pPr>
      <w:spacing w:after="284"/>
    </w:pPr>
    <w:rPr>
      <w:sz w:val="20"/>
      <w:szCs w:val="20"/>
    </w:rPr>
  </w:style>
  <w:style w:type="character" w:styleId="FootnoteReference">
    <w:name w:val="footnote reference"/>
    <w:aliases w:val="Footnote symbol"/>
    <w:uiPriority w:val="99"/>
    <w:rPr>
      <w:vertAlign w:val="superscript"/>
    </w:rPr>
  </w:style>
  <w:style w:type="character" w:customStyle="1" w:styleId="BulletOneChar">
    <w:name w:val="BulletOne Char"/>
    <w:rPr>
      <w:rFonts w:ascii="Garamond" w:hAnsi="Garamond"/>
      <w:sz w:val="22"/>
      <w:szCs w:val="24"/>
      <w:lang w:val="en-GB" w:eastAsia="en-US" w:bidi="ar-SA"/>
    </w:rPr>
  </w:style>
  <w:style w:type="paragraph" w:styleId="NoSpacing">
    <w:name w:val="No Spacing"/>
    <w:qFormat/>
    <w:rPr>
      <w:rFonts w:ascii="Calibri" w:eastAsia="Calibri" w:hAnsi="Calibri"/>
      <w:sz w:val="22"/>
      <w:szCs w:val="22"/>
      <w:lang w:eastAsia="en-US"/>
    </w:rPr>
  </w:style>
  <w:style w:type="character" w:customStyle="1" w:styleId="BulletTwoChar">
    <w:name w:val="BulletTwo Char"/>
    <w:rPr>
      <w:rFonts w:ascii="Garamond" w:hAnsi="Garamond"/>
      <w:sz w:val="22"/>
      <w:szCs w:val="24"/>
      <w:lang w:val="en-GB" w:eastAsia="en-US" w:bidi="ar-SA"/>
    </w:rPr>
  </w:style>
  <w:style w:type="paragraph" w:customStyle="1" w:styleId="CM30">
    <w:name w:val="CM30"/>
    <w:basedOn w:val="Default"/>
    <w:next w:val="Default"/>
    <w:rPr>
      <w:rFonts w:ascii="Bliss" w:hAnsi="Bliss" w:cs="Times New Roman"/>
      <w:color w:val="auto"/>
    </w:rPr>
  </w:style>
  <w:style w:type="paragraph" w:customStyle="1" w:styleId="CM32">
    <w:name w:val="CM32"/>
    <w:basedOn w:val="Default"/>
    <w:next w:val="Default"/>
    <w:rPr>
      <w:rFonts w:ascii="Bliss" w:hAnsi="Bliss" w:cs="Times New Roman"/>
      <w:color w:val="auto"/>
    </w:rPr>
  </w:style>
  <w:style w:type="paragraph" w:styleId="ListParagraph">
    <w:name w:val="List Paragraph"/>
    <w:basedOn w:val="Normal"/>
    <w:qFormat/>
    <w:pPr>
      <w:spacing w:after="0"/>
      <w:ind w:left="720"/>
      <w:contextualSpacing/>
    </w:pPr>
    <w:rPr>
      <w:rFonts w:ascii="Calibri" w:eastAsia="Calibri" w:hAnsi="Calibri"/>
      <w:szCs w:val="22"/>
    </w:rPr>
  </w:style>
  <w:style w:type="paragraph" w:styleId="NormalWeb">
    <w:name w:val="Normal (Web)"/>
    <w:basedOn w:val="Normal"/>
    <w:pPr>
      <w:spacing w:after="360"/>
    </w:pPr>
    <w:rPr>
      <w:rFonts w:ascii="Times New Roman" w:hAnsi="Times New Roman"/>
      <w:sz w:val="24"/>
      <w:lang w:val="en-US"/>
    </w:rPr>
  </w:style>
  <w:style w:type="paragraph" w:customStyle="1" w:styleId="last">
    <w:name w:val="last"/>
    <w:basedOn w:val="Normal"/>
    <w:pPr>
      <w:spacing w:after="0"/>
    </w:pPr>
    <w:rPr>
      <w:rFonts w:ascii="Times New Roman" w:hAnsi="Times New Roman"/>
      <w:sz w:val="24"/>
      <w:lang w:val="en-US"/>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1, Char Char, Char"/>
    <w:basedOn w:val="Normal"/>
    <w:pPr>
      <w:numPr>
        <w:numId w:val="10"/>
      </w:numPr>
      <w:spacing w:after="0" w:line="270" w:lineRule="exact"/>
      <w:outlineLvl w:val="0"/>
    </w:pPr>
    <w:rPr>
      <w:rFonts w:ascii="Verdana" w:hAnsi="Verdana"/>
      <w:sz w:val="20"/>
      <w:szCs w:val="20"/>
    </w:rPr>
  </w:style>
  <w:style w:type="paragraph" w:customStyle="1" w:styleId="Tabletext0">
    <w:name w:val="Table text"/>
    <w:basedOn w:val="BodyText"/>
    <w:pPr>
      <w:spacing w:after="240"/>
    </w:pPr>
    <w:rPr>
      <w:rFonts w:ascii="Arial" w:hAnsi="Arial"/>
      <w:sz w:val="20"/>
      <w:szCs w:val="20"/>
    </w:rPr>
  </w:style>
  <w:style w:type="character" w:customStyle="1" w:styleId="TabletextChar">
    <w:name w:val="Table text Char"/>
    <w:rPr>
      <w:rFonts w:ascii="Arial" w:hAnsi="Arial"/>
      <w:lang w:val="en-GB" w:eastAsia="en-US" w:bidi="ar-SA"/>
    </w:rPr>
  </w:style>
  <w:style w:type="paragraph" w:styleId="BodyText">
    <w:name w:val="Body Text"/>
    <w:basedOn w:val="Normal"/>
    <w:pPr>
      <w:spacing w:after="120"/>
    </w:pPr>
  </w:style>
  <w:style w:type="character" w:styleId="Strong">
    <w:name w:val="Strong"/>
    <w:uiPriority w:val="22"/>
    <w:qFormat/>
    <w:rPr>
      <w:b/>
      <w:bCs/>
    </w:rPr>
  </w:style>
  <w:style w:type="character" w:styleId="CommentReference">
    <w:name w:val="annotation reference"/>
    <w:uiPriority w:val="99"/>
    <w:semiHidden/>
    <w:rPr>
      <w:sz w:val="16"/>
      <w:szCs w:val="16"/>
    </w:rPr>
  </w:style>
  <w:style w:type="paragraph" w:customStyle="1" w:styleId="Style1">
    <w:name w:val="Style1"/>
    <w:basedOn w:val="BulletTwo"/>
    <w:pPr>
      <w:numPr>
        <w:numId w:val="0"/>
      </w:numPr>
      <w:ind w:left="680" w:hanging="340"/>
    </w:pPr>
    <w:rPr>
      <w:rFonts w:cs="Dax-Bold"/>
      <w:b/>
      <w:bCs/>
      <w:lang w:val="en-US"/>
    </w:rPr>
  </w:style>
  <w:style w:type="paragraph" w:customStyle="1" w:styleId="Style2">
    <w:name w:val="Style2"/>
    <w:basedOn w:val="Normal"/>
    <w:pPr>
      <w:autoSpaceDE w:val="0"/>
      <w:autoSpaceDN w:val="0"/>
      <w:adjustRightInd w:val="0"/>
      <w:spacing w:after="0"/>
    </w:pPr>
    <w:rPr>
      <w:b/>
      <w:lang w:val="en"/>
    </w:rPr>
  </w:style>
  <w:style w:type="paragraph" w:customStyle="1" w:styleId="Style3">
    <w:name w:val="Style3"/>
    <w:basedOn w:val="Normal"/>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CharChar1">
    <w:name w:val="Char Char1"/>
    <w:rPr>
      <w:rFonts w:ascii="Garamond" w:hAnsi="Garamond"/>
      <w:lang w:val="en-GB" w:eastAsia="en-US" w:bidi="ar-SA"/>
    </w:rPr>
  </w:style>
  <w:style w:type="paragraph" w:styleId="BodyTextIndent">
    <w:name w:val="Body Text Indent"/>
    <w:basedOn w:val="Normal"/>
    <w:pPr>
      <w:ind w:left="567"/>
    </w:pPr>
    <w:rPr>
      <w:i/>
      <w:iCs/>
    </w:rPr>
  </w:style>
  <w:style w:type="paragraph" w:customStyle="1" w:styleId="Tableheader">
    <w:name w:val="Table header"/>
    <w:basedOn w:val="BodyText"/>
    <w:pPr>
      <w:spacing w:after="240"/>
    </w:pPr>
    <w:rPr>
      <w:rFonts w:ascii="Arial" w:hAnsi="Arial"/>
      <w:b/>
      <w:color w:val="FFFFFF"/>
      <w:sz w:val="20"/>
      <w:szCs w:val="20"/>
    </w:rPr>
  </w:style>
  <w:style w:type="character" w:customStyle="1" w:styleId="NormalHeadingChar">
    <w:name w:val="Normal Heading Char"/>
    <w:rPr>
      <w:rFonts w:ascii="Garamond" w:hAnsi="Garamond"/>
      <w:sz w:val="22"/>
      <w:szCs w:val="24"/>
      <w:lang w:val="en-GB" w:eastAsia="en-US" w:bidi="ar-SA"/>
    </w:rPr>
  </w:style>
  <w:style w:type="character" w:customStyle="1" w:styleId="Heading2Char">
    <w:name w:val="Heading 2 Char"/>
    <w:uiPriority w:val="99"/>
    <w:rPr>
      <w:rFonts w:ascii="Garamond" w:hAnsi="Garamond"/>
      <w:b/>
      <w:bCs/>
      <w:iCs/>
      <w:color w:val="4F2D7F"/>
      <w:sz w:val="26"/>
      <w:szCs w:val="19"/>
      <w:lang w:val="en-GB" w:eastAsia="en-US" w:bidi="ar-SA"/>
    </w:rPr>
  </w:style>
  <w:style w:type="character" w:customStyle="1" w:styleId="Heading3CharChar">
    <w:name w:val="Heading 3 Char Char"/>
    <w:rPr>
      <w:rFonts w:ascii="Garamond" w:hAnsi="Garamond"/>
      <w:b/>
      <w:bCs/>
      <w:iCs/>
      <w:color w:val="4F2D7F"/>
      <w:sz w:val="22"/>
      <w:szCs w:val="19"/>
      <w:lang w:val="en-GB" w:eastAsia="en-US" w:bidi="ar-SA"/>
    </w:rPr>
  </w:style>
  <w:style w:type="paragraph" w:customStyle="1" w:styleId="NumText">
    <w:name w:val="NumText"/>
    <w:basedOn w:val="Normal"/>
    <w:pPr>
      <w:tabs>
        <w:tab w:val="num" w:pos="0"/>
      </w:tabs>
      <w:spacing w:line="280" w:lineRule="exact"/>
      <w:ind w:hanging="567"/>
    </w:pPr>
  </w:style>
  <w:style w:type="character" w:customStyle="1" w:styleId="project">
    <w:name w:val="project"/>
    <w:basedOn w:val="DefaultParagraphFont"/>
  </w:style>
  <w:style w:type="character" w:customStyle="1" w:styleId="CharCharCharCharCharCharCharCharCharCharCharCharCharCharCharCharCharCharCharCharCharCharChar">
    <w:name w:val="Char Char Char Char Char Char Char Char Char Char Char Char Char Char Char Char Char Char Char Char Char Char Char"/>
    <w:aliases w:val=" Char Char Char Char Char Char Char Char Char Char Char Char Char Char Char Char Char Char Char Char Char Char1, Char1 Char"/>
    <w:rPr>
      <w:rFonts w:ascii="Verdana" w:hAnsi="Verdana"/>
      <w:lang w:val="en-GB" w:eastAsia="en-US" w:bidi="ar-SA"/>
    </w:rPr>
  </w:style>
  <w:style w:type="character" w:customStyle="1" w:styleId="CharChar3">
    <w:name w:val="Char Char3"/>
    <w:semiHidden/>
    <w:rPr>
      <w:rFonts w:ascii="Garamond" w:hAnsi="Garamond"/>
      <w:lang w:val="en-GB" w:eastAsia="en-US" w:bidi="ar-SA"/>
    </w:rPr>
  </w:style>
  <w:style w:type="character" w:customStyle="1" w:styleId="TableTextChar0">
    <w:name w:val="Table Text Char"/>
    <w:rPr>
      <w:rFonts w:ascii="Garamond" w:hAnsi="Garamond"/>
      <w:sz w:val="22"/>
      <w:szCs w:val="22"/>
      <w:lang w:val="en-GB" w:eastAsia="en-US" w:bidi="ar-SA"/>
    </w:rPr>
  </w:style>
  <w:style w:type="character" w:customStyle="1" w:styleId="TitleChar">
    <w:name w:val="Title Char"/>
    <w:rPr>
      <w:rFonts w:ascii="Garamond" w:hAnsi="Garamond" w:cs="Arial"/>
      <w:bCs/>
      <w:color w:val="4F2D7F"/>
      <w:kern w:val="28"/>
      <w:sz w:val="40"/>
      <w:szCs w:val="32"/>
      <w:lang w:val="en-GB" w:eastAsia="en-US" w:bidi="ar-SA"/>
    </w:rPr>
  </w:style>
  <w:style w:type="paragraph" w:customStyle="1" w:styleId="MarginBulletWhite">
    <w:name w:val="Margin Bullet White"/>
    <w:basedOn w:val="Normal"/>
    <w:pPr>
      <w:numPr>
        <w:numId w:val="12"/>
      </w:numPr>
      <w:spacing w:before="0" w:after="0" w:line="220" w:lineRule="exact"/>
    </w:pPr>
    <w:rPr>
      <w:rFonts w:ascii="Arial" w:hAnsi="Arial" w:cs="Garamond"/>
      <w:color w:val="FFFFFF"/>
      <w:sz w:val="16"/>
      <w:szCs w:val="16"/>
    </w:rPr>
  </w:style>
  <w:style w:type="paragraph" w:customStyle="1" w:styleId="SectionTitle">
    <w:name w:val="Section Title"/>
    <w:basedOn w:val="Normal"/>
    <w:next w:val="Normal"/>
    <w:pPr>
      <w:pageBreakBefore/>
      <w:spacing w:before="0" w:after="1400"/>
    </w:pPr>
    <w:rPr>
      <w:sz w:val="40"/>
    </w:rPr>
  </w:style>
  <w:style w:type="paragraph" w:customStyle="1" w:styleId="MarginNotesBlack">
    <w:name w:val="Margin Notes Black"/>
    <w:basedOn w:val="Normal"/>
    <w:pPr>
      <w:spacing w:before="0" w:after="0" w:line="220" w:lineRule="exact"/>
    </w:pPr>
    <w:rPr>
      <w:rFonts w:ascii="Arial" w:hAnsi="Arial" w:cs="Garamond"/>
      <w:sz w:val="16"/>
    </w:rPr>
  </w:style>
  <w:style w:type="paragraph" w:customStyle="1" w:styleId="Backpage">
    <w:name w:val="Back page"/>
    <w:rPr>
      <w:rFonts w:ascii="Arial Black" w:hAnsi="Arial Black" w:cs="Arial"/>
      <w:sz w:val="18"/>
      <w:lang w:eastAsia="en-US"/>
    </w:rPr>
  </w:style>
  <w:style w:type="paragraph" w:customStyle="1" w:styleId="Copyright">
    <w:name w:val="Copyright"/>
    <w:pPr>
      <w:spacing w:line="220" w:lineRule="atLeast"/>
    </w:pPr>
    <w:rPr>
      <w:rFonts w:ascii="Garamond" w:hAnsi="Garamond" w:cs="Arial"/>
      <w:lang w:eastAsia="en-US"/>
    </w:rPr>
  </w:style>
  <w:style w:type="paragraph" w:customStyle="1" w:styleId="FinalPage">
    <w:name w:val="Final Page"/>
    <w:basedOn w:val="Normal"/>
    <w:pPr>
      <w:spacing w:before="0" w:after="0" w:line="180" w:lineRule="exact"/>
    </w:pPr>
    <w:rPr>
      <w:rFonts w:ascii="Arial" w:hAnsi="Arial"/>
      <w:sz w:val="12"/>
      <w:szCs w:val="16"/>
      <w:lang w:eastAsia="en-GB"/>
    </w:rPr>
  </w:style>
  <w:style w:type="paragraph" w:customStyle="1" w:styleId="MarginBulletBlack">
    <w:name w:val="Margin Bullet Black"/>
    <w:basedOn w:val="MarginNotesBlack"/>
    <w:pPr>
      <w:numPr>
        <w:numId w:val="13"/>
      </w:numPr>
    </w:pPr>
  </w:style>
  <w:style w:type="paragraph" w:customStyle="1" w:styleId="MarginNotesWhite">
    <w:name w:val="Margin Notes White"/>
    <w:basedOn w:val="Normal"/>
    <w:pPr>
      <w:spacing w:before="0" w:after="0" w:line="220" w:lineRule="exact"/>
    </w:pPr>
    <w:rPr>
      <w:rFonts w:ascii="Arial" w:hAnsi="Arial" w:cs="Garamond"/>
      <w:color w:val="FFFFFF"/>
      <w:sz w:val="16"/>
      <w:szCs w:val="16"/>
    </w:rPr>
  </w:style>
  <w:style w:type="paragraph" w:customStyle="1" w:styleId="MarginHeadingBlack">
    <w:name w:val="Margin Heading Black"/>
    <w:basedOn w:val="Normal"/>
    <w:pPr>
      <w:spacing w:before="0" w:after="0" w:line="320" w:lineRule="exact"/>
    </w:pPr>
    <w:rPr>
      <w:rFonts w:ascii="Arial Black" w:hAnsi="Arial Black" w:cs="Garamond"/>
      <w:sz w:val="16"/>
    </w:rPr>
  </w:style>
  <w:style w:type="paragraph" w:customStyle="1" w:styleId="MarginHeadingWhite">
    <w:name w:val="Margin Heading White"/>
    <w:basedOn w:val="Normal"/>
    <w:pPr>
      <w:spacing w:before="0" w:after="0" w:line="320" w:lineRule="exact"/>
    </w:pPr>
    <w:rPr>
      <w:rFonts w:ascii="Arial Black" w:hAnsi="Arial Black" w:cs="Garamond"/>
      <w:color w:val="FFFFFF"/>
      <w:sz w:val="16"/>
    </w:rPr>
  </w:style>
  <w:style w:type="paragraph" w:customStyle="1" w:styleId="Bullet1">
    <w:name w:val="Bullet 1"/>
    <w:basedOn w:val="Normal"/>
    <w:uiPriority w:val="99"/>
    <w:pPr>
      <w:numPr>
        <w:numId w:val="14"/>
      </w:numPr>
      <w:spacing w:before="0" w:after="0"/>
    </w:pPr>
  </w:style>
  <w:style w:type="character" w:styleId="HTMLAcronym">
    <w:name w:val="HTML Acronym"/>
    <w:basedOn w:val="DefaultParagraphFont"/>
  </w:style>
  <w:style w:type="paragraph" w:customStyle="1" w:styleId="Bulleti">
    <w:name w:val="Bullet i"/>
    <w:basedOn w:val="Normal"/>
    <w:pPr>
      <w:tabs>
        <w:tab w:val="left" w:pos="454"/>
      </w:tabs>
      <w:spacing w:before="0" w:after="0"/>
    </w:pPr>
  </w:style>
  <w:style w:type="character" w:styleId="FollowedHyperlink">
    <w:name w:val="FollowedHyperlink"/>
    <w:rPr>
      <w:color w:val="800080"/>
      <w:u w:val="single"/>
    </w:rPr>
  </w:style>
  <w:style w:type="character" w:customStyle="1" w:styleId="Bullet1Char">
    <w:name w:val="Bullet 1 Char"/>
    <w:rPr>
      <w:rFonts w:ascii="Garamond" w:hAnsi="Garamond"/>
      <w:sz w:val="22"/>
      <w:szCs w:val="24"/>
      <w:lang w:val="en-GB" w:eastAsia="en-US" w:bidi="ar-SA"/>
    </w:rPr>
  </w:style>
  <w:style w:type="character" w:customStyle="1" w:styleId="FootnoteTextChar">
    <w:name w:val="Footnote Text Char"/>
    <w:uiPriority w:val="99"/>
    <w:locked/>
    <w:rPr>
      <w:rFonts w:ascii="Arial" w:hAnsi="Arial"/>
      <w:sz w:val="18"/>
      <w:lang w:val="en-GB" w:eastAsia="en-GB" w:bidi="ar-SA"/>
    </w:rPr>
  </w:style>
  <w:style w:type="paragraph" w:styleId="ListBullet2">
    <w:name w:val="List Bullet 2"/>
    <w:basedOn w:val="Normal"/>
    <w:pPr>
      <w:numPr>
        <w:numId w:val="15"/>
      </w:numPr>
      <w:spacing w:before="0" w:after="284"/>
    </w:pPr>
  </w:style>
  <w:style w:type="paragraph" w:customStyle="1" w:styleId="tabletext1">
    <w:name w:val="tabletext"/>
    <w:basedOn w:val="Normal"/>
    <w:pPr>
      <w:spacing w:before="0" w:after="0"/>
      <w:ind w:right="142"/>
      <w:jc w:val="both"/>
    </w:pPr>
    <w:rPr>
      <w:sz w:val="24"/>
      <w:lang w:val="en-US"/>
    </w:rPr>
  </w:style>
  <w:style w:type="paragraph" w:customStyle="1" w:styleId="BodyTextnumbered">
    <w:name w:val="Body Text (numbered)"/>
    <w:basedOn w:val="BodyText"/>
    <w:pPr>
      <w:numPr>
        <w:numId w:val="16"/>
      </w:numPr>
      <w:spacing w:before="0" w:after="240" w:line="288" w:lineRule="auto"/>
    </w:pPr>
    <w:rPr>
      <w:rFonts w:ascii="Arial" w:hAnsi="Arial"/>
      <w:sz w:val="24"/>
      <w:lang w:eastAsia="en-GB"/>
    </w:rPr>
  </w:style>
  <w:style w:type="character" w:styleId="EndnoteReference">
    <w:name w:val="endnote reference"/>
    <w:semiHidden/>
    <w:rPr>
      <w:rFonts w:cs="Arial"/>
      <w:color w:val="000000"/>
    </w:rPr>
  </w:style>
  <w:style w:type="character" w:customStyle="1" w:styleId="BodyTextChar">
    <w:name w:val="Body Text Char"/>
    <w:rPr>
      <w:rFonts w:ascii="Garamond" w:hAnsi="Garamond"/>
      <w:sz w:val="22"/>
      <w:szCs w:val="24"/>
      <w:lang w:val="en-GB" w:eastAsia="en-US" w:bidi="ar-SA"/>
    </w:rPr>
  </w:style>
  <w:style w:type="table" w:styleId="TableGrid">
    <w:name w:val="Table Grid"/>
    <w:basedOn w:val="TableNormal"/>
    <w:rsid w:val="001F7958"/>
    <w:pPr>
      <w:spacing w:after="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itlelevel1">
    <w:name w:val="Title level 1"/>
    <w:rsid w:val="001F7958"/>
    <w:pPr>
      <w:numPr>
        <w:numId w:val="17"/>
      </w:numPr>
    </w:pPr>
  </w:style>
  <w:style w:type="character" w:customStyle="1" w:styleId="ECOTEC">
    <w:name w:val="ECOTEC"/>
    <w:semiHidden/>
    <w:rsid w:val="001F7958"/>
    <w:rPr>
      <w:rFonts w:ascii="Arial" w:hAnsi="Arial" w:cs="Arial"/>
      <w:color w:val="000080"/>
      <w:sz w:val="20"/>
      <w:szCs w:val="20"/>
    </w:rPr>
  </w:style>
  <w:style w:type="paragraph" w:customStyle="1" w:styleId="msolistparagraph0">
    <w:name w:val="msolistparagraph"/>
    <w:basedOn w:val="Normal"/>
    <w:rsid w:val="001F7958"/>
    <w:pPr>
      <w:spacing w:before="0" w:after="0"/>
      <w:ind w:left="720"/>
    </w:pPr>
    <w:rPr>
      <w:rFonts w:ascii="Times New Roman" w:hAnsi="Times New Roman"/>
      <w:sz w:val="24"/>
      <w:lang w:val="en-US"/>
    </w:rPr>
  </w:style>
  <w:style w:type="character" w:customStyle="1" w:styleId="saritabhatia">
    <w:name w:val="saritabhatia"/>
    <w:semiHidden/>
    <w:rsid w:val="001F7958"/>
    <w:rPr>
      <w:rFonts w:ascii="Arial" w:hAnsi="Arial" w:cs="Arial"/>
      <w:color w:val="auto"/>
      <w:sz w:val="20"/>
      <w:szCs w:val="20"/>
    </w:rPr>
  </w:style>
  <w:style w:type="paragraph" w:customStyle="1" w:styleId="bulletone0">
    <w:name w:val="bulletone"/>
    <w:basedOn w:val="Normal"/>
    <w:rsid w:val="00E14AC8"/>
    <w:pPr>
      <w:tabs>
        <w:tab w:val="num" w:pos="1420"/>
      </w:tabs>
      <w:spacing w:before="0" w:after="120"/>
      <w:ind w:left="357" w:hanging="357"/>
    </w:pPr>
    <w:rPr>
      <w:szCs w:val="22"/>
      <w:lang w:val="en-US"/>
    </w:rPr>
  </w:style>
  <w:style w:type="paragraph" w:styleId="Revision">
    <w:name w:val="Revision"/>
    <w:hidden/>
    <w:uiPriority w:val="99"/>
    <w:semiHidden/>
    <w:rsid w:val="007D3BCE"/>
    <w:rPr>
      <w:rFonts w:ascii="Garamond" w:hAnsi="Garamond"/>
      <w:sz w:val="22"/>
      <w:szCs w:val="24"/>
      <w:lang w:eastAsia="en-US"/>
    </w:rPr>
  </w:style>
  <w:style w:type="character" w:customStyle="1" w:styleId="BulletOneChar1">
    <w:name w:val="BulletOne Char1"/>
    <w:link w:val="BulletOne"/>
    <w:uiPriority w:val="99"/>
    <w:rsid w:val="00DB6D75"/>
    <w:rPr>
      <w:rFonts w:ascii="Garamond" w:hAnsi="Garamond"/>
      <w:sz w:val="22"/>
      <w:szCs w:val="24"/>
      <w:lang w:eastAsia="en-US"/>
    </w:rPr>
  </w:style>
  <w:style w:type="paragraph" w:styleId="TOCHeading">
    <w:name w:val="TOC Heading"/>
    <w:basedOn w:val="Heading1"/>
    <w:next w:val="Normal"/>
    <w:uiPriority w:val="39"/>
    <w:unhideWhenUsed/>
    <w:qFormat/>
    <w:rsid w:val="00A6450A"/>
    <w:pPr>
      <w:keepLines/>
      <w:pageBreakBefore w:val="0"/>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character" w:customStyle="1" w:styleId="Heading1Char">
    <w:name w:val="Heading 1 Char"/>
    <w:basedOn w:val="DefaultParagraphFont"/>
    <w:link w:val="Heading1"/>
    <w:uiPriority w:val="99"/>
    <w:locked/>
    <w:rsid w:val="00331F0C"/>
    <w:rPr>
      <w:rFonts w:ascii="Garamond" w:hAnsi="Garamond" w:cs="Arial"/>
      <w:bCs/>
      <w:color w:val="4F2D7F"/>
      <w:kern w:val="32"/>
      <w:sz w:val="40"/>
      <w:szCs w:val="21"/>
      <w:lang w:eastAsia="en-US"/>
    </w:rPr>
  </w:style>
  <w:style w:type="paragraph" w:customStyle="1" w:styleId="GrantThornton">
    <w:name w:val="Grant Thornton"/>
    <w:basedOn w:val="BodyText"/>
    <w:link w:val="GrantThorntonChar"/>
    <w:uiPriority w:val="99"/>
    <w:rsid w:val="006051C0"/>
    <w:rPr>
      <w:sz w:val="24"/>
      <w:szCs w:val="20"/>
      <w:lang w:val="en-US"/>
    </w:rPr>
  </w:style>
  <w:style w:type="character" w:customStyle="1" w:styleId="GrantThorntonChar">
    <w:name w:val="Grant Thornton Char"/>
    <w:link w:val="GrantThornton"/>
    <w:uiPriority w:val="99"/>
    <w:locked/>
    <w:rsid w:val="006051C0"/>
    <w:rPr>
      <w:rFonts w:ascii="Garamond" w:hAnsi="Garamond"/>
      <w:sz w:val="24"/>
      <w:lang w:val="en-US" w:eastAsia="en-US"/>
    </w:rPr>
  </w:style>
  <w:style w:type="character" w:customStyle="1" w:styleId="CommentTextChar">
    <w:name w:val="Comment Text Char"/>
    <w:basedOn w:val="DefaultParagraphFont"/>
    <w:link w:val="CommentText"/>
    <w:uiPriority w:val="99"/>
    <w:semiHidden/>
    <w:locked/>
    <w:rsid w:val="002C7D43"/>
    <w:rPr>
      <w:rFonts w:ascii="Garamond" w:hAnsi="Garamond"/>
      <w:lang w:eastAsia="en-US"/>
    </w:rPr>
  </w:style>
  <w:style w:type="character" w:customStyle="1" w:styleId="tt2">
    <w:name w:val="tt2"/>
    <w:basedOn w:val="DefaultParagraphFont"/>
    <w:uiPriority w:val="99"/>
    <w:rsid w:val="000779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caption" w:uiPriority="99"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after="180"/>
    </w:pPr>
    <w:rPr>
      <w:rFonts w:ascii="Garamond" w:hAnsi="Garamond"/>
      <w:sz w:val="22"/>
      <w:szCs w:val="24"/>
      <w:lang w:eastAsia="en-US"/>
    </w:rPr>
  </w:style>
  <w:style w:type="paragraph" w:styleId="Heading1">
    <w:name w:val="heading 1"/>
    <w:basedOn w:val="NumSection"/>
    <w:next w:val="Normal"/>
    <w:link w:val="Heading1Char"/>
    <w:uiPriority w:val="99"/>
    <w:qFormat/>
    <w:rsid w:val="00F6552A"/>
    <w:pPr>
      <w:keepNext/>
      <w:framePr w:w="0" w:wrap="auto" w:vAnchor="margin" w:yAlign="inline"/>
      <w:numPr>
        <w:numId w:val="8"/>
      </w:numPr>
      <w:tabs>
        <w:tab w:val="clear" w:pos="-360"/>
      </w:tabs>
      <w:spacing w:after="400" w:line="260" w:lineRule="atLeast"/>
      <w:ind w:left="0" w:hanging="567"/>
      <w:outlineLvl w:val="0"/>
    </w:pPr>
    <w:rPr>
      <w:rFonts w:cs="Arial"/>
      <w:bCs/>
      <w:kern w:val="32"/>
      <w:szCs w:val="21"/>
    </w:rPr>
  </w:style>
  <w:style w:type="paragraph" w:styleId="Heading2">
    <w:name w:val="heading 2"/>
    <w:basedOn w:val="NormalHeading"/>
    <w:next w:val="Normal"/>
    <w:uiPriority w:val="99"/>
    <w:qFormat/>
    <w:pPr>
      <w:keepNext/>
      <w:numPr>
        <w:ilvl w:val="1"/>
        <w:numId w:val="8"/>
      </w:numPr>
      <w:tabs>
        <w:tab w:val="clear" w:pos="-288"/>
      </w:tabs>
      <w:spacing w:before="260" w:line="260" w:lineRule="atLeast"/>
      <w:ind w:left="0" w:hanging="567"/>
      <w:outlineLvl w:val="1"/>
    </w:pPr>
    <w:rPr>
      <w:b/>
      <w:bCs/>
      <w:iCs/>
      <w:color w:val="4F2D7F"/>
      <w:sz w:val="26"/>
      <w:szCs w:val="19"/>
    </w:rPr>
  </w:style>
  <w:style w:type="paragraph" w:styleId="Heading3">
    <w:name w:val="heading 3"/>
    <w:basedOn w:val="Heading2"/>
    <w:next w:val="Normal"/>
    <w:uiPriority w:val="99"/>
    <w:qFormat/>
    <w:pPr>
      <w:numPr>
        <w:ilvl w:val="2"/>
      </w:numPr>
      <w:tabs>
        <w:tab w:val="clear" w:pos="720"/>
      </w:tabs>
      <w:ind w:left="357" w:hanging="357"/>
      <w:outlineLvl w:val="2"/>
    </w:pPr>
    <w:rPr>
      <w:bCs w:val="0"/>
      <w:color w:val="auto"/>
      <w:sz w:val="22"/>
    </w:rPr>
  </w:style>
  <w:style w:type="paragraph" w:styleId="Heading4">
    <w:name w:val="heading 4"/>
    <w:basedOn w:val="Heading3"/>
    <w:next w:val="Normal"/>
    <w:qFormat/>
    <w:pPr>
      <w:outlineLvl w:val="3"/>
    </w:pPr>
    <w:rPr>
      <w:b w:val="0"/>
      <w:bCs/>
    </w:rPr>
  </w:style>
  <w:style w:type="paragraph" w:styleId="Heading5">
    <w:name w:val="heading 5"/>
    <w:basedOn w:val="Normal"/>
    <w:next w:val="Normal"/>
    <w:uiPriority w:val="99"/>
    <w:qFormat/>
    <w:pPr>
      <w:numPr>
        <w:ilvl w:val="4"/>
        <w:numId w:val="7"/>
      </w:numPr>
      <w:spacing w:before="240"/>
      <w:outlineLvl w:val="4"/>
    </w:pPr>
    <w:rPr>
      <w:b/>
      <w:bCs/>
      <w:i/>
      <w:iCs/>
      <w:sz w:val="26"/>
      <w:szCs w:val="26"/>
    </w:rPr>
  </w:style>
  <w:style w:type="paragraph" w:styleId="Heading6">
    <w:name w:val="heading 6"/>
    <w:basedOn w:val="Normal"/>
    <w:next w:val="Normal"/>
    <w:uiPriority w:val="99"/>
    <w:qFormat/>
    <w:pPr>
      <w:numPr>
        <w:ilvl w:val="5"/>
        <w:numId w:val="7"/>
      </w:numPr>
      <w:spacing w:before="240"/>
      <w:outlineLvl w:val="5"/>
    </w:pPr>
    <w:rPr>
      <w:rFonts w:ascii="Times New Roman" w:hAnsi="Times New Roman"/>
      <w:b/>
      <w:bCs/>
      <w:szCs w:val="22"/>
    </w:rPr>
  </w:style>
  <w:style w:type="paragraph" w:styleId="Heading7">
    <w:name w:val="heading 7"/>
    <w:basedOn w:val="Normal"/>
    <w:next w:val="Normal"/>
    <w:uiPriority w:val="99"/>
    <w:qFormat/>
    <w:pPr>
      <w:numPr>
        <w:ilvl w:val="6"/>
        <w:numId w:val="7"/>
      </w:numPr>
      <w:spacing w:before="240"/>
      <w:outlineLvl w:val="6"/>
    </w:pPr>
    <w:rPr>
      <w:rFonts w:ascii="Times New Roman" w:hAnsi="Times New Roman"/>
      <w:sz w:val="24"/>
    </w:rPr>
  </w:style>
  <w:style w:type="paragraph" w:styleId="Heading8">
    <w:name w:val="heading 8"/>
    <w:basedOn w:val="Normal"/>
    <w:next w:val="Normal"/>
    <w:uiPriority w:val="99"/>
    <w:qFormat/>
    <w:pPr>
      <w:numPr>
        <w:ilvl w:val="7"/>
        <w:numId w:val="7"/>
      </w:numPr>
      <w:spacing w:before="240"/>
      <w:outlineLvl w:val="7"/>
    </w:pPr>
    <w:rPr>
      <w:rFonts w:ascii="Times New Roman" w:hAnsi="Times New Roman"/>
      <w:i/>
      <w:iCs/>
      <w:sz w:val="24"/>
    </w:rPr>
  </w:style>
  <w:style w:type="paragraph" w:styleId="Heading9">
    <w:name w:val="heading 9"/>
    <w:basedOn w:val="Normal"/>
    <w:next w:val="Normal"/>
    <w:uiPriority w:val="99"/>
    <w:qFormat/>
    <w:pPr>
      <w:numPr>
        <w:ilvl w:val="8"/>
        <w:numId w:val="7"/>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99"/>
    <w:pPr>
      <w:numPr>
        <w:numId w:val="1"/>
      </w:numPr>
      <w:spacing w:after="0"/>
      <w:jc w:val="right"/>
    </w:pPr>
    <w:rPr>
      <w:rFonts w:ascii="Arial" w:hAnsi="Arial"/>
      <w:b/>
      <w:color w:val="808080"/>
      <w:sz w:val="16"/>
    </w:rPr>
  </w:style>
  <w:style w:type="paragraph" w:styleId="Subtitle">
    <w:name w:val="Subtitle"/>
    <w:qFormat/>
    <w:pPr>
      <w:spacing w:line="280" w:lineRule="atLeast"/>
      <w:outlineLvl w:val="1"/>
    </w:pPr>
    <w:rPr>
      <w:rFonts w:ascii="Arial" w:hAnsi="Arial" w:cs="Arial"/>
      <w:bCs/>
      <w:kern w:val="28"/>
      <w:sz w:val="24"/>
      <w:szCs w:val="24"/>
      <w:lang w:val="en-US" w:eastAsia="en-US"/>
    </w:rPr>
  </w:style>
  <w:style w:type="paragraph" w:styleId="Footer">
    <w:name w:val="footer"/>
    <w:basedOn w:val="Normal"/>
    <w:pPr>
      <w:tabs>
        <w:tab w:val="center" w:pos="4153"/>
        <w:tab w:val="right" w:pos="8306"/>
      </w:tabs>
      <w:spacing w:after="0"/>
    </w:pPr>
    <w:rPr>
      <w:rFonts w:ascii="Arial" w:hAnsi="Arial"/>
      <w:b/>
      <w:color w:val="808080"/>
      <w:sz w:val="16"/>
    </w:rPr>
  </w:style>
  <w:style w:type="paragraph" w:styleId="Header">
    <w:name w:val="header"/>
    <w:basedOn w:val="Normal"/>
    <w:pPr>
      <w:tabs>
        <w:tab w:val="center" w:pos="4150"/>
        <w:tab w:val="right" w:pos="8307"/>
      </w:tabs>
      <w:spacing w:after="0"/>
    </w:pPr>
    <w:rPr>
      <w:rFonts w:ascii="Arial" w:hAnsi="Arial"/>
      <w:b/>
      <w:color w:val="808080"/>
      <w:sz w:val="16"/>
    </w:rPr>
  </w:style>
  <w:style w:type="paragraph" w:customStyle="1" w:styleId="TableHeading">
    <w:name w:val="Table Heading"/>
    <w:basedOn w:val="TableText"/>
    <w:rPr>
      <w:b/>
      <w:bCs/>
      <w:kern w:val="28"/>
      <w:szCs w:val="24"/>
    </w:rPr>
  </w:style>
  <w:style w:type="paragraph" w:customStyle="1" w:styleId="TableText">
    <w:name w:val="Table Text"/>
    <w:basedOn w:val="Normal"/>
    <w:uiPriority w:val="99"/>
    <w:pPr>
      <w:spacing w:after="0"/>
      <w:ind w:right="142"/>
    </w:pPr>
    <w:rPr>
      <w:szCs w:val="22"/>
    </w:rPr>
  </w:style>
  <w:style w:type="paragraph" w:customStyle="1" w:styleId="TableSubTot">
    <w:name w:val="Table SubTot"/>
    <w:basedOn w:val="TableFigures"/>
    <w:pPr>
      <w:pBdr>
        <w:top w:val="single" w:sz="6" w:space="1" w:color="auto"/>
      </w:pBdr>
    </w:pPr>
    <w:rPr>
      <w:szCs w:val="24"/>
    </w:rPr>
  </w:style>
  <w:style w:type="paragraph" w:customStyle="1" w:styleId="TableFigures">
    <w:name w:val="Table Figures"/>
    <w:basedOn w:val="TableText"/>
    <w:pPr>
      <w:spacing w:before="25"/>
    </w:pPr>
    <w:rPr>
      <w:rFonts w:ascii="Arial" w:hAnsi="Arial"/>
      <w:sz w:val="18"/>
    </w:rPr>
  </w:style>
  <w:style w:type="paragraph" w:customStyle="1" w:styleId="TableTotal">
    <w:name w:val="Table Total"/>
    <w:basedOn w:val="TableFigures"/>
    <w:pPr>
      <w:pBdr>
        <w:top w:val="single" w:sz="6" w:space="1" w:color="auto"/>
        <w:bottom w:val="double" w:sz="6" w:space="1" w:color="auto"/>
      </w:pBdr>
    </w:pPr>
  </w:style>
  <w:style w:type="paragraph" w:styleId="Title">
    <w:name w:val="Title"/>
    <w:basedOn w:val="Normal"/>
    <w:next w:val="Subtitle"/>
    <w:qFormat/>
    <w:pPr>
      <w:spacing w:before="400" w:after="400" w:line="580" w:lineRule="atLeast"/>
    </w:pPr>
    <w:rPr>
      <w:rFonts w:cs="Arial"/>
      <w:bCs/>
      <w:color w:val="4F2D7F"/>
      <w:kern w:val="28"/>
      <w:sz w:val="40"/>
      <w:szCs w:val="32"/>
    </w:rPr>
  </w:style>
  <w:style w:type="paragraph" w:customStyle="1" w:styleId="TableDouble">
    <w:name w:val="Table Double"/>
    <w:basedOn w:val="TableFigures"/>
    <w:pPr>
      <w:pBdr>
        <w:bottom w:val="double" w:sz="6" w:space="1" w:color="auto"/>
      </w:pBdr>
    </w:pPr>
    <w:rPr>
      <w:sz w:val="16"/>
      <w:szCs w:val="24"/>
    </w:rPr>
  </w:style>
  <w:style w:type="paragraph" w:customStyle="1" w:styleId="TableSingle">
    <w:name w:val="Table Single"/>
    <w:basedOn w:val="TableFigures"/>
    <w:pPr>
      <w:pBdr>
        <w:bottom w:val="single" w:sz="6" w:space="1" w:color="auto"/>
      </w:pBdr>
    </w:pPr>
    <w:rPr>
      <w:szCs w:val="24"/>
    </w:rPr>
  </w:style>
  <w:style w:type="paragraph" w:customStyle="1" w:styleId="TableBullet">
    <w:name w:val="Table Bullet"/>
    <w:basedOn w:val="TableText"/>
    <w:uiPriority w:val="99"/>
    <w:pPr>
      <w:numPr>
        <w:numId w:val="3"/>
      </w:numPr>
    </w:pPr>
    <w:rPr>
      <w:szCs w:val="20"/>
    </w:rPr>
  </w:style>
  <w:style w:type="paragraph" w:customStyle="1" w:styleId="TableNumberBullet">
    <w:name w:val="Table Number Bullet"/>
    <w:basedOn w:val="TableText"/>
    <w:pPr>
      <w:numPr>
        <w:numId w:val="4"/>
      </w:numPr>
    </w:pPr>
    <w:rPr>
      <w:szCs w:val="24"/>
    </w:rPr>
  </w:style>
  <w:style w:type="paragraph" w:styleId="TOC1">
    <w:name w:val="toc 1"/>
    <w:basedOn w:val="Normal"/>
    <w:next w:val="Normal"/>
    <w:uiPriority w:val="39"/>
    <w:pPr>
      <w:tabs>
        <w:tab w:val="right" w:pos="8108"/>
      </w:tabs>
      <w:spacing w:before="120" w:after="0"/>
      <w:ind w:left="567" w:hanging="567"/>
    </w:pPr>
    <w:rPr>
      <w:b/>
      <w:bCs/>
    </w:rPr>
  </w:style>
  <w:style w:type="paragraph" w:customStyle="1" w:styleId="AppendixTitle">
    <w:name w:val="Appendix Title"/>
    <w:basedOn w:val="Title"/>
    <w:next w:val="Normal"/>
    <w:pPr>
      <w:pageBreakBefore/>
      <w:numPr>
        <w:numId w:val="2"/>
      </w:numPr>
      <w:tabs>
        <w:tab w:val="clear" w:pos="454"/>
      </w:tabs>
      <w:spacing w:before="0" w:after="1400" w:line="240" w:lineRule="auto"/>
      <w:ind w:left="567" w:hanging="567"/>
    </w:pPr>
  </w:style>
  <w:style w:type="character" w:styleId="PageNumber">
    <w:name w:val="page number"/>
    <w:basedOn w:val="DefaultParagraphFont"/>
  </w:style>
  <w:style w:type="paragraph" w:customStyle="1" w:styleId="BulletOne">
    <w:name w:val="BulletOne"/>
    <w:basedOn w:val="Normal"/>
    <w:next w:val="Normal"/>
    <w:link w:val="BulletOneChar1"/>
    <w:uiPriority w:val="99"/>
    <w:rsid w:val="000879BC"/>
    <w:pPr>
      <w:numPr>
        <w:ilvl w:val="1"/>
        <w:numId w:val="11"/>
      </w:numPr>
      <w:tabs>
        <w:tab w:val="clear" w:pos="1420"/>
      </w:tabs>
      <w:spacing w:before="0" w:after="120"/>
      <w:ind w:left="340"/>
    </w:pPr>
  </w:style>
  <w:style w:type="paragraph" w:customStyle="1" w:styleId="BulletThree">
    <w:name w:val="BulletThree"/>
    <w:basedOn w:val="Normal"/>
    <w:uiPriority w:val="99"/>
    <w:pPr>
      <w:numPr>
        <w:numId w:val="5"/>
      </w:numPr>
      <w:spacing w:after="0"/>
    </w:pPr>
  </w:style>
  <w:style w:type="paragraph" w:customStyle="1" w:styleId="BulletTwo">
    <w:name w:val="BulletTwo"/>
    <w:basedOn w:val="Normal"/>
    <w:pPr>
      <w:numPr>
        <w:numId w:val="6"/>
      </w:numPr>
      <w:spacing w:after="0"/>
    </w:pPr>
  </w:style>
  <w:style w:type="paragraph" w:customStyle="1" w:styleId="Indent1">
    <w:name w:val="Indent1"/>
    <w:basedOn w:val="Normal"/>
    <w:pPr>
      <w:tabs>
        <w:tab w:val="left" w:pos="567"/>
      </w:tabs>
      <w:ind w:left="567" w:hanging="567"/>
    </w:pPr>
  </w:style>
  <w:style w:type="paragraph" w:customStyle="1" w:styleId="Indent2">
    <w:name w:val="Indent2"/>
    <w:basedOn w:val="Normal"/>
    <w:pPr>
      <w:tabs>
        <w:tab w:val="left" w:pos="1134"/>
      </w:tabs>
      <w:ind w:left="1134" w:hanging="567"/>
    </w:pPr>
  </w:style>
  <w:style w:type="paragraph" w:customStyle="1" w:styleId="NumBulletOne">
    <w:name w:val="NumBulletOne"/>
    <w:basedOn w:val="Normal"/>
    <w:uiPriority w:val="99"/>
    <w:pPr>
      <w:numPr>
        <w:numId w:val="7"/>
      </w:numPr>
      <w:spacing w:after="0"/>
    </w:pPr>
  </w:style>
  <w:style w:type="paragraph" w:customStyle="1" w:styleId="NumBulletThree">
    <w:name w:val="NumBulletThree"/>
    <w:basedOn w:val="Normal"/>
    <w:uiPriority w:val="99"/>
    <w:pPr>
      <w:numPr>
        <w:ilvl w:val="2"/>
        <w:numId w:val="7"/>
      </w:numPr>
      <w:spacing w:after="0"/>
    </w:pPr>
  </w:style>
  <w:style w:type="paragraph" w:customStyle="1" w:styleId="NumBulletTwo">
    <w:name w:val="NumBulletTwo"/>
    <w:basedOn w:val="Normal"/>
    <w:uiPriority w:val="99"/>
    <w:pPr>
      <w:numPr>
        <w:ilvl w:val="1"/>
        <w:numId w:val="7"/>
      </w:numPr>
      <w:spacing w:after="0"/>
    </w:pPr>
  </w:style>
  <w:style w:type="paragraph" w:styleId="TOC2">
    <w:name w:val="toc 2"/>
    <w:basedOn w:val="Normal"/>
    <w:next w:val="Normal"/>
    <w:uiPriority w:val="39"/>
    <w:pPr>
      <w:tabs>
        <w:tab w:val="left" w:pos="1134"/>
        <w:tab w:val="right" w:pos="8108"/>
      </w:tabs>
      <w:spacing w:before="120" w:after="0"/>
      <w:ind w:left="1134" w:hanging="567"/>
      <w:contextualSpacing/>
    </w:pPr>
  </w:style>
  <w:style w:type="character" w:styleId="Hyperlink">
    <w:name w:val="Hyperlink"/>
    <w:uiPriority w:val="99"/>
    <w:rPr>
      <w:color w:val="0000FF"/>
      <w:u w:val="single"/>
    </w:rPr>
  </w:style>
  <w:style w:type="paragraph" w:styleId="TOC3">
    <w:name w:val="toc 3"/>
    <w:basedOn w:val="Normal"/>
    <w:next w:val="Normal"/>
    <w:semiHidden/>
    <w:pPr>
      <w:tabs>
        <w:tab w:val="right" w:pos="8108"/>
      </w:tabs>
      <w:spacing w:before="120" w:after="0"/>
      <w:ind w:left="567" w:hanging="567"/>
    </w:pPr>
    <w:rPr>
      <w:b/>
    </w:rPr>
  </w:style>
  <w:style w:type="paragraph" w:customStyle="1" w:styleId="NormalHeading">
    <w:name w:val="Normal Heading"/>
    <w:basedOn w:val="Normal"/>
    <w:pPr>
      <w:spacing w:before="0" w:after="0"/>
    </w:pPr>
  </w:style>
  <w:style w:type="paragraph" w:customStyle="1" w:styleId="Contents">
    <w:name w:val="Contents"/>
    <w:basedOn w:val="Normal"/>
    <w:next w:val="Normal"/>
    <w:pPr>
      <w:framePr w:w="8108" w:wrap="around" w:vAnchor="text" w:hAnchor="text" w:y="1"/>
      <w:spacing w:after="1400"/>
    </w:pPr>
    <w:rPr>
      <w:sz w:val="40"/>
    </w:rPr>
  </w:style>
  <w:style w:type="paragraph" w:customStyle="1" w:styleId="NumSection">
    <w:name w:val="NumSection"/>
    <w:basedOn w:val="Normal"/>
    <w:next w:val="NumHead"/>
    <w:pPr>
      <w:pageBreakBefore/>
      <w:framePr w:w="8222" w:wrap="around" w:vAnchor="text" w:hAnchor="text" w:y="1"/>
      <w:numPr>
        <w:numId w:val="9"/>
      </w:numPr>
      <w:spacing w:after="1400"/>
    </w:pPr>
    <w:rPr>
      <w:color w:val="4F2D7F"/>
      <w:sz w:val="40"/>
    </w:rPr>
  </w:style>
  <w:style w:type="paragraph" w:customStyle="1" w:styleId="NumHead">
    <w:name w:val="NumHead"/>
    <w:basedOn w:val="NormalHeading"/>
    <w:next w:val="Normal"/>
    <w:pPr>
      <w:keepNext/>
      <w:spacing w:line="220" w:lineRule="exact"/>
      <w:outlineLvl w:val="1"/>
    </w:pPr>
    <w:rPr>
      <w:b/>
      <w:color w:val="4F2D7F"/>
      <w:sz w:val="26"/>
      <w:szCs w:val="19"/>
    </w:rPr>
  </w:style>
  <w:style w:type="paragraph" w:styleId="Caption">
    <w:name w:val="caption"/>
    <w:basedOn w:val="Normal"/>
    <w:next w:val="Normal"/>
    <w:uiPriority w:val="99"/>
    <w:qFormat/>
    <w:pPr>
      <w:keepNext/>
    </w:pPr>
    <w:rPr>
      <w:b/>
      <w:bCs/>
      <w:szCs w:val="20"/>
    </w:rPr>
  </w:style>
  <w:style w:type="paragraph" w:styleId="Index1">
    <w:name w:val="index 1"/>
    <w:basedOn w:val="Normal"/>
    <w:next w:val="Normal"/>
    <w:autoRedefine/>
    <w:semiHidden/>
    <w:pPr>
      <w:ind w:left="220" w:hanging="2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uiPriority w:val="99"/>
    <w:pPr>
      <w:spacing w:after="284"/>
    </w:pPr>
    <w:rPr>
      <w:sz w:val="20"/>
      <w:szCs w:val="20"/>
    </w:rPr>
  </w:style>
  <w:style w:type="character" w:styleId="FootnoteReference">
    <w:name w:val="footnote reference"/>
    <w:aliases w:val="Footnote symbol"/>
    <w:uiPriority w:val="99"/>
    <w:rPr>
      <w:vertAlign w:val="superscript"/>
    </w:rPr>
  </w:style>
  <w:style w:type="character" w:customStyle="1" w:styleId="BulletOneChar">
    <w:name w:val="BulletOne Char"/>
    <w:rPr>
      <w:rFonts w:ascii="Garamond" w:hAnsi="Garamond"/>
      <w:sz w:val="22"/>
      <w:szCs w:val="24"/>
      <w:lang w:val="en-GB" w:eastAsia="en-US" w:bidi="ar-SA"/>
    </w:rPr>
  </w:style>
  <w:style w:type="paragraph" w:styleId="NoSpacing">
    <w:name w:val="No Spacing"/>
    <w:qFormat/>
    <w:rPr>
      <w:rFonts w:ascii="Calibri" w:eastAsia="Calibri" w:hAnsi="Calibri"/>
      <w:sz w:val="22"/>
      <w:szCs w:val="22"/>
      <w:lang w:eastAsia="en-US"/>
    </w:rPr>
  </w:style>
  <w:style w:type="character" w:customStyle="1" w:styleId="BulletTwoChar">
    <w:name w:val="BulletTwo Char"/>
    <w:rPr>
      <w:rFonts w:ascii="Garamond" w:hAnsi="Garamond"/>
      <w:sz w:val="22"/>
      <w:szCs w:val="24"/>
      <w:lang w:val="en-GB" w:eastAsia="en-US" w:bidi="ar-SA"/>
    </w:rPr>
  </w:style>
  <w:style w:type="paragraph" w:customStyle="1" w:styleId="CM30">
    <w:name w:val="CM30"/>
    <w:basedOn w:val="Default"/>
    <w:next w:val="Default"/>
    <w:rPr>
      <w:rFonts w:ascii="Bliss" w:hAnsi="Bliss" w:cs="Times New Roman"/>
      <w:color w:val="auto"/>
    </w:rPr>
  </w:style>
  <w:style w:type="paragraph" w:customStyle="1" w:styleId="CM32">
    <w:name w:val="CM32"/>
    <w:basedOn w:val="Default"/>
    <w:next w:val="Default"/>
    <w:rPr>
      <w:rFonts w:ascii="Bliss" w:hAnsi="Bliss" w:cs="Times New Roman"/>
      <w:color w:val="auto"/>
    </w:rPr>
  </w:style>
  <w:style w:type="paragraph" w:styleId="ListParagraph">
    <w:name w:val="List Paragraph"/>
    <w:basedOn w:val="Normal"/>
    <w:qFormat/>
    <w:pPr>
      <w:spacing w:after="0"/>
      <w:ind w:left="720"/>
      <w:contextualSpacing/>
    </w:pPr>
    <w:rPr>
      <w:rFonts w:ascii="Calibri" w:eastAsia="Calibri" w:hAnsi="Calibri"/>
      <w:szCs w:val="22"/>
    </w:rPr>
  </w:style>
  <w:style w:type="paragraph" w:styleId="NormalWeb">
    <w:name w:val="Normal (Web)"/>
    <w:basedOn w:val="Normal"/>
    <w:pPr>
      <w:spacing w:after="360"/>
    </w:pPr>
    <w:rPr>
      <w:rFonts w:ascii="Times New Roman" w:hAnsi="Times New Roman"/>
      <w:sz w:val="24"/>
      <w:lang w:val="en-US"/>
    </w:rPr>
  </w:style>
  <w:style w:type="paragraph" w:customStyle="1" w:styleId="last">
    <w:name w:val="last"/>
    <w:basedOn w:val="Normal"/>
    <w:pPr>
      <w:spacing w:after="0"/>
    </w:pPr>
    <w:rPr>
      <w:rFonts w:ascii="Times New Roman" w:hAnsi="Times New Roman"/>
      <w:sz w:val="24"/>
      <w:lang w:val="en-US"/>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1, Char Char, Char"/>
    <w:basedOn w:val="Normal"/>
    <w:pPr>
      <w:numPr>
        <w:numId w:val="10"/>
      </w:numPr>
      <w:spacing w:after="0" w:line="270" w:lineRule="exact"/>
      <w:outlineLvl w:val="0"/>
    </w:pPr>
    <w:rPr>
      <w:rFonts w:ascii="Verdana" w:hAnsi="Verdana"/>
      <w:sz w:val="20"/>
      <w:szCs w:val="20"/>
    </w:rPr>
  </w:style>
  <w:style w:type="paragraph" w:customStyle="1" w:styleId="Tabletext0">
    <w:name w:val="Table text"/>
    <w:basedOn w:val="BodyText"/>
    <w:pPr>
      <w:spacing w:after="240"/>
    </w:pPr>
    <w:rPr>
      <w:rFonts w:ascii="Arial" w:hAnsi="Arial"/>
      <w:sz w:val="20"/>
      <w:szCs w:val="20"/>
    </w:rPr>
  </w:style>
  <w:style w:type="character" w:customStyle="1" w:styleId="TabletextChar">
    <w:name w:val="Table text Char"/>
    <w:rPr>
      <w:rFonts w:ascii="Arial" w:hAnsi="Arial"/>
      <w:lang w:val="en-GB" w:eastAsia="en-US" w:bidi="ar-SA"/>
    </w:rPr>
  </w:style>
  <w:style w:type="paragraph" w:styleId="BodyText">
    <w:name w:val="Body Text"/>
    <w:basedOn w:val="Normal"/>
    <w:pPr>
      <w:spacing w:after="120"/>
    </w:pPr>
  </w:style>
  <w:style w:type="character" w:styleId="Strong">
    <w:name w:val="Strong"/>
    <w:uiPriority w:val="22"/>
    <w:qFormat/>
    <w:rPr>
      <w:b/>
      <w:bCs/>
    </w:rPr>
  </w:style>
  <w:style w:type="character" w:styleId="CommentReference">
    <w:name w:val="annotation reference"/>
    <w:uiPriority w:val="99"/>
    <w:semiHidden/>
    <w:rPr>
      <w:sz w:val="16"/>
      <w:szCs w:val="16"/>
    </w:rPr>
  </w:style>
  <w:style w:type="paragraph" w:customStyle="1" w:styleId="Style1">
    <w:name w:val="Style1"/>
    <w:basedOn w:val="BulletTwo"/>
    <w:pPr>
      <w:numPr>
        <w:numId w:val="0"/>
      </w:numPr>
      <w:ind w:left="680" w:hanging="340"/>
    </w:pPr>
    <w:rPr>
      <w:rFonts w:cs="Dax-Bold"/>
      <w:b/>
      <w:bCs/>
      <w:lang w:val="en-US"/>
    </w:rPr>
  </w:style>
  <w:style w:type="paragraph" w:customStyle="1" w:styleId="Style2">
    <w:name w:val="Style2"/>
    <w:basedOn w:val="Normal"/>
    <w:pPr>
      <w:autoSpaceDE w:val="0"/>
      <w:autoSpaceDN w:val="0"/>
      <w:adjustRightInd w:val="0"/>
      <w:spacing w:after="0"/>
    </w:pPr>
    <w:rPr>
      <w:b/>
      <w:lang w:val="en"/>
    </w:rPr>
  </w:style>
  <w:style w:type="paragraph" w:customStyle="1" w:styleId="Style3">
    <w:name w:val="Style3"/>
    <w:basedOn w:val="Normal"/>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CharChar1">
    <w:name w:val="Char Char1"/>
    <w:rPr>
      <w:rFonts w:ascii="Garamond" w:hAnsi="Garamond"/>
      <w:lang w:val="en-GB" w:eastAsia="en-US" w:bidi="ar-SA"/>
    </w:rPr>
  </w:style>
  <w:style w:type="paragraph" w:styleId="BodyTextIndent">
    <w:name w:val="Body Text Indent"/>
    <w:basedOn w:val="Normal"/>
    <w:pPr>
      <w:ind w:left="567"/>
    </w:pPr>
    <w:rPr>
      <w:i/>
      <w:iCs/>
    </w:rPr>
  </w:style>
  <w:style w:type="paragraph" w:customStyle="1" w:styleId="Tableheader">
    <w:name w:val="Table header"/>
    <w:basedOn w:val="BodyText"/>
    <w:pPr>
      <w:spacing w:after="240"/>
    </w:pPr>
    <w:rPr>
      <w:rFonts w:ascii="Arial" w:hAnsi="Arial"/>
      <w:b/>
      <w:color w:val="FFFFFF"/>
      <w:sz w:val="20"/>
      <w:szCs w:val="20"/>
    </w:rPr>
  </w:style>
  <w:style w:type="character" w:customStyle="1" w:styleId="NormalHeadingChar">
    <w:name w:val="Normal Heading Char"/>
    <w:rPr>
      <w:rFonts w:ascii="Garamond" w:hAnsi="Garamond"/>
      <w:sz w:val="22"/>
      <w:szCs w:val="24"/>
      <w:lang w:val="en-GB" w:eastAsia="en-US" w:bidi="ar-SA"/>
    </w:rPr>
  </w:style>
  <w:style w:type="character" w:customStyle="1" w:styleId="Heading2Char">
    <w:name w:val="Heading 2 Char"/>
    <w:uiPriority w:val="99"/>
    <w:rPr>
      <w:rFonts w:ascii="Garamond" w:hAnsi="Garamond"/>
      <w:b/>
      <w:bCs/>
      <w:iCs/>
      <w:color w:val="4F2D7F"/>
      <w:sz w:val="26"/>
      <w:szCs w:val="19"/>
      <w:lang w:val="en-GB" w:eastAsia="en-US" w:bidi="ar-SA"/>
    </w:rPr>
  </w:style>
  <w:style w:type="character" w:customStyle="1" w:styleId="Heading3CharChar">
    <w:name w:val="Heading 3 Char Char"/>
    <w:rPr>
      <w:rFonts w:ascii="Garamond" w:hAnsi="Garamond"/>
      <w:b/>
      <w:bCs/>
      <w:iCs/>
      <w:color w:val="4F2D7F"/>
      <w:sz w:val="22"/>
      <w:szCs w:val="19"/>
      <w:lang w:val="en-GB" w:eastAsia="en-US" w:bidi="ar-SA"/>
    </w:rPr>
  </w:style>
  <w:style w:type="paragraph" w:customStyle="1" w:styleId="NumText">
    <w:name w:val="NumText"/>
    <w:basedOn w:val="Normal"/>
    <w:pPr>
      <w:tabs>
        <w:tab w:val="num" w:pos="0"/>
      </w:tabs>
      <w:spacing w:line="280" w:lineRule="exact"/>
      <w:ind w:hanging="567"/>
    </w:pPr>
  </w:style>
  <w:style w:type="character" w:customStyle="1" w:styleId="project">
    <w:name w:val="project"/>
    <w:basedOn w:val="DefaultParagraphFont"/>
  </w:style>
  <w:style w:type="character" w:customStyle="1" w:styleId="CharCharCharCharCharCharCharCharCharCharCharCharCharCharCharCharCharCharCharCharCharCharChar">
    <w:name w:val="Char Char Char Char Char Char Char Char Char Char Char Char Char Char Char Char Char Char Char Char Char Char Char"/>
    <w:aliases w:val=" Char Char Char Char Char Char Char Char Char Char Char Char Char Char Char Char Char Char Char Char Char Char1, Char1 Char"/>
    <w:rPr>
      <w:rFonts w:ascii="Verdana" w:hAnsi="Verdana"/>
      <w:lang w:val="en-GB" w:eastAsia="en-US" w:bidi="ar-SA"/>
    </w:rPr>
  </w:style>
  <w:style w:type="character" w:customStyle="1" w:styleId="CharChar3">
    <w:name w:val="Char Char3"/>
    <w:semiHidden/>
    <w:rPr>
      <w:rFonts w:ascii="Garamond" w:hAnsi="Garamond"/>
      <w:lang w:val="en-GB" w:eastAsia="en-US" w:bidi="ar-SA"/>
    </w:rPr>
  </w:style>
  <w:style w:type="character" w:customStyle="1" w:styleId="TableTextChar0">
    <w:name w:val="Table Text Char"/>
    <w:rPr>
      <w:rFonts w:ascii="Garamond" w:hAnsi="Garamond"/>
      <w:sz w:val="22"/>
      <w:szCs w:val="22"/>
      <w:lang w:val="en-GB" w:eastAsia="en-US" w:bidi="ar-SA"/>
    </w:rPr>
  </w:style>
  <w:style w:type="character" w:customStyle="1" w:styleId="TitleChar">
    <w:name w:val="Title Char"/>
    <w:rPr>
      <w:rFonts w:ascii="Garamond" w:hAnsi="Garamond" w:cs="Arial"/>
      <w:bCs/>
      <w:color w:val="4F2D7F"/>
      <w:kern w:val="28"/>
      <w:sz w:val="40"/>
      <w:szCs w:val="32"/>
      <w:lang w:val="en-GB" w:eastAsia="en-US" w:bidi="ar-SA"/>
    </w:rPr>
  </w:style>
  <w:style w:type="paragraph" w:customStyle="1" w:styleId="MarginBulletWhite">
    <w:name w:val="Margin Bullet White"/>
    <w:basedOn w:val="Normal"/>
    <w:pPr>
      <w:numPr>
        <w:numId w:val="12"/>
      </w:numPr>
      <w:spacing w:before="0" w:after="0" w:line="220" w:lineRule="exact"/>
    </w:pPr>
    <w:rPr>
      <w:rFonts w:ascii="Arial" w:hAnsi="Arial" w:cs="Garamond"/>
      <w:color w:val="FFFFFF"/>
      <w:sz w:val="16"/>
      <w:szCs w:val="16"/>
    </w:rPr>
  </w:style>
  <w:style w:type="paragraph" w:customStyle="1" w:styleId="SectionTitle">
    <w:name w:val="Section Title"/>
    <w:basedOn w:val="Normal"/>
    <w:next w:val="Normal"/>
    <w:pPr>
      <w:pageBreakBefore/>
      <w:spacing w:before="0" w:after="1400"/>
    </w:pPr>
    <w:rPr>
      <w:sz w:val="40"/>
    </w:rPr>
  </w:style>
  <w:style w:type="paragraph" w:customStyle="1" w:styleId="MarginNotesBlack">
    <w:name w:val="Margin Notes Black"/>
    <w:basedOn w:val="Normal"/>
    <w:pPr>
      <w:spacing w:before="0" w:after="0" w:line="220" w:lineRule="exact"/>
    </w:pPr>
    <w:rPr>
      <w:rFonts w:ascii="Arial" w:hAnsi="Arial" w:cs="Garamond"/>
      <w:sz w:val="16"/>
    </w:rPr>
  </w:style>
  <w:style w:type="paragraph" w:customStyle="1" w:styleId="Backpage">
    <w:name w:val="Back page"/>
    <w:rPr>
      <w:rFonts w:ascii="Arial Black" w:hAnsi="Arial Black" w:cs="Arial"/>
      <w:sz w:val="18"/>
      <w:lang w:eastAsia="en-US"/>
    </w:rPr>
  </w:style>
  <w:style w:type="paragraph" w:customStyle="1" w:styleId="Copyright">
    <w:name w:val="Copyright"/>
    <w:pPr>
      <w:spacing w:line="220" w:lineRule="atLeast"/>
    </w:pPr>
    <w:rPr>
      <w:rFonts w:ascii="Garamond" w:hAnsi="Garamond" w:cs="Arial"/>
      <w:lang w:eastAsia="en-US"/>
    </w:rPr>
  </w:style>
  <w:style w:type="paragraph" w:customStyle="1" w:styleId="FinalPage">
    <w:name w:val="Final Page"/>
    <w:basedOn w:val="Normal"/>
    <w:pPr>
      <w:spacing w:before="0" w:after="0" w:line="180" w:lineRule="exact"/>
    </w:pPr>
    <w:rPr>
      <w:rFonts w:ascii="Arial" w:hAnsi="Arial"/>
      <w:sz w:val="12"/>
      <w:szCs w:val="16"/>
      <w:lang w:eastAsia="en-GB"/>
    </w:rPr>
  </w:style>
  <w:style w:type="paragraph" w:customStyle="1" w:styleId="MarginBulletBlack">
    <w:name w:val="Margin Bullet Black"/>
    <w:basedOn w:val="MarginNotesBlack"/>
    <w:pPr>
      <w:numPr>
        <w:numId w:val="13"/>
      </w:numPr>
    </w:pPr>
  </w:style>
  <w:style w:type="paragraph" w:customStyle="1" w:styleId="MarginNotesWhite">
    <w:name w:val="Margin Notes White"/>
    <w:basedOn w:val="Normal"/>
    <w:pPr>
      <w:spacing w:before="0" w:after="0" w:line="220" w:lineRule="exact"/>
    </w:pPr>
    <w:rPr>
      <w:rFonts w:ascii="Arial" w:hAnsi="Arial" w:cs="Garamond"/>
      <w:color w:val="FFFFFF"/>
      <w:sz w:val="16"/>
      <w:szCs w:val="16"/>
    </w:rPr>
  </w:style>
  <w:style w:type="paragraph" w:customStyle="1" w:styleId="MarginHeadingBlack">
    <w:name w:val="Margin Heading Black"/>
    <w:basedOn w:val="Normal"/>
    <w:pPr>
      <w:spacing w:before="0" w:after="0" w:line="320" w:lineRule="exact"/>
    </w:pPr>
    <w:rPr>
      <w:rFonts w:ascii="Arial Black" w:hAnsi="Arial Black" w:cs="Garamond"/>
      <w:sz w:val="16"/>
    </w:rPr>
  </w:style>
  <w:style w:type="paragraph" w:customStyle="1" w:styleId="MarginHeadingWhite">
    <w:name w:val="Margin Heading White"/>
    <w:basedOn w:val="Normal"/>
    <w:pPr>
      <w:spacing w:before="0" w:after="0" w:line="320" w:lineRule="exact"/>
    </w:pPr>
    <w:rPr>
      <w:rFonts w:ascii="Arial Black" w:hAnsi="Arial Black" w:cs="Garamond"/>
      <w:color w:val="FFFFFF"/>
      <w:sz w:val="16"/>
    </w:rPr>
  </w:style>
  <w:style w:type="paragraph" w:customStyle="1" w:styleId="Bullet1">
    <w:name w:val="Bullet 1"/>
    <w:basedOn w:val="Normal"/>
    <w:uiPriority w:val="99"/>
    <w:pPr>
      <w:numPr>
        <w:numId w:val="14"/>
      </w:numPr>
      <w:spacing w:before="0" w:after="0"/>
    </w:pPr>
  </w:style>
  <w:style w:type="character" w:styleId="HTMLAcronym">
    <w:name w:val="HTML Acronym"/>
    <w:basedOn w:val="DefaultParagraphFont"/>
  </w:style>
  <w:style w:type="paragraph" w:customStyle="1" w:styleId="Bulleti">
    <w:name w:val="Bullet i"/>
    <w:basedOn w:val="Normal"/>
    <w:pPr>
      <w:tabs>
        <w:tab w:val="left" w:pos="454"/>
      </w:tabs>
      <w:spacing w:before="0" w:after="0"/>
    </w:pPr>
  </w:style>
  <w:style w:type="character" w:styleId="FollowedHyperlink">
    <w:name w:val="FollowedHyperlink"/>
    <w:rPr>
      <w:color w:val="800080"/>
      <w:u w:val="single"/>
    </w:rPr>
  </w:style>
  <w:style w:type="character" w:customStyle="1" w:styleId="Bullet1Char">
    <w:name w:val="Bullet 1 Char"/>
    <w:rPr>
      <w:rFonts w:ascii="Garamond" w:hAnsi="Garamond"/>
      <w:sz w:val="22"/>
      <w:szCs w:val="24"/>
      <w:lang w:val="en-GB" w:eastAsia="en-US" w:bidi="ar-SA"/>
    </w:rPr>
  </w:style>
  <w:style w:type="character" w:customStyle="1" w:styleId="FootnoteTextChar">
    <w:name w:val="Footnote Text Char"/>
    <w:uiPriority w:val="99"/>
    <w:locked/>
    <w:rPr>
      <w:rFonts w:ascii="Arial" w:hAnsi="Arial"/>
      <w:sz w:val="18"/>
      <w:lang w:val="en-GB" w:eastAsia="en-GB" w:bidi="ar-SA"/>
    </w:rPr>
  </w:style>
  <w:style w:type="paragraph" w:styleId="ListBullet2">
    <w:name w:val="List Bullet 2"/>
    <w:basedOn w:val="Normal"/>
    <w:pPr>
      <w:numPr>
        <w:numId w:val="15"/>
      </w:numPr>
      <w:spacing w:before="0" w:after="284"/>
    </w:pPr>
  </w:style>
  <w:style w:type="paragraph" w:customStyle="1" w:styleId="tabletext1">
    <w:name w:val="tabletext"/>
    <w:basedOn w:val="Normal"/>
    <w:pPr>
      <w:spacing w:before="0" w:after="0"/>
      <w:ind w:right="142"/>
      <w:jc w:val="both"/>
    </w:pPr>
    <w:rPr>
      <w:sz w:val="24"/>
      <w:lang w:val="en-US"/>
    </w:rPr>
  </w:style>
  <w:style w:type="paragraph" w:customStyle="1" w:styleId="BodyTextnumbered">
    <w:name w:val="Body Text (numbered)"/>
    <w:basedOn w:val="BodyText"/>
    <w:pPr>
      <w:numPr>
        <w:numId w:val="16"/>
      </w:numPr>
      <w:spacing w:before="0" w:after="240" w:line="288" w:lineRule="auto"/>
    </w:pPr>
    <w:rPr>
      <w:rFonts w:ascii="Arial" w:hAnsi="Arial"/>
      <w:sz w:val="24"/>
      <w:lang w:eastAsia="en-GB"/>
    </w:rPr>
  </w:style>
  <w:style w:type="character" w:styleId="EndnoteReference">
    <w:name w:val="endnote reference"/>
    <w:semiHidden/>
    <w:rPr>
      <w:rFonts w:cs="Arial"/>
      <w:color w:val="000000"/>
    </w:rPr>
  </w:style>
  <w:style w:type="character" w:customStyle="1" w:styleId="BodyTextChar">
    <w:name w:val="Body Text Char"/>
    <w:rPr>
      <w:rFonts w:ascii="Garamond" w:hAnsi="Garamond"/>
      <w:sz w:val="22"/>
      <w:szCs w:val="24"/>
      <w:lang w:val="en-GB" w:eastAsia="en-US" w:bidi="ar-SA"/>
    </w:rPr>
  </w:style>
  <w:style w:type="table" w:styleId="TableGrid">
    <w:name w:val="Table Grid"/>
    <w:basedOn w:val="TableNormal"/>
    <w:rsid w:val="001F7958"/>
    <w:pPr>
      <w:spacing w:after="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itlelevel1">
    <w:name w:val="Title level 1"/>
    <w:rsid w:val="001F7958"/>
    <w:pPr>
      <w:numPr>
        <w:numId w:val="17"/>
      </w:numPr>
    </w:pPr>
  </w:style>
  <w:style w:type="character" w:customStyle="1" w:styleId="ECOTEC">
    <w:name w:val="ECOTEC"/>
    <w:semiHidden/>
    <w:rsid w:val="001F7958"/>
    <w:rPr>
      <w:rFonts w:ascii="Arial" w:hAnsi="Arial" w:cs="Arial"/>
      <w:color w:val="000080"/>
      <w:sz w:val="20"/>
      <w:szCs w:val="20"/>
    </w:rPr>
  </w:style>
  <w:style w:type="paragraph" w:customStyle="1" w:styleId="msolistparagraph0">
    <w:name w:val="msolistparagraph"/>
    <w:basedOn w:val="Normal"/>
    <w:rsid w:val="001F7958"/>
    <w:pPr>
      <w:spacing w:before="0" w:after="0"/>
      <w:ind w:left="720"/>
    </w:pPr>
    <w:rPr>
      <w:rFonts w:ascii="Times New Roman" w:hAnsi="Times New Roman"/>
      <w:sz w:val="24"/>
      <w:lang w:val="en-US"/>
    </w:rPr>
  </w:style>
  <w:style w:type="character" w:customStyle="1" w:styleId="saritabhatia">
    <w:name w:val="saritabhatia"/>
    <w:semiHidden/>
    <w:rsid w:val="001F7958"/>
    <w:rPr>
      <w:rFonts w:ascii="Arial" w:hAnsi="Arial" w:cs="Arial"/>
      <w:color w:val="auto"/>
      <w:sz w:val="20"/>
      <w:szCs w:val="20"/>
    </w:rPr>
  </w:style>
  <w:style w:type="paragraph" w:customStyle="1" w:styleId="bulletone0">
    <w:name w:val="bulletone"/>
    <w:basedOn w:val="Normal"/>
    <w:rsid w:val="00E14AC8"/>
    <w:pPr>
      <w:tabs>
        <w:tab w:val="num" w:pos="1420"/>
      </w:tabs>
      <w:spacing w:before="0" w:after="120"/>
      <w:ind w:left="357" w:hanging="357"/>
    </w:pPr>
    <w:rPr>
      <w:szCs w:val="22"/>
      <w:lang w:val="en-US"/>
    </w:rPr>
  </w:style>
  <w:style w:type="paragraph" w:styleId="Revision">
    <w:name w:val="Revision"/>
    <w:hidden/>
    <w:uiPriority w:val="99"/>
    <w:semiHidden/>
    <w:rsid w:val="007D3BCE"/>
    <w:rPr>
      <w:rFonts w:ascii="Garamond" w:hAnsi="Garamond"/>
      <w:sz w:val="22"/>
      <w:szCs w:val="24"/>
      <w:lang w:eastAsia="en-US"/>
    </w:rPr>
  </w:style>
  <w:style w:type="character" w:customStyle="1" w:styleId="BulletOneChar1">
    <w:name w:val="BulletOne Char1"/>
    <w:link w:val="BulletOne"/>
    <w:uiPriority w:val="99"/>
    <w:rsid w:val="00DB6D75"/>
    <w:rPr>
      <w:rFonts w:ascii="Garamond" w:hAnsi="Garamond"/>
      <w:sz w:val="22"/>
      <w:szCs w:val="24"/>
      <w:lang w:eastAsia="en-US"/>
    </w:rPr>
  </w:style>
  <w:style w:type="paragraph" w:styleId="TOCHeading">
    <w:name w:val="TOC Heading"/>
    <w:basedOn w:val="Heading1"/>
    <w:next w:val="Normal"/>
    <w:uiPriority w:val="39"/>
    <w:unhideWhenUsed/>
    <w:qFormat/>
    <w:rsid w:val="00A6450A"/>
    <w:pPr>
      <w:keepLines/>
      <w:pageBreakBefore w:val="0"/>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character" w:customStyle="1" w:styleId="Heading1Char">
    <w:name w:val="Heading 1 Char"/>
    <w:basedOn w:val="DefaultParagraphFont"/>
    <w:link w:val="Heading1"/>
    <w:uiPriority w:val="99"/>
    <w:locked/>
    <w:rsid w:val="00331F0C"/>
    <w:rPr>
      <w:rFonts w:ascii="Garamond" w:hAnsi="Garamond" w:cs="Arial"/>
      <w:bCs/>
      <w:color w:val="4F2D7F"/>
      <w:kern w:val="32"/>
      <w:sz w:val="40"/>
      <w:szCs w:val="21"/>
      <w:lang w:eastAsia="en-US"/>
    </w:rPr>
  </w:style>
  <w:style w:type="paragraph" w:customStyle="1" w:styleId="GrantThornton">
    <w:name w:val="Grant Thornton"/>
    <w:basedOn w:val="BodyText"/>
    <w:link w:val="GrantThorntonChar"/>
    <w:uiPriority w:val="99"/>
    <w:rsid w:val="006051C0"/>
    <w:rPr>
      <w:sz w:val="24"/>
      <w:szCs w:val="20"/>
      <w:lang w:val="en-US"/>
    </w:rPr>
  </w:style>
  <w:style w:type="character" w:customStyle="1" w:styleId="GrantThorntonChar">
    <w:name w:val="Grant Thornton Char"/>
    <w:link w:val="GrantThornton"/>
    <w:uiPriority w:val="99"/>
    <w:locked/>
    <w:rsid w:val="006051C0"/>
    <w:rPr>
      <w:rFonts w:ascii="Garamond" w:hAnsi="Garamond"/>
      <w:sz w:val="24"/>
      <w:lang w:val="en-US" w:eastAsia="en-US"/>
    </w:rPr>
  </w:style>
  <w:style w:type="character" w:customStyle="1" w:styleId="CommentTextChar">
    <w:name w:val="Comment Text Char"/>
    <w:basedOn w:val="DefaultParagraphFont"/>
    <w:link w:val="CommentText"/>
    <w:uiPriority w:val="99"/>
    <w:semiHidden/>
    <w:locked/>
    <w:rsid w:val="002C7D43"/>
    <w:rPr>
      <w:rFonts w:ascii="Garamond" w:hAnsi="Garamond"/>
      <w:lang w:eastAsia="en-US"/>
    </w:rPr>
  </w:style>
  <w:style w:type="character" w:customStyle="1" w:styleId="tt2">
    <w:name w:val="tt2"/>
    <w:basedOn w:val="DefaultParagraphFont"/>
    <w:uiPriority w:val="99"/>
    <w:rsid w:val="000779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8946">
      <w:bodyDiv w:val="1"/>
      <w:marLeft w:val="0"/>
      <w:marRight w:val="0"/>
      <w:marTop w:val="0"/>
      <w:marBottom w:val="0"/>
      <w:divBdr>
        <w:top w:val="none" w:sz="0" w:space="0" w:color="auto"/>
        <w:left w:val="none" w:sz="0" w:space="0" w:color="auto"/>
        <w:bottom w:val="none" w:sz="0" w:space="0" w:color="auto"/>
        <w:right w:val="none" w:sz="0" w:space="0" w:color="auto"/>
      </w:divBdr>
    </w:div>
    <w:div w:id="442924345">
      <w:bodyDiv w:val="1"/>
      <w:marLeft w:val="0"/>
      <w:marRight w:val="0"/>
      <w:marTop w:val="0"/>
      <w:marBottom w:val="0"/>
      <w:divBdr>
        <w:top w:val="none" w:sz="0" w:space="0" w:color="auto"/>
        <w:left w:val="none" w:sz="0" w:space="0" w:color="auto"/>
        <w:bottom w:val="none" w:sz="0" w:space="0" w:color="auto"/>
        <w:right w:val="none" w:sz="0" w:space="0" w:color="auto"/>
      </w:divBdr>
    </w:div>
    <w:div w:id="599263034">
      <w:bodyDiv w:val="1"/>
      <w:marLeft w:val="0"/>
      <w:marRight w:val="0"/>
      <w:marTop w:val="0"/>
      <w:marBottom w:val="0"/>
      <w:divBdr>
        <w:top w:val="none" w:sz="0" w:space="0" w:color="auto"/>
        <w:left w:val="none" w:sz="0" w:space="0" w:color="auto"/>
        <w:bottom w:val="none" w:sz="0" w:space="0" w:color="auto"/>
        <w:right w:val="none" w:sz="0" w:space="0" w:color="auto"/>
      </w:divBdr>
    </w:div>
    <w:div w:id="757946202">
      <w:bodyDiv w:val="1"/>
      <w:marLeft w:val="0"/>
      <w:marRight w:val="0"/>
      <w:marTop w:val="0"/>
      <w:marBottom w:val="0"/>
      <w:divBdr>
        <w:top w:val="none" w:sz="0" w:space="0" w:color="auto"/>
        <w:left w:val="none" w:sz="0" w:space="0" w:color="auto"/>
        <w:bottom w:val="none" w:sz="0" w:space="0" w:color="auto"/>
        <w:right w:val="none" w:sz="0" w:space="0" w:color="auto"/>
      </w:divBdr>
    </w:div>
    <w:div w:id="1186871704">
      <w:bodyDiv w:val="1"/>
      <w:marLeft w:val="0"/>
      <w:marRight w:val="0"/>
      <w:marTop w:val="0"/>
      <w:marBottom w:val="0"/>
      <w:divBdr>
        <w:top w:val="none" w:sz="0" w:space="0" w:color="auto"/>
        <w:left w:val="none" w:sz="0" w:space="0" w:color="auto"/>
        <w:bottom w:val="none" w:sz="0" w:space="0" w:color="auto"/>
        <w:right w:val="none" w:sz="0" w:space="0" w:color="auto"/>
      </w:divBdr>
    </w:div>
    <w:div w:id="1334383461">
      <w:bodyDiv w:val="1"/>
      <w:marLeft w:val="0"/>
      <w:marRight w:val="0"/>
      <w:marTop w:val="0"/>
      <w:marBottom w:val="0"/>
      <w:divBdr>
        <w:top w:val="none" w:sz="0" w:space="0" w:color="auto"/>
        <w:left w:val="none" w:sz="0" w:space="0" w:color="auto"/>
        <w:bottom w:val="none" w:sz="0" w:space="0" w:color="auto"/>
        <w:right w:val="none" w:sz="0" w:space="0" w:color="auto"/>
      </w:divBdr>
    </w:div>
    <w:div w:id="1413696938">
      <w:bodyDiv w:val="1"/>
      <w:marLeft w:val="0"/>
      <w:marRight w:val="0"/>
      <w:marTop w:val="0"/>
      <w:marBottom w:val="0"/>
      <w:divBdr>
        <w:top w:val="none" w:sz="0" w:space="0" w:color="auto"/>
        <w:left w:val="none" w:sz="0" w:space="0" w:color="auto"/>
        <w:bottom w:val="none" w:sz="0" w:space="0" w:color="auto"/>
        <w:right w:val="none" w:sz="0" w:space="0" w:color="auto"/>
      </w:divBdr>
    </w:div>
    <w:div w:id="1688600965">
      <w:bodyDiv w:val="1"/>
      <w:marLeft w:val="0"/>
      <w:marRight w:val="0"/>
      <w:marTop w:val="0"/>
      <w:marBottom w:val="0"/>
      <w:divBdr>
        <w:top w:val="none" w:sz="0" w:space="0" w:color="auto"/>
        <w:left w:val="none" w:sz="0" w:space="0" w:color="auto"/>
        <w:bottom w:val="none" w:sz="0" w:space="0" w:color="auto"/>
        <w:right w:val="none" w:sz="0" w:space="0" w:color="auto"/>
      </w:divBdr>
    </w:div>
    <w:div w:id="18659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ondon2012.com/about-us/cultural-olympiad/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Build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632B-7E60-46CE-BA44-85B84A23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BuildReport.dot</Template>
  <TotalTime>11</TotalTime>
  <Pages>1</Pages>
  <Words>12959</Words>
  <Characters>73867</Characters>
  <Application>Microsoft Office Word</Application>
  <DocSecurity>8</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86653</CharactersWithSpaces>
  <SharedDoc>false</SharedDoc>
  <HLinks>
    <vt:vector size="42" baseType="variant">
      <vt:variant>
        <vt:i4>1179704</vt:i4>
      </vt:variant>
      <vt:variant>
        <vt:i4>38</vt:i4>
      </vt:variant>
      <vt:variant>
        <vt:i4>0</vt:i4>
      </vt:variant>
      <vt:variant>
        <vt:i4>5</vt:i4>
      </vt:variant>
      <vt:variant>
        <vt:lpwstr/>
      </vt:variant>
      <vt:variant>
        <vt:lpwstr>_Toc313884083</vt:lpwstr>
      </vt:variant>
      <vt:variant>
        <vt:i4>1179704</vt:i4>
      </vt:variant>
      <vt:variant>
        <vt:i4>32</vt:i4>
      </vt:variant>
      <vt:variant>
        <vt:i4>0</vt:i4>
      </vt:variant>
      <vt:variant>
        <vt:i4>5</vt:i4>
      </vt:variant>
      <vt:variant>
        <vt:lpwstr/>
      </vt:variant>
      <vt:variant>
        <vt:lpwstr>_Toc313884082</vt:lpwstr>
      </vt:variant>
      <vt:variant>
        <vt:i4>1179704</vt:i4>
      </vt:variant>
      <vt:variant>
        <vt:i4>26</vt:i4>
      </vt:variant>
      <vt:variant>
        <vt:i4>0</vt:i4>
      </vt:variant>
      <vt:variant>
        <vt:i4>5</vt:i4>
      </vt:variant>
      <vt:variant>
        <vt:lpwstr/>
      </vt:variant>
      <vt:variant>
        <vt:lpwstr>_Toc313884081</vt:lpwstr>
      </vt:variant>
      <vt:variant>
        <vt:i4>1179704</vt:i4>
      </vt:variant>
      <vt:variant>
        <vt:i4>20</vt:i4>
      </vt:variant>
      <vt:variant>
        <vt:i4>0</vt:i4>
      </vt:variant>
      <vt:variant>
        <vt:i4>5</vt:i4>
      </vt:variant>
      <vt:variant>
        <vt:lpwstr/>
      </vt:variant>
      <vt:variant>
        <vt:lpwstr>_Toc313884080</vt:lpwstr>
      </vt:variant>
      <vt:variant>
        <vt:i4>1900600</vt:i4>
      </vt:variant>
      <vt:variant>
        <vt:i4>14</vt:i4>
      </vt:variant>
      <vt:variant>
        <vt:i4>0</vt:i4>
      </vt:variant>
      <vt:variant>
        <vt:i4>5</vt:i4>
      </vt:variant>
      <vt:variant>
        <vt:lpwstr/>
      </vt:variant>
      <vt:variant>
        <vt:lpwstr>_Toc313884079</vt:lpwstr>
      </vt:variant>
      <vt:variant>
        <vt:i4>1900600</vt:i4>
      </vt:variant>
      <vt:variant>
        <vt:i4>8</vt:i4>
      </vt:variant>
      <vt:variant>
        <vt:i4>0</vt:i4>
      </vt:variant>
      <vt:variant>
        <vt:i4>5</vt:i4>
      </vt:variant>
      <vt:variant>
        <vt:lpwstr/>
      </vt:variant>
      <vt:variant>
        <vt:lpwstr>_Toc313884078</vt:lpwstr>
      </vt:variant>
      <vt:variant>
        <vt:i4>1900600</vt:i4>
      </vt:variant>
      <vt:variant>
        <vt:i4>2</vt:i4>
      </vt:variant>
      <vt:variant>
        <vt:i4>0</vt:i4>
      </vt:variant>
      <vt:variant>
        <vt:i4>5</vt:i4>
      </vt:variant>
      <vt:variant>
        <vt:lpwstr/>
      </vt:variant>
      <vt:variant>
        <vt:lpwstr>_Toc313884077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GTUSER</dc:creator>
  <cp:lastModifiedBy>GRAYSON, Andy</cp:lastModifiedBy>
  <cp:revision>5</cp:revision>
  <cp:lastPrinted>2012-10-24T11:10:00Z</cp:lastPrinted>
  <dcterms:created xsi:type="dcterms:W3CDTF">2012-10-24T11:12:00Z</dcterms:created>
  <dcterms:modified xsi:type="dcterms:W3CDTF">2013-07-18T00:03:00Z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AddGTOffice">
    <vt:bool>true</vt:bool>
  </property>
  <property fmtid="{D5CDD505-2E9C-101B-9397-08002B2CF9AE}" pid="4" name="GT Date">
    <vt:filetime>2010-02-18T00:00:00Z</vt:filetime>
  </property>
</Properties>
</file>