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18" w:rsidRPr="00717862" w:rsidRDefault="006B6209">
      <w:pPr>
        <w:rPr>
          <w:rFonts w:ascii="Arial" w:hAnsi="Arial" w:cs="Arial"/>
          <w:b/>
          <w:bCs/>
          <w:noProof/>
          <w:color w:val="000000"/>
          <w:sz w:val="24"/>
          <w:szCs w:val="24"/>
        </w:rPr>
      </w:pPr>
      <w:r>
        <w:rPr>
          <w:noProof/>
        </w:rPr>
        <w:pict w14:anchorId="2D0821EE">
          <v:shapetype id="_x0000_t202" coordsize="21600,21600" o:spt="202" path="m,l,21600r21600,l21600,xe">
            <v:stroke joinstyle="miter"/>
            <v:path gradientshapeok="t" o:connecttype="rect"/>
          </v:shapetype>
          <v:shape id="Text Box 3" o:spid="_x0000_s1026" type="#_x0000_t202" style="position:absolute;margin-left:7.15pt;margin-top:209.85pt;width:488.65pt;height:521.4pt;z-index:-251659264;visibility:visible" filled="f">
            <v:textbox>
              <w:txbxContent>
                <w:p w:rsidR="007A4C18" w:rsidRPr="002A1CFB" w:rsidRDefault="007A4C18" w:rsidP="00983B09">
                  <w:pPr>
                    <w:pStyle w:val="CoverDocumentTitle"/>
                    <w:rPr>
                      <w:sz w:val="48"/>
                      <w:szCs w:val="48"/>
                    </w:rPr>
                  </w:pPr>
                  <w:r>
                    <w:rPr>
                      <w:sz w:val="48"/>
                      <w:szCs w:val="48"/>
                    </w:rPr>
                    <w:t>Government response to</w:t>
                  </w:r>
                  <w:r w:rsidRPr="002A1CFB">
                    <w:rPr>
                      <w:sz w:val="48"/>
                      <w:szCs w:val="48"/>
                    </w:rPr>
                    <w:t xml:space="preserve"> the </w:t>
                  </w:r>
                  <w:r>
                    <w:rPr>
                      <w:sz w:val="48"/>
                      <w:szCs w:val="48"/>
                    </w:rPr>
                    <w:t>public c</w:t>
                  </w:r>
                  <w:r w:rsidRPr="002A1CFB">
                    <w:rPr>
                      <w:sz w:val="48"/>
                      <w:szCs w:val="48"/>
                    </w:rPr>
                    <w:t xml:space="preserve">onsultation on the </w:t>
                  </w:r>
                  <w:r>
                    <w:rPr>
                      <w:sz w:val="48"/>
                      <w:szCs w:val="48"/>
                    </w:rPr>
                    <w:t>proposed t</w:t>
                  </w:r>
                  <w:r w:rsidRPr="009A7405">
                    <w:rPr>
                      <w:sz w:val="48"/>
                      <w:szCs w:val="48"/>
                    </w:rPr>
                    <w:t>ransfer of the Public Lending Right functions from the existing public body</w:t>
                  </w:r>
                </w:p>
                <w:p w:rsidR="007A4C18" w:rsidRDefault="007A4C18" w:rsidP="00983B09">
                  <w:pPr>
                    <w:pStyle w:val="CoverDate"/>
                  </w:pPr>
                </w:p>
                <w:p w:rsidR="007A4C18" w:rsidRDefault="007A4C18" w:rsidP="005C47A1">
                  <w:pPr>
                    <w:pStyle w:val="CoverDate"/>
                    <w:ind w:firstLine="454"/>
                  </w:pPr>
                </w:p>
                <w:p w:rsidR="007A4C18" w:rsidRDefault="007A4C18" w:rsidP="005C47A1">
                  <w:pPr>
                    <w:pStyle w:val="CoverDate"/>
                  </w:pPr>
                </w:p>
                <w:p w:rsidR="007A4C18" w:rsidRDefault="007A4C18" w:rsidP="005C47A1">
                  <w:pPr>
                    <w:pStyle w:val="CoverDate"/>
                  </w:pPr>
                </w:p>
                <w:p w:rsidR="007A4C18" w:rsidRDefault="007A4C18" w:rsidP="005C47A1">
                  <w:pPr>
                    <w:pStyle w:val="CoverDate"/>
                  </w:pPr>
                </w:p>
                <w:p w:rsidR="007A4C18" w:rsidRDefault="007A4C18" w:rsidP="005C47A1">
                  <w:pPr>
                    <w:pStyle w:val="CoverDate"/>
                  </w:pPr>
                </w:p>
                <w:p w:rsidR="007A4C18" w:rsidRDefault="007A4C18" w:rsidP="005C47A1">
                  <w:pPr>
                    <w:pStyle w:val="CoverDate"/>
                  </w:pPr>
                </w:p>
                <w:p w:rsidR="007A4C18" w:rsidRDefault="007A4C18" w:rsidP="005C47A1">
                  <w:pPr>
                    <w:pStyle w:val="CoverDate"/>
                  </w:pPr>
                </w:p>
                <w:p w:rsidR="007A4C18" w:rsidRDefault="007A4C18" w:rsidP="005C47A1">
                  <w:pPr>
                    <w:pStyle w:val="CoverDate"/>
                  </w:pPr>
                </w:p>
                <w:p w:rsidR="007A4C18" w:rsidRDefault="007A4C18" w:rsidP="005C47A1">
                  <w:pPr>
                    <w:pStyle w:val="CoverDate"/>
                  </w:pPr>
                </w:p>
                <w:p w:rsidR="007A4C18" w:rsidRDefault="007A4C18" w:rsidP="005C47A1">
                  <w:pPr>
                    <w:pStyle w:val="CoverDate"/>
                  </w:pPr>
                </w:p>
                <w:p w:rsidR="007A4C18" w:rsidRDefault="007A4C18" w:rsidP="005C47A1">
                  <w:pPr>
                    <w:pStyle w:val="CoverDate"/>
                  </w:pPr>
                </w:p>
                <w:p w:rsidR="007A4C18" w:rsidRDefault="007A4C18" w:rsidP="005C47A1">
                  <w:pPr>
                    <w:pStyle w:val="CoverDate"/>
                  </w:pPr>
                  <w:r>
                    <w:t xml:space="preserve">  </w:t>
                  </w:r>
                </w:p>
                <w:p w:rsidR="007A4C18" w:rsidRDefault="007A4C18" w:rsidP="005C47A1">
                  <w:pPr>
                    <w:pStyle w:val="CoverDate"/>
                  </w:pPr>
                </w:p>
                <w:p w:rsidR="007A4C18" w:rsidRDefault="007A4C18" w:rsidP="005C47A1">
                  <w:pPr>
                    <w:pStyle w:val="CoverDate"/>
                  </w:pPr>
                </w:p>
                <w:p w:rsidR="007A4C18" w:rsidRDefault="007A4C18" w:rsidP="005C47A1">
                  <w:pPr>
                    <w:pStyle w:val="CoverDate"/>
                  </w:pPr>
                </w:p>
                <w:p w:rsidR="007A4C18" w:rsidRPr="002A1CFB" w:rsidRDefault="006B6209" w:rsidP="005C47A1">
                  <w:pPr>
                    <w:pStyle w:val="CoverDate"/>
                    <w:jc w:val="right"/>
                    <w:rPr>
                      <w:b/>
                    </w:rPr>
                  </w:pPr>
                  <w:r>
                    <w:rPr>
                      <w:b/>
                      <w:noProof/>
                    </w:rPr>
                    <w:pict w14:anchorId="2D082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61.95pt;height:62.9pt;visibility:visible">
                        <v:imagedata r:id="rId8" o:title=""/>
                      </v:shape>
                    </w:pict>
                  </w:r>
                </w:p>
              </w:txbxContent>
            </v:textbox>
          </v:shape>
        </w:pict>
      </w:r>
      <w:r>
        <w:rPr>
          <w:noProof/>
        </w:rPr>
        <w:pict w14:anchorId="2D0821EF">
          <v:shape id="Picture 2" o:spid="_x0000_s1027" type="#_x0000_t75" alt="Description: Description: Description: Description: Description: Description: Description: dcms gif logo" style="position:absolute;margin-left:-28.55pt;margin-top:-18.05pt;width:122.8pt;height:145.3pt;z-index:251656192;visibility:visible">
            <v:imagedata r:id="rId9" o:title=""/>
          </v:shape>
        </w:pict>
      </w:r>
      <w:r w:rsidR="007A4C18" w:rsidRPr="00717862">
        <w:rPr>
          <w:rFonts w:ascii="Arial" w:hAnsi="Arial" w:cs="Arial"/>
          <w:b/>
          <w:bCs/>
          <w:noProof/>
          <w:color w:val="000000"/>
          <w:sz w:val="24"/>
          <w:szCs w:val="24"/>
        </w:rPr>
        <w:br w:type="page"/>
      </w:r>
    </w:p>
    <w:p w:rsidR="007A4C18" w:rsidRPr="00717862" w:rsidRDefault="007A4C18" w:rsidP="003F59BA">
      <w:pPr>
        <w:pStyle w:val="TOCHeading"/>
        <w:rPr>
          <w:rFonts w:ascii="Arial" w:hAnsi="Arial" w:cs="Arial"/>
          <w:color w:val="auto"/>
          <w:sz w:val="24"/>
          <w:szCs w:val="24"/>
          <w:lang w:val="en-GB" w:eastAsia="en-GB"/>
        </w:rPr>
      </w:pPr>
      <w:r w:rsidRPr="00717862">
        <w:rPr>
          <w:rFonts w:ascii="Arial" w:hAnsi="Arial" w:cs="Arial"/>
          <w:color w:val="auto"/>
          <w:sz w:val="24"/>
          <w:szCs w:val="24"/>
          <w:lang w:val="en-GB" w:eastAsia="en-GB"/>
        </w:rPr>
        <w:t>Contents</w:t>
      </w:r>
      <w:r w:rsidRPr="00717862">
        <w:rPr>
          <w:rFonts w:ascii="Arial" w:hAnsi="Arial" w:cs="Arial"/>
          <w:color w:val="auto"/>
          <w:sz w:val="24"/>
          <w:szCs w:val="24"/>
          <w:lang w:val="en-GB" w:eastAsia="en-GB"/>
        </w:rPr>
        <w:br/>
      </w:r>
    </w:p>
    <w:p w:rsidR="007A4C18" w:rsidRPr="00717862" w:rsidRDefault="007A4C18">
      <w:pPr>
        <w:pStyle w:val="TOC1"/>
        <w:tabs>
          <w:tab w:val="right" w:leader="dot" w:pos="9912"/>
        </w:tabs>
        <w:rPr>
          <w:rFonts w:ascii="Arial" w:hAnsi="Arial" w:cs="Arial"/>
          <w:noProof/>
          <w:sz w:val="24"/>
          <w:szCs w:val="24"/>
        </w:rPr>
      </w:pPr>
      <w:r w:rsidRPr="00717862">
        <w:rPr>
          <w:rFonts w:ascii="Arial" w:hAnsi="Arial" w:cs="Arial"/>
          <w:sz w:val="24"/>
          <w:szCs w:val="24"/>
        </w:rPr>
        <w:fldChar w:fldCharType="begin"/>
      </w:r>
      <w:r w:rsidRPr="00717862">
        <w:rPr>
          <w:rFonts w:ascii="Arial" w:hAnsi="Arial" w:cs="Arial"/>
          <w:sz w:val="24"/>
          <w:szCs w:val="24"/>
        </w:rPr>
        <w:instrText xml:space="preserve"> TOC \o "1-3" \h \z \u </w:instrText>
      </w:r>
      <w:r w:rsidRPr="00717862">
        <w:rPr>
          <w:rFonts w:ascii="Arial" w:hAnsi="Arial" w:cs="Arial"/>
          <w:sz w:val="24"/>
          <w:szCs w:val="24"/>
        </w:rPr>
        <w:fldChar w:fldCharType="separate"/>
      </w:r>
      <w:hyperlink w:anchor="_Toc336512009" w:history="1">
        <w:r w:rsidRPr="00717862">
          <w:rPr>
            <w:rStyle w:val="Hyperlink"/>
            <w:rFonts w:ascii="Arial" w:hAnsi="Arial" w:cs="Arial"/>
            <w:noProof/>
            <w:sz w:val="24"/>
            <w:szCs w:val="24"/>
          </w:rPr>
          <w:t>Introduction</w:t>
        </w:r>
        <w:r>
          <w:rPr>
            <w:rStyle w:val="Hyperlink"/>
            <w:rFonts w:ascii="Arial" w:hAnsi="Arial" w:cs="Arial"/>
            <w:noProof/>
            <w:sz w:val="24"/>
            <w:szCs w:val="24"/>
          </w:rPr>
          <w:t xml:space="preserve"> and executive summary</w:t>
        </w:r>
        <w:r w:rsidRPr="00717862">
          <w:rPr>
            <w:rFonts w:ascii="Arial" w:hAnsi="Arial" w:cs="Arial"/>
            <w:noProof/>
            <w:webHidden/>
            <w:sz w:val="24"/>
            <w:szCs w:val="24"/>
          </w:rPr>
          <w:tab/>
        </w:r>
        <w:r w:rsidRPr="00717862">
          <w:rPr>
            <w:rFonts w:ascii="Arial" w:hAnsi="Arial" w:cs="Arial"/>
            <w:noProof/>
            <w:webHidden/>
            <w:sz w:val="24"/>
            <w:szCs w:val="24"/>
          </w:rPr>
          <w:fldChar w:fldCharType="begin"/>
        </w:r>
        <w:r w:rsidRPr="00717862">
          <w:rPr>
            <w:rFonts w:ascii="Arial" w:hAnsi="Arial" w:cs="Arial"/>
            <w:noProof/>
            <w:webHidden/>
            <w:sz w:val="24"/>
            <w:szCs w:val="24"/>
          </w:rPr>
          <w:instrText xml:space="preserve"> PAGEREF _Toc336512009 \h </w:instrText>
        </w:r>
        <w:r w:rsidRPr="00717862">
          <w:rPr>
            <w:rFonts w:ascii="Arial" w:hAnsi="Arial" w:cs="Arial"/>
            <w:noProof/>
            <w:webHidden/>
            <w:sz w:val="24"/>
            <w:szCs w:val="24"/>
          </w:rPr>
        </w:r>
        <w:r w:rsidRPr="00717862">
          <w:rPr>
            <w:rFonts w:ascii="Arial" w:hAnsi="Arial" w:cs="Arial"/>
            <w:noProof/>
            <w:webHidden/>
            <w:sz w:val="24"/>
            <w:szCs w:val="24"/>
          </w:rPr>
          <w:fldChar w:fldCharType="separate"/>
        </w:r>
        <w:r w:rsidRPr="00717862">
          <w:rPr>
            <w:rFonts w:ascii="Arial" w:hAnsi="Arial" w:cs="Arial"/>
            <w:noProof/>
            <w:webHidden/>
            <w:sz w:val="24"/>
            <w:szCs w:val="24"/>
          </w:rPr>
          <w:t>1</w:t>
        </w:r>
        <w:r w:rsidRPr="00717862">
          <w:rPr>
            <w:rFonts w:ascii="Arial" w:hAnsi="Arial" w:cs="Arial"/>
            <w:noProof/>
            <w:webHidden/>
            <w:sz w:val="24"/>
            <w:szCs w:val="24"/>
          </w:rPr>
          <w:fldChar w:fldCharType="end"/>
        </w:r>
      </w:hyperlink>
    </w:p>
    <w:p w:rsidR="007A4C18" w:rsidRPr="00717862" w:rsidRDefault="006B6209">
      <w:pPr>
        <w:pStyle w:val="TOC1"/>
        <w:tabs>
          <w:tab w:val="right" w:leader="dot" w:pos="9912"/>
        </w:tabs>
        <w:rPr>
          <w:rFonts w:ascii="Arial" w:hAnsi="Arial" w:cs="Arial"/>
          <w:noProof/>
          <w:sz w:val="24"/>
          <w:szCs w:val="24"/>
        </w:rPr>
      </w:pPr>
      <w:hyperlink w:anchor="_Toc336512010" w:history="1">
        <w:r w:rsidR="007A4C18" w:rsidRPr="00717862">
          <w:rPr>
            <w:rStyle w:val="Hyperlink"/>
            <w:rFonts w:ascii="Arial" w:hAnsi="Arial" w:cs="Arial"/>
            <w:noProof/>
            <w:sz w:val="24"/>
            <w:szCs w:val="24"/>
          </w:rPr>
          <w:t>Summary of responses to the consultation and Government response</w:t>
        </w:r>
        <w:r w:rsidR="007A4C18" w:rsidRPr="00717862">
          <w:rPr>
            <w:rFonts w:ascii="Arial" w:hAnsi="Arial" w:cs="Arial"/>
            <w:noProof/>
            <w:webHidden/>
            <w:sz w:val="24"/>
            <w:szCs w:val="24"/>
          </w:rPr>
          <w:tab/>
        </w:r>
        <w:r w:rsidR="007A4C18">
          <w:rPr>
            <w:rFonts w:ascii="Arial" w:hAnsi="Arial" w:cs="Arial"/>
            <w:noProof/>
            <w:webHidden/>
            <w:sz w:val="24"/>
            <w:szCs w:val="24"/>
          </w:rPr>
          <w:t>3</w:t>
        </w:r>
      </w:hyperlink>
    </w:p>
    <w:p w:rsidR="007A4C18" w:rsidRPr="00717862" w:rsidRDefault="006B6209">
      <w:pPr>
        <w:pStyle w:val="TOC1"/>
        <w:tabs>
          <w:tab w:val="right" w:leader="dot" w:pos="9912"/>
        </w:tabs>
        <w:rPr>
          <w:rFonts w:ascii="Arial" w:hAnsi="Arial" w:cs="Arial"/>
          <w:noProof/>
          <w:sz w:val="24"/>
          <w:szCs w:val="24"/>
        </w:rPr>
      </w:pPr>
      <w:hyperlink w:anchor="_Toc336512011" w:history="1">
        <w:r w:rsidR="007A4C18" w:rsidRPr="00717862">
          <w:rPr>
            <w:rStyle w:val="Hyperlink"/>
            <w:rFonts w:ascii="Arial" w:hAnsi="Arial" w:cs="Arial"/>
            <w:noProof/>
            <w:sz w:val="24"/>
            <w:szCs w:val="24"/>
          </w:rPr>
          <w:t>Next steps</w:t>
        </w:r>
        <w:r w:rsidR="007A4C18" w:rsidRPr="00717862">
          <w:rPr>
            <w:rFonts w:ascii="Arial" w:hAnsi="Arial" w:cs="Arial"/>
            <w:noProof/>
            <w:webHidden/>
            <w:sz w:val="24"/>
            <w:szCs w:val="24"/>
          </w:rPr>
          <w:tab/>
        </w:r>
        <w:r w:rsidR="007A4C18">
          <w:rPr>
            <w:rFonts w:ascii="Arial" w:hAnsi="Arial" w:cs="Arial"/>
            <w:noProof/>
            <w:webHidden/>
            <w:sz w:val="24"/>
            <w:szCs w:val="24"/>
          </w:rPr>
          <w:t>9</w:t>
        </w:r>
      </w:hyperlink>
    </w:p>
    <w:p w:rsidR="007A4C18" w:rsidRPr="00717862" w:rsidRDefault="007A4C18">
      <w:pPr>
        <w:pStyle w:val="TOC1"/>
        <w:tabs>
          <w:tab w:val="right" w:leader="dot" w:pos="9912"/>
        </w:tabs>
        <w:rPr>
          <w:rFonts w:ascii="Arial" w:hAnsi="Arial" w:cs="Arial"/>
          <w:noProof/>
          <w:sz w:val="24"/>
          <w:szCs w:val="24"/>
        </w:rPr>
      </w:pPr>
    </w:p>
    <w:p w:rsidR="007A4C18" w:rsidRPr="00717862" w:rsidRDefault="007A4C18" w:rsidP="003F59BA">
      <w:pPr>
        <w:rPr>
          <w:rFonts w:ascii="Arial" w:hAnsi="Arial" w:cs="Arial"/>
          <w:sz w:val="24"/>
          <w:szCs w:val="24"/>
        </w:rPr>
      </w:pPr>
      <w:r w:rsidRPr="00717862">
        <w:rPr>
          <w:rFonts w:ascii="Arial" w:hAnsi="Arial" w:cs="Arial"/>
          <w:sz w:val="24"/>
          <w:szCs w:val="24"/>
        </w:rPr>
        <w:fldChar w:fldCharType="end"/>
      </w:r>
    </w:p>
    <w:p w:rsidR="007A4C18" w:rsidRPr="00717862" w:rsidRDefault="007A4C18">
      <w:pPr>
        <w:rPr>
          <w:rFonts w:ascii="Arial" w:hAnsi="Arial" w:cs="Arial"/>
          <w:b/>
          <w:bCs/>
          <w:noProof/>
          <w:color w:val="000000"/>
          <w:sz w:val="24"/>
          <w:szCs w:val="24"/>
        </w:rPr>
      </w:pPr>
    </w:p>
    <w:p w:rsidR="007A4C18" w:rsidRPr="00717862" w:rsidRDefault="007A4C18">
      <w:pPr>
        <w:rPr>
          <w:rFonts w:ascii="Arial" w:hAnsi="Arial" w:cs="Arial"/>
          <w:b/>
          <w:bCs/>
          <w:color w:val="000000"/>
          <w:sz w:val="24"/>
          <w:szCs w:val="24"/>
        </w:rPr>
      </w:pPr>
      <w:r w:rsidRPr="00717862">
        <w:rPr>
          <w:rFonts w:ascii="Arial" w:hAnsi="Arial" w:cs="Arial"/>
          <w:b/>
          <w:bCs/>
          <w:color w:val="000000"/>
          <w:sz w:val="24"/>
          <w:szCs w:val="24"/>
        </w:rPr>
        <w:br w:type="page"/>
      </w:r>
    </w:p>
    <w:p w:rsidR="007A4C18" w:rsidRPr="00717862" w:rsidRDefault="007A4C18" w:rsidP="002A1CFB">
      <w:pPr>
        <w:pStyle w:val="Heading1"/>
        <w:rPr>
          <w:rFonts w:ascii="Arial" w:hAnsi="Arial" w:cs="Arial"/>
          <w:color w:val="auto"/>
          <w:sz w:val="24"/>
          <w:szCs w:val="24"/>
        </w:rPr>
        <w:sectPr w:rsidR="007A4C18" w:rsidRPr="00717862" w:rsidSect="0029544C">
          <w:headerReference w:type="default" r:id="rId10"/>
          <w:footerReference w:type="default" r:id="rId11"/>
          <w:pgSz w:w="11906" w:h="16838"/>
          <w:pgMar w:top="992" w:right="992" w:bottom="992" w:left="992" w:header="709" w:footer="709" w:gutter="0"/>
          <w:cols w:space="708"/>
          <w:titlePg/>
          <w:docGrid w:linePitch="360"/>
        </w:sectPr>
      </w:pPr>
    </w:p>
    <w:p w:rsidR="007A4C18" w:rsidRPr="00717862" w:rsidRDefault="007A4C18" w:rsidP="001D7C8B">
      <w:pPr>
        <w:pStyle w:val="Heading1"/>
        <w:spacing w:before="0"/>
        <w:rPr>
          <w:rFonts w:ascii="Arial" w:hAnsi="Arial" w:cs="Arial"/>
          <w:color w:val="auto"/>
          <w:sz w:val="24"/>
          <w:szCs w:val="24"/>
        </w:rPr>
      </w:pPr>
    </w:p>
    <w:p w:rsidR="007A4C18" w:rsidRPr="00717862" w:rsidRDefault="007A4C18" w:rsidP="008F6639">
      <w:pPr>
        <w:pStyle w:val="Heading1"/>
        <w:rPr>
          <w:rFonts w:ascii="Arial" w:hAnsi="Arial" w:cs="Arial"/>
          <w:color w:val="auto"/>
          <w:sz w:val="24"/>
          <w:szCs w:val="24"/>
        </w:rPr>
      </w:pPr>
      <w:bookmarkStart w:id="0" w:name="_Toc336512009"/>
      <w:r w:rsidRPr="00717862">
        <w:rPr>
          <w:rFonts w:ascii="Arial" w:hAnsi="Arial" w:cs="Arial"/>
          <w:color w:val="auto"/>
          <w:sz w:val="24"/>
          <w:szCs w:val="24"/>
        </w:rPr>
        <w:t>Introduction</w:t>
      </w:r>
      <w:bookmarkEnd w:id="0"/>
    </w:p>
    <w:p w:rsidR="007A4C18" w:rsidRPr="00717862" w:rsidRDefault="007A4C18" w:rsidP="0099441B">
      <w:pPr>
        <w:spacing w:after="0" w:line="240" w:lineRule="auto"/>
        <w:jc w:val="both"/>
        <w:rPr>
          <w:rFonts w:ascii="Arial" w:hAnsi="Arial" w:cs="Arial"/>
          <w:sz w:val="24"/>
          <w:szCs w:val="24"/>
        </w:rPr>
      </w:pPr>
    </w:p>
    <w:p w:rsidR="007A4C18" w:rsidRPr="00717862" w:rsidRDefault="007A4C18" w:rsidP="0099441B">
      <w:pPr>
        <w:pStyle w:val="ListParagraph"/>
        <w:numPr>
          <w:ilvl w:val="0"/>
          <w:numId w:val="4"/>
        </w:numPr>
        <w:jc w:val="both"/>
        <w:rPr>
          <w:rFonts w:ascii="Arial" w:hAnsi="Arial" w:cs="Arial"/>
          <w:szCs w:val="24"/>
        </w:rPr>
      </w:pPr>
      <w:r w:rsidRPr="00717862">
        <w:rPr>
          <w:rFonts w:ascii="Arial" w:hAnsi="Arial" w:cs="Arial"/>
          <w:szCs w:val="24"/>
        </w:rPr>
        <w:t xml:space="preserve">The Public Lending Right (PLR) is the right of authors to receive payment for the loans of their printed books from public libraries in the </w:t>
      </w:r>
      <w:smartTag w:uri="urn:schemas-microsoft-com:office:smarttags" w:element="place">
        <w:smartTag w:uri="urn:schemas-microsoft-com:office:smarttags" w:element="country-region">
          <w:r w:rsidRPr="00717862">
            <w:rPr>
              <w:rFonts w:ascii="Arial" w:hAnsi="Arial" w:cs="Arial"/>
              <w:szCs w:val="24"/>
            </w:rPr>
            <w:t>UK</w:t>
          </w:r>
        </w:smartTag>
      </w:smartTag>
      <w:r w:rsidRPr="00717862">
        <w:rPr>
          <w:rFonts w:ascii="Arial" w:hAnsi="Arial" w:cs="Arial"/>
          <w:szCs w:val="24"/>
        </w:rPr>
        <w:t>. Payments are made annually to eligible authors who register their books with the PLR Registrar, to a maximum of £6,600 per author per year. The PLR receives grant-in-aid from the Department for Culture, Media and Sport (DCMS) to fund the running of the scheme and the payments to authors.</w:t>
      </w:r>
    </w:p>
    <w:p w:rsidR="007A4C18" w:rsidRPr="00717862" w:rsidRDefault="007A4C18" w:rsidP="0099441B">
      <w:pPr>
        <w:pStyle w:val="ListParagraph"/>
        <w:ind w:left="360"/>
        <w:jc w:val="both"/>
        <w:rPr>
          <w:rFonts w:ascii="Arial" w:hAnsi="Arial" w:cs="Arial"/>
          <w:szCs w:val="24"/>
        </w:rPr>
      </w:pPr>
    </w:p>
    <w:p w:rsidR="007A4C18" w:rsidRPr="00717862" w:rsidRDefault="007A4C18" w:rsidP="0099441B">
      <w:pPr>
        <w:pStyle w:val="ListParagraph"/>
        <w:numPr>
          <w:ilvl w:val="0"/>
          <w:numId w:val="4"/>
        </w:numPr>
        <w:jc w:val="both"/>
        <w:rPr>
          <w:rFonts w:ascii="Arial" w:hAnsi="Arial" w:cs="Arial"/>
          <w:szCs w:val="24"/>
        </w:rPr>
      </w:pPr>
      <w:r w:rsidRPr="00717862">
        <w:rPr>
          <w:rFonts w:ascii="Arial" w:hAnsi="Arial" w:cs="Arial"/>
          <w:szCs w:val="24"/>
        </w:rPr>
        <w:t xml:space="preserve">The resource grant-in-aid budget for PLR reduces by 15% in real terms over this Spending Review period which in the current circumstances represents a fair settlement for PLR and shows a real commitment to the importance and value of this scheme. However, with the PLR Registrar currently believed to be operating at </w:t>
      </w:r>
      <w:r>
        <w:rPr>
          <w:rFonts w:ascii="Arial" w:hAnsi="Arial" w:cs="Arial"/>
          <w:szCs w:val="24"/>
        </w:rPr>
        <w:t xml:space="preserve">near </w:t>
      </w:r>
      <w:r w:rsidRPr="00717862">
        <w:rPr>
          <w:rFonts w:ascii="Arial" w:hAnsi="Arial" w:cs="Arial"/>
          <w:szCs w:val="24"/>
        </w:rPr>
        <w:t>maximum efficiency the settlement does necessitate some radical thinking and the Government believes that transferring the PLR functions into a larger body presents further opportunities for efficiencies than would otherwise be achievable</w:t>
      </w:r>
      <w:r w:rsidR="0063785F">
        <w:rPr>
          <w:rFonts w:ascii="Arial" w:hAnsi="Arial" w:cs="Arial"/>
          <w:szCs w:val="24"/>
        </w:rPr>
        <w:t xml:space="preserve"> and consequently offers to maximise</w:t>
      </w:r>
      <w:r w:rsidRPr="00717862">
        <w:rPr>
          <w:rFonts w:ascii="Arial" w:hAnsi="Arial" w:cs="Arial"/>
          <w:szCs w:val="24"/>
        </w:rPr>
        <w:t xml:space="preserve"> </w:t>
      </w:r>
      <w:r w:rsidR="0063785F">
        <w:rPr>
          <w:rFonts w:ascii="Arial" w:hAnsi="Arial" w:cs="Arial"/>
          <w:szCs w:val="24"/>
        </w:rPr>
        <w:t>the proportion of available grant-in-aid to be distributed as author payments.</w:t>
      </w:r>
    </w:p>
    <w:p w:rsidR="007A4C18" w:rsidRPr="00717862" w:rsidRDefault="007A4C18" w:rsidP="0099441B">
      <w:pPr>
        <w:pStyle w:val="ListParagraph"/>
        <w:ind w:left="360"/>
        <w:jc w:val="both"/>
        <w:rPr>
          <w:rFonts w:ascii="Arial" w:hAnsi="Arial" w:cs="Arial"/>
          <w:szCs w:val="24"/>
        </w:rPr>
      </w:pPr>
    </w:p>
    <w:p w:rsidR="007A4C18" w:rsidRPr="00A1252F" w:rsidRDefault="007A4C18" w:rsidP="002F6B97">
      <w:pPr>
        <w:pStyle w:val="ListParagraph"/>
        <w:numPr>
          <w:ilvl w:val="0"/>
          <w:numId w:val="4"/>
        </w:numPr>
        <w:jc w:val="both"/>
        <w:rPr>
          <w:rFonts w:ascii="Arial" w:hAnsi="Arial" w:cs="Arial"/>
          <w:szCs w:val="24"/>
        </w:rPr>
      </w:pPr>
      <w:r w:rsidRPr="00717862">
        <w:rPr>
          <w:rFonts w:ascii="Arial" w:hAnsi="Arial" w:cs="Arial"/>
          <w:szCs w:val="24"/>
        </w:rPr>
        <w:t>DCMS ran a 12 week public consultation between 8 May and 30 July 2012 on the proposal to transfer the PLR functions to another public body. The consultation document outlined a number of options, including the Government’s preferred option of a transfer of the PLR functions to the British Library. A summary of the consultation responses was published on the DCMS website on 17 October 2012.</w:t>
      </w:r>
      <w:r w:rsidRPr="00717862">
        <w:rPr>
          <w:rFonts w:ascii="Arial" w:hAnsi="Arial" w:cs="Arial"/>
          <w:szCs w:val="24"/>
        </w:rPr>
        <w:br/>
      </w:r>
      <w:r>
        <w:rPr>
          <w:rFonts w:ascii="Arial" w:hAnsi="Arial" w:cs="Arial"/>
          <w:szCs w:val="24"/>
        </w:rPr>
        <w:br/>
      </w:r>
    </w:p>
    <w:p w:rsidR="007A4C18" w:rsidRPr="00717862" w:rsidRDefault="007A4C18" w:rsidP="002F6B97">
      <w:pPr>
        <w:keepNext/>
        <w:keepLines/>
        <w:spacing w:after="0"/>
        <w:outlineLvl w:val="0"/>
        <w:rPr>
          <w:rFonts w:ascii="Arial" w:hAnsi="Arial" w:cs="Arial"/>
          <w:b/>
          <w:bCs/>
          <w:sz w:val="24"/>
          <w:szCs w:val="24"/>
          <w:lang w:eastAsia="en-US"/>
        </w:rPr>
      </w:pPr>
      <w:bookmarkStart w:id="1" w:name="_Toc333242241"/>
      <w:r w:rsidRPr="00717862">
        <w:rPr>
          <w:rFonts w:ascii="Arial" w:hAnsi="Arial" w:cs="Arial"/>
          <w:b/>
          <w:bCs/>
          <w:sz w:val="24"/>
          <w:szCs w:val="24"/>
          <w:lang w:eastAsia="en-US"/>
        </w:rPr>
        <w:t>Government response – executive summary</w:t>
      </w:r>
      <w:bookmarkEnd w:id="1"/>
    </w:p>
    <w:p w:rsidR="007A4C18" w:rsidRPr="00717862" w:rsidRDefault="007A4C18" w:rsidP="002F6B97">
      <w:pPr>
        <w:keepNext/>
        <w:keepLines/>
        <w:spacing w:after="0"/>
        <w:outlineLvl w:val="0"/>
        <w:rPr>
          <w:rFonts w:ascii="Arial" w:hAnsi="Arial" w:cs="Arial"/>
          <w:b/>
          <w:bCs/>
          <w:sz w:val="24"/>
          <w:szCs w:val="24"/>
          <w:lang w:eastAsia="en-US"/>
        </w:rPr>
      </w:pPr>
    </w:p>
    <w:p w:rsidR="007A4C18" w:rsidRPr="00717862" w:rsidRDefault="007A4C18" w:rsidP="002F6B97">
      <w:pPr>
        <w:pStyle w:val="ListParagraph"/>
        <w:numPr>
          <w:ilvl w:val="0"/>
          <w:numId w:val="4"/>
        </w:numPr>
        <w:jc w:val="both"/>
        <w:rPr>
          <w:rFonts w:ascii="Arial" w:hAnsi="Arial" w:cs="Arial"/>
          <w:szCs w:val="24"/>
        </w:rPr>
      </w:pPr>
      <w:r w:rsidRPr="00717862">
        <w:rPr>
          <w:rFonts w:ascii="Arial" w:hAnsi="Arial" w:cs="Arial"/>
          <w:szCs w:val="24"/>
        </w:rPr>
        <w:t>In total, 1,015 consultation responses were received, and the large response reflects the importance of PLR to authors and other rights holders, and the esteem in which the current PLR office is held by its customers</w:t>
      </w:r>
      <w:r>
        <w:rPr>
          <w:rFonts w:ascii="Arial" w:hAnsi="Arial" w:cs="Arial"/>
          <w:szCs w:val="24"/>
        </w:rPr>
        <w:t>.</w:t>
      </w:r>
    </w:p>
    <w:p w:rsidR="007A4C18" w:rsidRPr="00717862" w:rsidRDefault="007A4C18" w:rsidP="002F6B97">
      <w:pPr>
        <w:pStyle w:val="ListParagraph"/>
        <w:jc w:val="both"/>
        <w:rPr>
          <w:rFonts w:ascii="Arial" w:hAnsi="Arial" w:cs="Arial"/>
          <w:szCs w:val="24"/>
        </w:rPr>
      </w:pPr>
    </w:p>
    <w:p w:rsidR="007A4C18" w:rsidRPr="00717862" w:rsidRDefault="007A4C18" w:rsidP="002F6B97">
      <w:pPr>
        <w:pStyle w:val="ListParagraph"/>
        <w:numPr>
          <w:ilvl w:val="0"/>
          <w:numId w:val="4"/>
        </w:numPr>
        <w:jc w:val="both"/>
        <w:rPr>
          <w:rFonts w:ascii="Arial" w:hAnsi="Arial" w:cs="Arial"/>
          <w:szCs w:val="24"/>
        </w:rPr>
      </w:pPr>
      <w:r w:rsidRPr="00717862">
        <w:rPr>
          <w:rFonts w:ascii="Arial" w:hAnsi="Arial" w:cs="Arial"/>
          <w:szCs w:val="24"/>
        </w:rPr>
        <w:t>The aims of the proposed transfer are to redu</w:t>
      </w:r>
      <w:r>
        <w:rPr>
          <w:rFonts w:ascii="Arial" w:hAnsi="Arial" w:cs="Arial"/>
          <w:szCs w:val="24"/>
        </w:rPr>
        <w:t xml:space="preserve">ce the number of </w:t>
      </w:r>
      <w:r w:rsidRPr="00717862">
        <w:rPr>
          <w:rFonts w:ascii="Arial" w:hAnsi="Arial" w:cs="Arial"/>
          <w:szCs w:val="24"/>
        </w:rPr>
        <w:t>public bodies</w:t>
      </w:r>
      <w:r>
        <w:rPr>
          <w:rFonts w:ascii="Arial" w:hAnsi="Arial" w:cs="Arial"/>
          <w:szCs w:val="24"/>
        </w:rPr>
        <w:t xml:space="preserve"> and to increase the efficiency and economy of running the PLR scheme, so that the </w:t>
      </w:r>
      <w:r w:rsidRPr="0063785F">
        <w:rPr>
          <w:rFonts w:ascii="Arial" w:hAnsi="Arial" w:cs="Arial"/>
          <w:szCs w:val="24"/>
        </w:rPr>
        <w:t xml:space="preserve">maximum </w:t>
      </w:r>
      <w:r w:rsidR="00EF56CC" w:rsidRPr="006E1D55">
        <w:rPr>
          <w:rFonts w:ascii="Arial" w:hAnsi="Arial" w:cs="Arial"/>
          <w:szCs w:val="24"/>
        </w:rPr>
        <w:t>proportion</w:t>
      </w:r>
      <w:r w:rsidR="00EF56CC" w:rsidRPr="0063785F">
        <w:rPr>
          <w:rFonts w:ascii="Arial" w:hAnsi="Arial" w:cs="Arial"/>
          <w:szCs w:val="24"/>
        </w:rPr>
        <w:t xml:space="preserve"> </w:t>
      </w:r>
      <w:r w:rsidRPr="0063785F">
        <w:rPr>
          <w:rFonts w:ascii="Arial" w:hAnsi="Arial" w:cs="Arial"/>
          <w:szCs w:val="24"/>
        </w:rPr>
        <w:t xml:space="preserve">of </w:t>
      </w:r>
      <w:r w:rsidR="0063785F" w:rsidRPr="006E1D55">
        <w:rPr>
          <w:rFonts w:ascii="Arial" w:hAnsi="Arial" w:cs="Arial"/>
          <w:szCs w:val="24"/>
        </w:rPr>
        <w:t xml:space="preserve">available </w:t>
      </w:r>
      <w:r w:rsidRPr="0063785F">
        <w:rPr>
          <w:rFonts w:ascii="Arial" w:hAnsi="Arial" w:cs="Arial"/>
          <w:szCs w:val="24"/>
        </w:rPr>
        <w:t>grant-in-aid can be distributed</w:t>
      </w:r>
      <w:r>
        <w:rPr>
          <w:rFonts w:ascii="Arial" w:hAnsi="Arial" w:cs="Arial"/>
          <w:szCs w:val="24"/>
        </w:rPr>
        <w:t xml:space="preserve"> as payments to authors and other rights holders</w:t>
      </w:r>
      <w:r w:rsidRPr="00717862">
        <w:rPr>
          <w:rFonts w:ascii="Arial" w:hAnsi="Arial" w:cs="Arial"/>
          <w:szCs w:val="24"/>
        </w:rPr>
        <w:t>. The Government has considered how to meet</w:t>
      </w:r>
      <w:r>
        <w:rPr>
          <w:rFonts w:ascii="Arial" w:hAnsi="Arial" w:cs="Arial"/>
          <w:szCs w:val="24"/>
        </w:rPr>
        <w:t xml:space="preserve"> these aims taking account</w:t>
      </w:r>
      <w:r w:rsidRPr="00717862">
        <w:rPr>
          <w:rFonts w:ascii="Arial" w:hAnsi="Arial" w:cs="Arial"/>
          <w:szCs w:val="24"/>
        </w:rPr>
        <w:t xml:space="preserve"> of the responses to the consultation and the issues raised. </w:t>
      </w:r>
    </w:p>
    <w:p w:rsidR="007A4C18" w:rsidRPr="00717862" w:rsidRDefault="007A4C18" w:rsidP="002F6B97">
      <w:pPr>
        <w:widowControl w:val="0"/>
        <w:spacing w:before="20" w:after="0" w:line="240" w:lineRule="auto"/>
        <w:contextualSpacing/>
        <w:jc w:val="both"/>
        <w:rPr>
          <w:rFonts w:ascii="Arial" w:hAnsi="Arial" w:cs="Arial"/>
          <w:sz w:val="24"/>
          <w:szCs w:val="24"/>
          <w:lang w:eastAsia="en-US"/>
        </w:rPr>
      </w:pPr>
    </w:p>
    <w:p w:rsidR="007A4C18" w:rsidRPr="00717862" w:rsidRDefault="007A4C18" w:rsidP="002F6B97">
      <w:pPr>
        <w:widowControl w:val="0"/>
        <w:numPr>
          <w:ilvl w:val="0"/>
          <w:numId w:val="4"/>
        </w:numPr>
        <w:spacing w:before="20" w:after="0" w:line="240" w:lineRule="auto"/>
        <w:ind w:left="426" w:hanging="426"/>
        <w:contextualSpacing/>
        <w:jc w:val="both"/>
        <w:rPr>
          <w:rFonts w:ascii="Arial" w:hAnsi="Arial" w:cs="Arial"/>
          <w:sz w:val="24"/>
          <w:szCs w:val="24"/>
          <w:lang w:eastAsia="en-US"/>
        </w:rPr>
      </w:pPr>
      <w:r w:rsidRPr="00717862">
        <w:rPr>
          <w:rFonts w:ascii="Arial" w:hAnsi="Arial" w:cs="Arial"/>
          <w:sz w:val="24"/>
          <w:szCs w:val="24"/>
          <w:lang w:eastAsia="en-US"/>
        </w:rPr>
        <w:t>The Government would like to thank all those who responded to the public consultation. A number of concerns and issues wer</w:t>
      </w:r>
      <w:r>
        <w:rPr>
          <w:rFonts w:ascii="Arial" w:hAnsi="Arial" w:cs="Arial"/>
          <w:sz w:val="24"/>
          <w:szCs w:val="24"/>
          <w:lang w:eastAsia="en-US"/>
        </w:rPr>
        <w:t>e raised, and</w:t>
      </w:r>
      <w:r w:rsidRPr="00717862">
        <w:rPr>
          <w:rFonts w:ascii="Arial" w:hAnsi="Arial" w:cs="Arial"/>
          <w:sz w:val="24"/>
          <w:szCs w:val="24"/>
          <w:lang w:eastAsia="en-US"/>
        </w:rPr>
        <w:t xml:space="preserve"> have been </w:t>
      </w:r>
      <w:r>
        <w:rPr>
          <w:rFonts w:ascii="Arial" w:hAnsi="Arial" w:cs="Arial"/>
          <w:sz w:val="24"/>
          <w:szCs w:val="24"/>
          <w:lang w:eastAsia="en-US"/>
        </w:rPr>
        <w:t>given careful consideration.</w:t>
      </w:r>
    </w:p>
    <w:p w:rsidR="007A4C18" w:rsidRPr="00717862" w:rsidRDefault="007A4C18" w:rsidP="000A46D4">
      <w:pPr>
        <w:widowControl w:val="0"/>
        <w:spacing w:before="20" w:after="0" w:line="240" w:lineRule="auto"/>
        <w:ind w:left="426"/>
        <w:contextualSpacing/>
        <w:jc w:val="both"/>
        <w:rPr>
          <w:rFonts w:ascii="Arial" w:hAnsi="Arial" w:cs="Arial"/>
          <w:sz w:val="24"/>
          <w:szCs w:val="24"/>
          <w:lang w:eastAsia="en-US"/>
        </w:rPr>
      </w:pPr>
    </w:p>
    <w:p w:rsidR="007A4C18" w:rsidRPr="00717862" w:rsidRDefault="007A4C18" w:rsidP="000A46D4">
      <w:pPr>
        <w:widowControl w:val="0"/>
        <w:numPr>
          <w:ilvl w:val="0"/>
          <w:numId w:val="4"/>
        </w:numPr>
        <w:spacing w:before="20" w:after="0" w:line="240" w:lineRule="auto"/>
        <w:ind w:left="426" w:hanging="426"/>
        <w:contextualSpacing/>
        <w:jc w:val="both"/>
        <w:rPr>
          <w:rFonts w:ascii="Arial" w:hAnsi="Arial" w:cs="Arial"/>
          <w:sz w:val="24"/>
          <w:szCs w:val="24"/>
          <w:lang w:eastAsia="en-US"/>
        </w:rPr>
      </w:pPr>
      <w:r w:rsidRPr="00717862">
        <w:rPr>
          <w:rFonts w:ascii="Arial" w:hAnsi="Arial" w:cs="Arial"/>
          <w:sz w:val="24"/>
          <w:szCs w:val="24"/>
          <w:lang w:eastAsia="en-US"/>
        </w:rPr>
        <w:t>The main issues raised in consultation responses related to:</w:t>
      </w:r>
    </w:p>
    <w:p w:rsidR="007A4C18" w:rsidRPr="00717862" w:rsidRDefault="007A4C18" w:rsidP="000A46D4">
      <w:pPr>
        <w:spacing w:after="0" w:line="240" w:lineRule="auto"/>
        <w:ind w:hanging="578"/>
        <w:contextualSpacing/>
        <w:rPr>
          <w:rFonts w:ascii="Arial" w:hAnsi="Arial" w:cs="Arial"/>
          <w:sz w:val="24"/>
          <w:szCs w:val="24"/>
        </w:rPr>
      </w:pPr>
    </w:p>
    <w:p w:rsidR="007A4C18" w:rsidRDefault="007A4C18" w:rsidP="00651A7E">
      <w:pPr>
        <w:numPr>
          <w:ilvl w:val="0"/>
          <w:numId w:val="3"/>
        </w:numPr>
        <w:tabs>
          <w:tab w:val="left" w:pos="851"/>
        </w:tabs>
        <w:spacing w:after="0" w:line="240" w:lineRule="auto"/>
        <w:contextualSpacing/>
        <w:rPr>
          <w:rFonts w:ascii="Arial" w:hAnsi="Arial" w:cs="Arial"/>
          <w:sz w:val="24"/>
          <w:szCs w:val="24"/>
        </w:rPr>
      </w:pPr>
      <w:r w:rsidRPr="00651A7E">
        <w:rPr>
          <w:rFonts w:ascii="Arial" w:hAnsi="Arial" w:cs="Arial"/>
          <w:sz w:val="24"/>
          <w:szCs w:val="24"/>
        </w:rPr>
        <w:t>The service the Registrar and PLR of</w:t>
      </w:r>
      <w:r>
        <w:rPr>
          <w:rFonts w:ascii="Arial" w:hAnsi="Arial" w:cs="Arial"/>
          <w:sz w:val="24"/>
          <w:szCs w:val="24"/>
        </w:rPr>
        <w:t xml:space="preserve">fice provides to authors, which </w:t>
      </w:r>
      <w:r w:rsidRPr="00651A7E">
        <w:rPr>
          <w:rFonts w:ascii="Arial" w:hAnsi="Arial" w:cs="Arial"/>
          <w:sz w:val="24"/>
          <w:szCs w:val="24"/>
        </w:rPr>
        <w:t>is widely held to be “excellen</w:t>
      </w:r>
      <w:r>
        <w:rPr>
          <w:rFonts w:ascii="Arial" w:hAnsi="Arial" w:cs="Arial"/>
          <w:sz w:val="24"/>
          <w:szCs w:val="24"/>
        </w:rPr>
        <w:t>t”, “effective” and “efficient”; the majority of respondents are of the view that the operation should remain as it is.</w:t>
      </w:r>
    </w:p>
    <w:p w:rsidR="007A4C18" w:rsidRDefault="007A4C18" w:rsidP="00651A7E">
      <w:pPr>
        <w:numPr>
          <w:ilvl w:val="0"/>
          <w:numId w:val="3"/>
        </w:numPr>
        <w:tabs>
          <w:tab w:val="left" w:pos="851"/>
        </w:tabs>
        <w:spacing w:after="0" w:line="240" w:lineRule="auto"/>
        <w:contextualSpacing/>
        <w:rPr>
          <w:rFonts w:ascii="Arial" w:hAnsi="Arial" w:cs="Arial"/>
          <w:sz w:val="24"/>
          <w:szCs w:val="24"/>
        </w:rPr>
      </w:pPr>
      <w:r w:rsidRPr="00651A7E">
        <w:rPr>
          <w:rFonts w:ascii="Arial" w:hAnsi="Arial" w:cs="Arial"/>
          <w:sz w:val="24"/>
          <w:szCs w:val="24"/>
        </w:rPr>
        <w:t>Concerns about potenti</w:t>
      </w:r>
      <w:r>
        <w:rPr>
          <w:rFonts w:ascii="Arial" w:hAnsi="Arial" w:cs="Arial"/>
          <w:sz w:val="24"/>
          <w:szCs w:val="24"/>
        </w:rPr>
        <w:t>al transition costs, and</w:t>
      </w:r>
      <w:r w:rsidRPr="00651A7E">
        <w:rPr>
          <w:rFonts w:ascii="Arial" w:hAnsi="Arial" w:cs="Arial"/>
          <w:sz w:val="24"/>
          <w:szCs w:val="24"/>
        </w:rPr>
        <w:t xml:space="preserve"> whether the savings would outweigh the costs.</w:t>
      </w:r>
    </w:p>
    <w:p w:rsidR="007A4C18" w:rsidRPr="00651A7E" w:rsidRDefault="007A4C18" w:rsidP="00651A7E">
      <w:pPr>
        <w:numPr>
          <w:ilvl w:val="0"/>
          <w:numId w:val="3"/>
        </w:numPr>
        <w:tabs>
          <w:tab w:val="left" w:pos="851"/>
        </w:tabs>
        <w:spacing w:after="0" w:line="240" w:lineRule="auto"/>
        <w:contextualSpacing/>
        <w:rPr>
          <w:rFonts w:ascii="Arial" w:hAnsi="Arial" w:cs="Arial"/>
          <w:sz w:val="24"/>
          <w:szCs w:val="24"/>
        </w:rPr>
      </w:pPr>
      <w:r>
        <w:rPr>
          <w:rFonts w:ascii="Arial" w:hAnsi="Arial" w:cs="Arial"/>
          <w:sz w:val="24"/>
          <w:szCs w:val="24"/>
        </w:rPr>
        <w:t xml:space="preserve">Potential </w:t>
      </w:r>
      <w:r w:rsidRPr="00651A7E">
        <w:rPr>
          <w:rFonts w:ascii="Arial" w:hAnsi="Arial" w:cs="Arial"/>
          <w:sz w:val="24"/>
          <w:szCs w:val="24"/>
        </w:rPr>
        <w:t>loss of knowledge and experience (i.e.</w:t>
      </w:r>
      <w:r>
        <w:rPr>
          <w:rFonts w:ascii="Arial" w:hAnsi="Arial" w:cs="Arial"/>
          <w:sz w:val="24"/>
          <w:szCs w:val="24"/>
        </w:rPr>
        <w:t xml:space="preserve"> if there were to be</w:t>
      </w:r>
      <w:r w:rsidRPr="00651A7E">
        <w:rPr>
          <w:rFonts w:ascii="Arial" w:hAnsi="Arial" w:cs="Arial"/>
          <w:sz w:val="24"/>
          <w:szCs w:val="24"/>
        </w:rPr>
        <w:t xml:space="preserve"> changes to staffing); and/or </w:t>
      </w:r>
      <w:r>
        <w:rPr>
          <w:rFonts w:ascii="Arial" w:hAnsi="Arial" w:cs="Arial"/>
          <w:sz w:val="24"/>
          <w:szCs w:val="24"/>
        </w:rPr>
        <w:t xml:space="preserve">concerns </w:t>
      </w:r>
      <w:r w:rsidRPr="00651A7E">
        <w:rPr>
          <w:rFonts w:ascii="Arial" w:hAnsi="Arial" w:cs="Arial"/>
          <w:sz w:val="24"/>
          <w:szCs w:val="24"/>
        </w:rPr>
        <w:t xml:space="preserve">related to the </w:t>
      </w:r>
      <w:r>
        <w:rPr>
          <w:rFonts w:ascii="Arial" w:hAnsi="Arial" w:cs="Arial"/>
          <w:sz w:val="24"/>
          <w:szCs w:val="24"/>
        </w:rPr>
        <w:t xml:space="preserve">potential </w:t>
      </w:r>
      <w:r w:rsidRPr="00651A7E">
        <w:rPr>
          <w:rFonts w:ascii="Arial" w:hAnsi="Arial" w:cs="Arial"/>
          <w:sz w:val="24"/>
          <w:szCs w:val="24"/>
        </w:rPr>
        <w:t xml:space="preserve">loss of jobs from the North East. </w:t>
      </w:r>
    </w:p>
    <w:p w:rsidR="007A4C18" w:rsidRPr="00651A7E" w:rsidRDefault="007A4C18" w:rsidP="00651A7E">
      <w:pPr>
        <w:numPr>
          <w:ilvl w:val="0"/>
          <w:numId w:val="3"/>
        </w:numPr>
        <w:tabs>
          <w:tab w:val="left" w:pos="851"/>
        </w:tabs>
        <w:spacing w:after="0" w:line="240" w:lineRule="auto"/>
        <w:contextualSpacing/>
        <w:rPr>
          <w:rFonts w:ascii="Arial" w:hAnsi="Arial" w:cs="Arial"/>
          <w:sz w:val="24"/>
          <w:szCs w:val="24"/>
        </w:rPr>
      </w:pPr>
      <w:r w:rsidRPr="00651A7E">
        <w:rPr>
          <w:rFonts w:ascii="Arial" w:hAnsi="Arial" w:cs="Arial"/>
          <w:sz w:val="24"/>
          <w:szCs w:val="24"/>
        </w:rPr>
        <w:t>The importance of the independence and/or impartiality of the existing NDPB.</w:t>
      </w:r>
    </w:p>
    <w:p w:rsidR="007A4C18" w:rsidRPr="00651A7E" w:rsidRDefault="007A4C18" w:rsidP="00651A7E">
      <w:pPr>
        <w:numPr>
          <w:ilvl w:val="0"/>
          <w:numId w:val="3"/>
        </w:numPr>
        <w:tabs>
          <w:tab w:val="left" w:pos="851"/>
        </w:tabs>
        <w:spacing w:after="0" w:line="240" w:lineRule="auto"/>
        <w:contextualSpacing/>
        <w:rPr>
          <w:rFonts w:ascii="Arial" w:hAnsi="Arial" w:cs="Arial"/>
          <w:sz w:val="24"/>
          <w:szCs w:val="24"/>
        </w:rPr>
      </w:pPr>
      <w:r>
        <w:rPr>
          <w:rFonts w:ascii="Arial" w:hAnsi="Arial" w:cs="Arial"/>
          <w:sz w:val="24"/>
          <w:szCs w:val="24"/>
        </w:rPr>
        <w:t xml:space="preserve">Potential </w:t>
      </w:r>
      <w:r w:rsidRPr="00651A7E">
        <w:rPr>
          <w:rFonts w:ascii="Arial" w:hAnsi="Arial" w:cs="Arial"/>
          <w:sz w:val="24"/>
          <w:szCs w:val="24"/>
        </w:rPr>
        <w:t>impact of a tra</w:t>
      </w:r>
      <w:r>
        <w:rPr>
          <w:rFonts w:ascii="Arial" w:hAnsi="Arial" w:cs="Arial"/>
          <w:sz w:val="24"/>
          <w:szCs w:val="24"/>
        </w:rPr>
        <w:t>nsfer on PLR rights holders, such as</w:t>
      </w:r>
      <w:r w:rsidRPr="00651A7E">
        <w:rPr>
          <w:rFonts w:ascii="Arial" w:hAnsi="Arial" w:cs="Arial"/>
          <w:sz w:val="24"/>
          <w:szCs w:val="24"/>
        </w:rPr>
        <w:t xml:space="preserve"> a red</w:t>
      </w:r>
      <w:r>
        <w:rPr>
          <w:rFonts w:ascii="Arial" w:hAnsi="Arial" w:cs="Arial"/>
          <w:sz w:val="24"/>
          <w:szCs w:val="24"/>
        </w:rPr>
        <w:t>uction in efficiency,</w:t>
      </w:r>
      <w:r w:rsidRPr="00651A7E">
        <w:rPr>
          <w:rFonts w:ascii="Arial" w:hAnsi="Arial" w:cs="Arial"/>
          <w:sz w:val="24"/>
          <w:szCs w:val="24"/>
        </w:rPr>
        <w:t xml:space="preserve"> or a disruption t</w:t>
      </w:r>
      <w:r>
        <w:rPr>
          <w:rFonts w:ascii="Arial" w:hAnsi="Arial" w:cs="Arial"/>
          <w:sz w:val="24"/>
          <w:szCs w:val="24"/>
        </w:rPr>
        <w:t>o the service</w:t>
      </w:r>
      <w:r w:rsidRPr="00651A7E">
        <w:rPr>
          <w:rFonts w:ascii="Arial" w:hAnsi="Arial" w:cs="Arial"/>
          <w:sz w:val="24"/>
          <w:szCs w:val="24"/>
        </w:rPr>
        <w:t xml:space="preserve"> i.e. if there</w:t>
      </w:r>
      <w:r>
        <w:rPr>
          <w:rFonts w:ascii="Arial" w:hAnsi="Arial" w:cs="Arial"/>
          <w:sz w:val="24"/>
          <w:szCs w:val="24"/>
        </w:rPr>
        <w:t xml:space="preserve"> were to be a change to staffing. </w:t>
      </w:r>
    </w:p>
    <w:p w:rsidR="007A4C18" w:rsidRPr="002749F9" w:rsidRDefault="007A4C18" w:rsidP="00651A7E">
      <w:pPr>
        <w:numPr>
          <w:ilvl w:val="0"/>
          <w:numId w:val="3"/>
        </w:numPr>
        <w:tabs>
          <w:tab w:val="left" w:pos="851"/>
        </w:tabs>
        <w:spacing w:after="0" w:line="240" w:lineRule="auto"/>
        <w:contextualSpacing/>
        <w:rPr>
          <w:rFonts w:ascii="Arial" w:hAnsi="Arial" w:cs="Arial"/>
          <w:sz w:val="24"/>
          <w:szCs w:val="24"/>
        </w:rPr>
      </w:pPr>
      <w:r>
        <w:rPr>
          <w:rFonts w:ascii="Arial" w:hAnsi="Arial" w:cs="Arial"/>
          <w:sz w:val="24"/>
          <w:szCs w:val="24"/>
        </w:rPr>
        <w:t>The representation of</w:t>
      </w:r>
      <w:r w:rsidRPr="00651A7E">
        <w:rPr>
          <w:rFonts w:ascii="Arial" w:hAnsi="Arial" w:cs="Arial"/>
          <w:sz w:val="24"/>
          <w:szCs w:val="24"/>
        </w:rPr>
        <w:t xml:space="preserve"> authors’ interests </w:t>
      </w:r>
      <w:r>
        <w:rPr>
          <w:rFonts w:ascii="Arial" w:hAnsi="Arial" w:cs="Arial"/>
          <w:sz w:val="24"/>
          <w:szCs w:val="24"/>
        </w:rPr>
        <w:t>under</w:t>
      </w:r>
      <w:r w:rsidRPr="00651A7E">
        <w:rPr>
          <w:rFonts w:ascii="Arial" w:hAnsi="Arial" w:cs="Arial"/>
          <w:sz w:val="24"/>
          <w:szCs w:val="24"/>
        </w:rPr>
        <w:t xml:space="preserve"> the Registrar</w:t>
      </w:r>
      <w:r>
        <w:rPr>
          <w:rFonts w:ascii="Arial" w:hAnsi="Arial" w:cs="Arial"/>
          <w:sz w:val="24"/>
          <w:szCs w:val="24"/>
        </w:rPr>
        <w:t>, and</w:t>
      </w:r>
      <w:r w:rsidRPr="00651A7E">
        <w:rPr>
          <w:rFonts w:ascii="Arial" w:hAnsi="Arial" w:cs="Arial"/>
          <w:sz w:val="24"/>
          <w:szCs w:val="24"/>
        </w:rPr>
        <w:t xml:space="preserve"> whethe</w:t>
      </w:r>
      <w:r w:rsidR="00B07805">
        <w:rPr>
          <w:rFonts w:ascii="Arial" w:hAnsi="Arial" w:cs="Arial"/>
          <w:sz w:val="24"/>
          <w:szCs w:val="24"/>
        </w:rPr>
        <w:t xml:space="preserve">r representation would be as </w:t>
      </w:r>
      <w:r w:rsidRPr="00651A7E">
        <w:rPr>
          <w:rFonts w:ascii="Arial" w:hAnsi="Arial" w:cs="Arial"/>
          <w:sz w:val="24"/>
          <w:szCs w:val="24"/>
        </w:rPr>
        <w:t>effective under</w:t>
      </w:r>
      <w:r>
        <w:rPr>
          <w:rFonts w:ascii="Arial" w:hAnsi="Arial" w:cs="Arial"/>
          <w:sz w:val="24"/>
          <w:szCs w:val="24"/>
        </w:rPr>
        <w:t xml:space="preserve"> new management</w:t>
      </w:r>
      <w:r w:rsidRPr="00651A7E">
        <w:rPr>
          <w:rFonts w:ascii="Arial" w:hAnsi="Arial" w:cs="Arial"/>
          <w:sz w:val="24"/>
          <w:szCs w:val="24"/>
        </w:rPr>
        <w:t>.</w:t>
      </w:r>
    </w:p>
    <w:p w:rsidR="007A4C18" w:rsidRPr="00F865AD" w:rsidRDefault="007A4C18" w:rsidP="002749F9">
      <w:pPr>
        <w:numPr>
          <w:ilvl w:val="0"/>
          <w:numId w:val="3"/>
        </w:numPr>
        <w:tabs>
          <w:tab w:val="left" w:pos="851"/>
        </w:tabs>
        <w:spacing w:after="0" w:line="240" w:lineRule="auto"/>
        <w:contextualSpacing/>
        <w:rPr>
          <w:rFonts w:ascii="Arial" w:hAnsi="Arial" w:cs="Arial"/>
          <w:sz w:val="24"/>
          <w:szCs w:val="24"/>
        </w:rPr>
      </w:pPr>
      <w:r>
        <w:rPr>
          <w:rFonts w:ascii="Arial" w:hAnsi="Arial" w:cs="Arial"/>
          <w:bCs/>
          <w:sz w:val="24"/>
          <w:szCs w:val="24"/>
        </w:rPr>
        <w:t>H</w:t>
      </w:r>
      <w:r w:rsidRPr="002749F9">
        <w:rPr>
          <w:rFonts w:ascii="Arial" w:hAnsi="Arial" w:cs="Arial"/>
          <w:bCs/>
          <w:sz w:val="24"/>
          <w:szCs w:val="24"/>
        </w:rPr>
        <w:t>ow PLR would fit w</w:t>
      </w:r>
      <w:r>
        <w:rPr>
          <w:rFonts w:ascii="Arial" w:hAnsi="Arial" w:cs="Arial"/>
          <w:bCs/>
          <w:sz w:val="24"/>
          <w:szCs w:val="24"/>
        </w:rPr>
        <w:t xml:space="preserve">ithin the British Library </w:t>
      </w:r>
      <w:r w:rsidRPr="002749F9">
        <w:rPr>
          <w:rFonts w:ascii="Arial" w:hAnsi="Arial" w:cs="Arial"/>
          <w:sz w:val="24"/>
          <w:szCs w:val="24"/>
        </w:rPr>
        <w:t>as a larger organisation taking on the role of a dedicated body; the compatibility of the functions of both organisations;</w:t>
      </w:r>
      <w:r>
        <w:rPr>
          <w:rFonts w:ascii="Arial" w:hAnsi="Arial" w:cs="Arial"/>
          <w:sz w:val="24"/>
          <w:szCs w:val="24"/>
        </w:rPr>
        <w:t xml:space="preserve"> and</w:t>
      </w:r>
      <w:r w:rsidRPr="002749F9">
        <w:rPr>
          <w:rFonts w:ascii="Arial" w:hAnsi="Arial" w:cs="Arial"/>
          <w:sz w:val="24"/>
          <w:szCs w:val="24"/>
        </w:rPr>
        <w:t xml:space="preserve"> how the British Library would see this function fitting within its overall </w:t>
      </w:r>
      <w:r>
        <w:rPr>
          <w:rFonts w:ascii="Arial" w:hAnsi="Arial" w:cs="Arial"/>
          <w:sz w:val="24"/>
          <w:szCs w:val="24"/>
        </w:rPr>
        <w:t xml:space="preserve">business and aims, and its broader role in developing copyright and library strategies. </w:t>
      </w:r>
    </w:p>
    <w:p w:rsidR="007A4C18" w:rsidRPr="00717862" w:rsidRDefault="007A4C18" w:rsidP="000A46D4">
      <w:pPr>
        <w:widowControl w:val="0"/>
        <w:spacing w:before="20" w:after="0" w:line="240" w:lineRule="auto"/>
        <w:ind w:left="426"/>
        <w:contextualSpacing/>
        <w:jc w:val="both"/>
        <w:rPr>
          <w:rFonts w:ascii="Arial" w:hAnsi="Arial" w:cs="Arial"/>
          <w:sz w:val="24"/>
          <w:szCs w:val="24"/>
          <w:lang w:eastAsia="en-US"/>
        </w:rPr>
      </w:pPr>
    </w:p>
    <w:p w:rsidR="007A4C18" w:rsidRPr="00F865AD" w:rsidRDefault="007A4C18" w:rsidP="00F865AD">
      <w:pPr>
        <w:widowControl w:val="0"/>
        <w:numPr>
          <w:ilvl w:val="0"/>
          <w:numId w:val="4"/>
        </w:numPr>
        <w:spacing w:before="20" w:after="0" w:line="240" w:lineRule="auto"/>
        <w:ind w:left="426" w:hanging="426"/>
        <w:contextualSpacing/>
        <w:jc w:val="both"/>
        <w:rPr>
          <w:rFonts w:ascii="Arial" w:hAnsi="Arial" w:cs="Arial"/>
          <w:sz w:val="24"/>
          <w:szCs w:val="24"/>
        </w:rPr>
      </w:pPr>
      <w:r>
        <w:rPr>
          <w:rFonts w:ascii="Arial" w:hAnsi="Arial" w:cs="Arial"/>
          <w:sz w:val="24"/>
          <w:szCs w:val="24"/>
          <w:lang w:eastAsia="en-US"/>
        </w:rPr>
        <w:t>The issues raised in response to the public consultation are set out in more detail below, followed by the Government response to each aspect</w:t>
      </w:r>
      <w:r w:rsidRPr="00717862">
        <w:rPr>
          <w:rFonts w:ascii="Arial" w:hAnsi="Arial" w:cs="Arial"/>
          <w:sz w:val="24"/>
          <w:szCs w:val="24"/>
          <w:lang w:eastAsia="en-US"/>
        </w:rPr>
        <w:t xml:space="preserve">. In summary, we </w:t>
      </w:r>
      <w:r>
        <w:rPr>
          <w:rFonts w:ascii="Arial" w:hAnsi="Arial" w:cs="Arial"/>
          <w:sz w:val="24"/>
          <w:szCs w:val="24"/>
          <w:lang w:eastAsia="en-US"/>
        </w:rPr>
        <w:t xml:space="preserve">consider that the British Library’s proposal for how it would manage the running of PLR addresses the concerns and issues raised, and that the proposed abolition of the Registrar of PLR and the transfer of functions to the British Library will achieve the Government’s aims of reducing the number of public bodies and improving the exercise of public functions having regard to economy, efficiency, effectiveness and accountability. </w:t>
      </w:r>
    </w:p>
    <w:p w:rsidR="007A4C18" w:rsidRDefault="007A4C18" w:rsidP="00F865AD">
      <w:pPr>
        <w:widowControl w:val="0"/>
        <w:spacing w:before="20" w:after="0" w:line="240" w:lineRule="auto"/>
        <w:contextualSpacing/>
        <w:jc w:val="both"/>
        <w:rPr>
          <w:rFonts w:ascii="Arial" w:hAnsi="Arial" w:cs="Arial"/>
          <w:sz w:val="24"/>
          <w:szCs w:val="24"/>
          <w:lang w:eastAsia="en-US"/>
        </w:rPr>
      </w:pPr>
    </w:p>
    <w:p w:rsidR="007A4C18" w:rsidRPr="00717862" w:rsidRDefault="007A4C18" w:rsidP="00F865AD">
      <w:pPr>
        <w:widowControl w:val="0"/>
        <w:spacing w:before="20" w:after="0" w:line="240" w:lineRule="auto"/>
        <w:contextualSpacing/>
        <w:jc w:val="both"/>
        <w:rPr>
          <w:rFonts w:ascii="Arial" w:hAnsi="Arial" w:cs="Arial"/>
          <w:sz w:val="24"/>
          <w:szCs w:val="24"/>
        </w:rPr>
      </w:pPr>
    </w:p>
    <w:p w:rsidR="007A4C18" w:rsidRPr="00717862" w:rsidRDefault="007A4C18" w:rsidP="0099441B">
      <w:pPr>
        <w:keepNext/>
        <w:keepLines/>
        <w:spacing w:after="0"/>
        <w:outlineLvl w:val="0"/>
        <w:rPr>
          <w:rFonts w:ascii="Arial" w:hAnsi="Arial" w:cs="Arial"/>
          <w:b/>
          <w:bCs/>
          <w:sz w:val="24"/>
          <w:szCs w:val="24"/>
        </w:rPr>
      </w:pPr>
      <w:bookmarkStart w:id="2" w:name="_Toc336512010"/>
      <w:r>
        <w:rPr>
          <w:rFonts w:ascii="Arial" w:hAnsi="Arial" w:cs="Arial"/>
          <w:b/>
          <w:bCs/>
          <w:sz w:val="24"/>
          <w:szCs w:val="24"/>
        </w:rPr>
        <w:t>R</w:t>
      </w:r>
      <w:r w:rsidRPr="00717862">
        <w:rPr>
          <w:rFonts w:ascii="Arial" w:hAnsi="Arial" w:cs="Arial"/>
          <w:b/>
          <w:bCs/>
          <w:sz w:val="24"/>
          <w:szCs w:val="24"/>
        </w:rPr>
        <w:t>esponses to the consultation</w:t>
      </w:r>
      <w:bookmarkEnd w:id="2"/>
    </w:p>
    <w:p w:rsidR="007A4C18" w:rsidRPr="00717862" w:rsidRDefault="007A4C18" w:rsidP="0099441B">
      <w:pPr>
        <w:spacing w:after="0" w:line="240" w:lineRule="auto"/>
        <w:jc w:val="both"/>
        <w:rPr>
          <w:rFonts w:ascii="Arial" w:hAnsi="Arial" w:cs="Arial"/>
          <w:b/>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There were 1015 respondents to the public consultation, comprising: 740 rights holders (authors, illustrators, translators, editors, and literary executors); 238 other individuals (the majority of whom do not specify their role/interest or whether they are rights holders, though a small number identify themselves as aspiring and unpublished authors, readers and library users); and professional bodies and other organisations and interested parties, as listed at Annex A</w:t>
      </w:r>
      <w:r>
        <w:rPr>
          <w:rFonts w:ascii="Arial" w:hAnsi="Arial" w:cs="Arial"/>
          <w:sz w:val="24"/>
          <w:szCs w:val="24"/>
        </w:rPr>
        <w:t xml:space="preserve"> of the </w:t>
      </w:r>
      <w:hyperlink r:id="rId12" w:history="1">
        <w:r w:rsidRPr="00A1252F">
          <w:rPr>
            <w:rStyle w:val="Hyperlink"/>
            <w:rFonts w:ascii="Arial" w:hAnsi="Arial" w:cs="Arial"/>
            <w:sz w:val="24"/>
            <w:szCs w:val="24"/>
          </w:rPr>
          <w:t>summary of consultation responses</w:t>
        </w:r>
      </w:hyperlink>
      <w:r>
        <w:rPr>
          <w:rFonts w:ascii="Arial" w:hAnsi="Arial" w:cs="Arial"/>
          <w:sz w:val="24"/>
          <w:szCs w:val="24"/>
        </w:rPr>
        <w:t xml:space="preserve"> published on the DCMS website</w:t>
      </w:r>
      <w:r w:rsidRPr="00717862">
        <w:rPr>
          <w:rFonts w:ascii="Arial" w:hAnsi="Arial" w:cs="Arial"/>
          <w:sz w:val="24"/>
          <w:szCs w:val="24"/>
        </w:rPr>
        <w:t>.</w:t>
      </w:r>
    </w:p>
    <w:p w:rsidR="007A4C18" w:rsidRPr="00717862" w:rsidRDefault="007A4C18" w:rsidP="0099441B">
      <w:pPr>
        <w:widowControl w:val="0"/>
        <w:spacing w:before="20" w:after="0" w:line="240" w:lineRule="auto"/>
        <w:ind w:left="720"/>
        <w:contextualSpacing/>
        <w:jc w:val="both"/>
        <w:rPr>
          <w:rFonts w:ascii="Arial" w:hAnsi="Arial" w:cs="Arial"/>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 xml:space="preserve">In addition to the 1015 responses, there were a small number where the proposal being consulted </w:t>
      </w:r>
      <w:r>
        <w:rPr>
          <w:rFonts w:ascii="Arial" w:hAnsi="Arial" w:cs="Arial"/>
          <w:sz w:val="24"/>
          <w:szCs w:val="24"/>
        </w:rPr>
        <w:t>on has been misinterpreted:</w:t>
      </w:r>
      <w:r w:rsidRPr="00717862">
        <w:rPr>
          <w:rFonts w:ascii="Arial" w:hAnsi="Arial" w:cs="Arial"/>
          <w:sz w:val="24"/>
          <w:szCs w:val="24"/>
        </w:rPr>
        <w:t xml:space="preserve"> 24 respondents gave their views about what they understood to be proposals to stop</w:t>
      </w:r>
      <w:r>
        <w:rPr>
          <w:rFonts w:ascii="Arial" w:hAnsi="Arial" w:cs="Arial"/>
          <w:sz w:val="24"/>
          <w:szCs w:val="24"/>
        </w:rPr>
        <w:t xml:space="preserve"> making PLR payments to authors;</w:t>
      </w:r>
      <w:r w:rsidRPr="00717862">
        <w:rPr>
          <w:rFonts w:ascii="Arial" w:hAnsi="Arial" w:cs="Arial"/>
          <w:sz w:val="24"/>
          <w:szCs w:val="24"/>
        </w:rPr>
        <w:t xml:space="preserve"> and 29 respondents gave their views about what they understood to be proposals to abolish the Authors’ Licensing and Collecting Society (ALCS), an organisation which administers payments due to rights holders from a number of European PLR schemes.</w:t>
      </w:r>
    </w:p>
    <w:p w:rsidR="007A4C18" w:rsidRPr="00717862" w:rsidRDefault="007A4C18" w:rsidP="0099441B">
      <w:pPr>
        <w:widowControl w:val="0"/>
        <w:spacing w:before="20" w:after="0" w:line="240" w:lineRule="auto"/>
        <w:ind w:left="720"/>
        <w:contextualSpacing/>
        <w:rPr>
          <w:rFonts w:ascii="Arial" w:hAnsi="Arial" w:cs="Arial"/>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The consultation asked 3 questions, and summaries of the responses to each are set out below</w:t>
      </w:r>
      <w:r>
        <w:rPr>
          <w:rFonts w:ascii="Arial" w:hAnsi="Arial" w:cs="Arial"/>
          <w:sz w:val="24"/>
          <w:szCs w:val="24"/>
        </w:rPr>
        <w:t>, followed by the Government response to the issues</w:t>
      </w:r>
      <w:r w:rsidRPr="00717862">
        <w:rPr>
          <w:rFonts w:ascii="Arial" w:hAnsi="Arial" w:cs="Arial"/>
          <w:sz w:val="24"/>
          <w:szCs w:val="24"/>
        </w:rPr>
        <w:t xml:space="preserve">. The vast majority of respondents (over 90%) did not refer to or answer the questions directly, and their comments have been summarised under the appropriate section(s) below. </w:t>
      </w:r>
    </w:p>
    <w:p w:rsidR="007A4C18" w:rsidRPr="00717862"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Pr="00717862" w:rsidRDefault="007A4C18" w:rsidP="0099441B">
      <w:pPr>
        <w:spacing w:after="0" w:line="240" w:lineRule="auto"/>
        <w:rPr>
          <w:rFonts w:ascii="Arial" w:hAnsi="Arial" w:cs="Arial"/>
          <w:b/>
          <w:sz w:val="24"/>
          <w:szCs w:val="24"/>
        </w:rPr>
      </w:pPr>
    </w:p>
    <w:p w:rsidR="007A4C18" w:rsidRPr="00717862" w:rsidRDefault="007A4C18" w:rsidP="0099441B">
      <w:pPr>
        <w:widowControl w:val="0"/>
        <w:spacing w:after="0" w:line="240" w:lineRule="auto"/>
        <w:contextualSpacing/>
        <w:jc w:val="both"/>
        <w:rPr>
          <w:rFonts w:ascii="Arial" w:hAnsi="Arial" w:cs="Arial"/>
          <w:b/>
          <w:i/>
          <w:sz w:val="24"/>
          <w:szCs w:val="24"/>
        </w:rPr>
      </w:pPr>
      <w:r w:rsidRPr="00717862">
        <w:rPr>
          <w:rFonts w:ascii="Arial" w:hAnsi="Arial" w:cs="Arial"/>
          <w:b/>
          <w:i/>
          <w:sz w:val="24"/>
          <w:szCs w:val="24"/>
        </w:rPr>
        <w:t>Q1: While acknowledging the effective administration of PLR by the Registrar, the government is now proposing to transfer the statutory function of administering the PLR scheme from the Registrar to another existing public body, effectively abolishing the Registrar as a separate public body. Please provide your views on whether you think the PLR functions should be transferred to another body.</w:t>
      </w:r>
    </w:p>
    <w:p w:rsidR="007A4C18" w:rsidRPr="00717862" w:rsidRDefault="007A4C18" w:rsidP="0099441B">
      <w:pPr>
        <w:widowControl w:val="0"/>
        <w:spacing w:after="0" w:line="240" w:lineRule="auto"/>
        <w:contextualSpacing/>
        <w:jc w:val="both"/>
        <w:rPr>
          <w:rFonts w:ascii="Arial" w:hAnsi="Arial" w:cs="Arial"/>
          <w:i/>
          <w:sz w:val="24"/>
          <w:szCs w:val="24"/>
        </w:rPr>
      </w:pPr>
    </w:p>
    <w:p w:rsidR="007A4C18" w:rsidRPr="00717862" w:rsidRDefault="007A4C18" w:rsidP="0099441B">
      <w:pPr>
        <w:widowControl w:val="0"/>
        <w:spacing w:before="20" w:after="0" w:line="240" w:lineRule="auto"/>
        <w:ind w:left="426"/>
        <w:contextualSpacing/>
        <w:jc w:val="both"/>
        <w:rPr>
          <w:rFonts w:ascii="Arial" w:hAnsi="Arial" w:cs="Arial"/>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 xml:space="preserve">948 respondents are of the view that the PLR functions should not be transferred to another body. </w:t>
      </w:r>
    </w:p>
    <w:p w:rsidR="007A4C18" w:rsidRPr="00717862" w:rsidRDefault="007A4C18" w:rsidP="0099441B">
      <w:pPr>
        <w:widowControl w:val="0"/>
        <w:spacing w:before="20" w:after="0" w:line="240" w:lineRule="auto"/>
        <w:ind w:left="426"/>
        <w:contextualSpacing/>
        <w:jc w:val="both"/>
        <w:rPr>
          <w:rFonts w:ascii="Arial" w:hAnsi="Arial" w:cs="Arial"/>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30 respondents are of the view that the PLR functions should be transferred to another body; some of these are conditional on a number of factors, including: the British Library being funded adequately to take on the function; the transfer not resulting in increased expenditure; savings being made and added to the authors’ fund; existing staff being located in a convenient locality and their salaries not reduced; and the high quality service of the existing PLR office being maintained. 1 additional respondent does “not oppose” the transfer, provided that jobs are not transferred away from the North East; and 3 other respondents give ambiguous answers, or answer both for and against a transfer, depending on whether savings can be made and the author fund increased.</w:t>
      </w:r>
    </w:p>
    <w:p w:rsidR="007A4C18" w:rsidRPr="00717862" w:rsidRDefault="007A4C18" w:rsidP="0099441B">
      <w:pPr>
        <w:widowControl w:val="0"/>
        <w:spacing w:before="20" w:after="0" w:line="240" w:lineRule="auto"/>
        <w:ind w:left="720"/>
        <w:contextualSpacing/>
        <w:rPr>
          <w:rFonts w:ascii="Arial" w:hAnsi="Arial" w:cs="Arial"/>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 xml:space="preserve">In addition to these, 8 respondents are of the view that the PLR functions should be transferred to another body, but to ALCS rather than the Government’s preferred option of the British Library. 1 respondent is of the view that the options “should include transferring PLR due to Welsh authors to a new devolved body in </w:t>
      </w:r>
      <w:smartTag w:uri="urn:schemas-microsoft-com:office:smarttags" w:element="place">
        <w:smartTag w:uri="urn:schemas-microsoft-com:office:smarttags" w:element="country-region">
          <w:r w:rsidRPr="00717862">
            <w:rPr>
              <w:rFonts w:ascii="Arial" w:hAnsi="Arial" w:cs="Arial"/>
              <w:sz w:val="24"/>
              <w:szCs w:val="24"/>
            </w:rPr>
            <w:t>Wales</w:t>
          </w:r>
        </w:smartTag>
      </w:smartTag>
      <w:r w:rsidRPr="00717862">
        <w:rPr>
          <w:rFonts w:ascii="Arial" w:hAnsi="Arial" w:cs="Arial"/>
          <w:sz w:val="24"/>
          <w:szCs w:val="24"/>
        </w:rPr>
        <w:t xml:space="preserve">”. </w:t>
      </w:r>
      <w:r w:rsidRPr="00717862">
        <w:rPr>
          <w:rFonts w:ascii="Arial" w:hAnsi="Arial" w:cs="Arial"/>
          <w:sz w:val="24"/>
          <w:szCs w:val="24"/>
        </w:rPr>
        <w:br/>
      </w: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1 respondent does not know if they think the PLR functions should be transferred; and 23 do not provide a view on whether they agree with a transfer but do provide views on: the importance of PLR payments to authors; the importance of PLR and public libraries generally; the loans sample used by PLR; the eligibility criteria; the distribution of payments to authors; the importance of impartiality to the operation of PLR; or seek assurances that the level of service would be maintained. Of these 23, 1 respondent is of the view that “all state involvement in the arts should be abolished” and 1 is of the view that the PLR fund to authors should instead be distributed to support public libraries.</w:t>
      </w:r>
    </w:p>
    <w:p w:rsidR="007A4C18" w:rsidRPr="00717862" w:rsidRDefault="007A4C18" w:rsidP="0099441B">
      <w:pPr>
        <w:widowControl w:val="0"/>
        <w:spacing w:before="20" w:after="0" w:line="240" w:lineRule="auto"/>
        <w:ind w:left="426"/>
        <w:contextualSpacing/>
        <w:jc w:val="both"/>
        <w:rPr>
          <w:rFonts w:ascii="Arial" w:hAnsi="Arial" w:cs="Arial"/>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Of those respondents of the view that the PLR function should not be transferred, 85% comment on the service the Registrar and PLR office provides to authors, which is widely held to be “excellent”, “effective” and “efficient”. Many rights holders’ comments relate to the high degree of confidence they have in the administration of PLR, and in the staff who respondents regard as knowledgeable, experienced and helpful.</w:t>
      </w:r>
    </w:p>
    <w:p w:rsidR="007A4C18" w:rsidRPr="00717862" w:rsidRDefault="007A4C18" w:rsidP="0099441B">
      <w:pPr>
        <w:widowControl w:val="0"/>
        <w:spacing w:before="20" w:after="0" w:line="240" w:lineRule="auto"/>
        <w:ind w:left="720"/>
        <w:contextualSpacing/>
        <w:rPr>
          <w:rFonts w:ascii="Arial" w:hAnsi="Arial" w:cs="Arial"/>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 xml:space="preserve">Almost half of those who think PLR should not be transferred comment on the costs and savings of a transfer, raise concerns about potential transition costs, or question whether the savings would outweigh the costs. About 7% comment on the absence of estimated costs and savings in the consultation document and consultation stage impact assessment; about a quarter comment on the value of PLR payments to authors; and a small number express a fear that the author fund might decrease if the costs of transfer are underestimated. A number also refer to the reduction in PLR’s grant-in-aid. Responses from Neilson Book Services, ALCS, and a joint submission from RSL and a number of bodies (ALCS, Society of Authors, Writers’ Guild, Association of Authors’ Agents, Association of Illustrators, Creators’ Rights Alliance, National Union of Journalists, Poetry Book Society, and the Historical Writers’ Association) state that they would commit to working with PLR to identify and deliver potential efficiencies. </w:t>
      </w:r>
    </w:p>
    <w:p w:rsidR="007A4C18" w:rsidRPr="00717862" w:rsidRDefault="007A4C18" w:rsidP="0099441B">
      <w:pPr>
        <w:widowControl w:val="0"/>
        <w:spacing w:before="20" w:after="0" w:line="240" w:lineRule="auto"/>
        <w:ind w:left="720"/>
        <w:contextualSpacing/>
        <w:rPr>
          <w:rFonts w:ascii="Arial" w:hAnsi="Arial" w:cs="Arial"/>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Other concerns are around loss of knowledge and experience (i.e.</w:t>
      </w:r>
      <w:r>
        <w:rPr>
          <w:rFonts w:ascii="Arial" w:hAnsi="Arial" w:cs="Arial"/>
          <w:sz w:val="24"/>
          <w:szCs w:val="24"/>
        </w:rPr>
        <w:t xml:space="preserve"> if there wer</w:t>
      </w:r>
      <w:r w:rsidRPr="00717862">
        <w:rPr>
          <w:rFonts w:ascii="Arial" w:hAnsi="Arial" w:cs="Arial"/>
          <w:sz w:val="24"/>
          <w:szCs w:val="24"/>
        </w:rPr>
        <w:t>e</w:t>
      </w:r>
      <w:r>
        <w:rPr>
          <w:rFonts w:ascii="Arial" w:hAnsi="Arial" w:cs="Arial"/>
          <w:sz w:val="24"/>
          <w:szCs w:val="24"/>
        </w:rPr>
        <w:t xml:space="preserve"> to be</w:t>
      </w:r>
      <w:r w:rsidRPr="00717862">
        <w:rPr>
          <w:rFonts w:ascii="Arial" w:hAnsi="Arial" w:cs="Arial"/>
          <w:sz w:val="24"/>
          <w:szCs w:val="24"/>
        </w:rPr>
        <w:t xml:space="preserve"> changes to staffing); and/or related to the loss of jobs from the North East. Submissions were received focussing on concerns about potential impact on the North East from: the Public and Commercial Services Union (PCS); Cllr Bob Cook, Leader of Stockton-on-Tees Borough Council; Tees Valley Unlimited, the Local Enterprise Partnership; James Wharton, MP for Stockton South; and Alex Cunningham, MP for Stockton North.</w:t>
      </w:r>
      <w:r w:rsidRPr="00717862">
        <w:rPr>
          <w:rFonts w:ascii="Arial" w:hAnsi="Arial" w:cs="Arial"/>
          <w:sz w:val="24"/>
          <w:szCs w:val="24"/>
        </w:rPr>
        <w:br/>
      </w: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 xml:space="preserve">Some respondents commented on the importance of the independence and/or impartiality of the existing NDPB. </w:t>
      </w:r>
    </w:p>
    <w:p w:rsidR="007A4C18" w:rsidRPr="00717862" w:rsidRDefault="007A4C18" w:rsidP="0099441B">
      <w:pPr>
        <w:widowControl w:val="0"/>
        <w:spacing w:before="20" w:after="0" w:line="240" w:lineRule="auto"/>
        <w:ind w:left="720"/>
        <w:contextualSpacing/>
        <w:rPr>
          <w:rFonts w:ascii="Arial" w:hAnsi="Arial" w:cs="Arial"/>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 xml:space="preserve">Around 5% of those who do not think PLR should be transferred do not specify the reason. </w:t>
      </w:r>
    </w:p>
    <w:p w:rsidR="007A4C18" w:rsidRPr="00717862" w:rsidRDefault="007A4C18" w:rsidP="000A46D4">
      <w:pPr>
        <w:spacing w:after="0" w:line="240" w:lineRule="auto"/>
        <w:rPr>
          <w:rFonts w:ascii="Arial" w:hAnsi="Arial" w:cs="Arial"/>
          <w:sz w:val="24"/>
          <w:szCs w:val="24"/>
          <w:u w:val="single"/>
        </w:rPr>
      </w:pPr>
    </w:p>
    <w:p w:rsidR="007A4C18" w:rsidRPr="00721FE2" w:rsidRDefault="007A4C18" w:rsidP="00961B55">
      <w:pPr>
        <w:widowControl w:val="0"/>
        <w:numPr>
          <w:ilvl w:val="0"/>
          <w:numId w:val="4"/>
        </w:numPr>
        <w:spacing w:before="20" w:after="0" w:line="240" w:lineRule="auto"/>
        <w:contextualSpacing/>
        <w:jc w:val="both"/>
        <w:rPr>
          <w:rFonts w:ascii="Arial" w:hAnsi="Arial" w:cs="Arial"/>
          <w:b/>
          <w:sz w:val="24"/>
          <w:szCs w:val="24"/>
        </w:rPr>
      </w:pPr>
      <w:r w:rsidRPr="00717862">
        <w:rPr>
          <w:rFonts w:ascii="Arial" w:hAnsi="Arial" w:cs="Arial"/>
          <w:b/>
          <w:sz w:val="24"/>
          <w:szCs w:val="24"/>
        </w:rPr>
        <w:t xml:space="preserve">Government response: </w:t>
      </w:r>
      <w:r>
        <w:rPr>
          <w:rFonts w:ascii="Arial" w:hAnsi="Arial" w:cs="Arial"/>
          <w:b/>
          <w:sz w:val="24"/>
          <w:szCs w:val="24"/>
        </w:rPr>
        <w:t xml:space="preserve">It is clear from the response to the public consultation that PLR rights holders and other stakeholders view the service provided by the Registrar and the PLR office as “excellent”, “effective” and “efficient” and the majority of respondents are of the view that the operation should remain as it is. The Government agrees that the Registrar and his staff provide an effective and efficient service and we share the confidence the respondents express in the administration of PLR. However, our </w:t>
      </w:r>
      <w:r w:rsidRPr="00386009">
        <w:rPr>
          <w:rFonts w:ascii="Arial" w:hAnsi="Arial" w:cs="Arial"/>
          <w:b/>
          <w:sz w:val="24"/>
          <w:szCs w:val="24"/>
        </w:rPr>
        <w:t xml:space="preserve">proposal is motivated by the increasing demand for the Registrar to deliver efficiency savings and the limitations of </w:t>
      </w:r>
      <w:r>
        <w:rPr>
          <w:rFonts w:ascii="Arial" w:hAnsi="Arial" w:cs="Arial"/>
          <w:b/>
          <w:sz w:val="24"/>
          <w:szCs w:val="24"/>
        </w:rPr>
        <w:t>doing so given the small size of the non-departmental public body (the Registrar is supported by 8.74</w:t>
      </w:r>
      <w:r w:rsidRPr="00386009">
        <w:rPr>
          <w:rFonts w:ascii="Arial" w:hAnsi="Arial" w:cs="Arial"/>
          <w:b/>
          <w:sz w:val="24"/>
          <w:szCs w:val="24"/>
        </w:rPr>
        <w:t xml:space="preserve"> full-time eq</w:t>
      </w:r>
      <w:r>
        <w:rPr>
          <w:rFonts w:ascii="Arial" w:hAnsi="Arial" w:cs="Arial"/>
          <w:b/>
          <w:sz w:val="24"/>
          <w:szCs w:val="24"/>
        </w:rPr>
        <w:t>uivalent staff</w:t>
      </w:r>
      <w:r w:rsidRPr="00386009">
        <w:rPr>
          <w:rFonts w:ascii="Arial" w:hAnsi="Arial" w:cs="Arial"/>
          <w:b/>
          <w:sz w:val="24"/>
          <w:szCs w:val="24"/>
        </w:rPr>
        <w:t xml:space="preserve"> in an office in Stockton-on-Tees</w:t>
      </w:r>
      <w:r>
        <w:rPr>
          <w:rFonts w:ascii="Arial" w:hAnsi="Arial" w:cs="Arial"/>
          <w:b/>
          <w:sz w:val="24"/>
          <w:szCs w:val="24"/>
        </w:rPr>
        <w:t>).</w:t>
      </w:r>
      <w:r w:rsidRPr="00DF5DED">
        <w:t xml:space="preserve"> </w:t>
      </w:r>
      <w:r>
        <w:rPr>
          <w:rFonts w:ascii="Arial" w:hAnsi="Arial" w:cs="Arial"/>
          <w:b/>
          <w:sz w:val="24"/>
          <w:szCs w:val="24"/>
        </w:rPr>
        <w:t>T</w:t>
      </w:r>
      <w:r w:rsidRPr="00DF5DED">
        <w:rPr>
          <w:rFonts w:ascii="Arial" w:hAnsi="Arial" w:cs="Arial"/>
          <w:b/>
          <w:sz w:val="24"/>
          <w:szCs w:val="24"/>
        </w:rPr>
        <w:t>he de</w:t>
      </w:r>
      <w:r>
        <w:rPr>
          <w:rFonts w:ascii="Arial" w:hAnsi="Arial" w:cs="Arial"/>
          <w:b/>
          <w:sz w:val="24"/>
          <w:szCs w:val="24"/>
        </w:rPr>
        <w:t>cision was taken in the Comprehensive Spending Review</w:t>
      </w:r>
      <w:r w:rsidRPr="00DF5DED">
        <w:rPr>
          <w:rFonts w:ascii="Arial" w:hAnsi="Arial" w:cs="Arial"/>
          <w:b/>
          <w:sz w:val="24"/>
          <w:szCs w:val="24"/>
        </w:rPr>
        <w:t xml:space="preserve"> to reduce the resource grant-in-aid budget for PLR by 15% in real terms over the spending period (from April 2011 to April 2015), and the proportion of grant-in-aid used to administer the scheme was capped at £756k p.a.. </w:t>
      </w:r>
      <w:r w:rsidRPr="00961B55">
        <w:rPr>
          <w:rFonts w:ascii="Arial" w:hAnsi="Arial" w:cs="Arial"/>
          <w:b/>
          <w:sz w:val="24"/>
          <w:szCs w:val="24"/>
        </w:rPr>
        <w:t xml:space="preserve">Transferring the PLR functions into a larger body </w:t>
      </w:r>
      <w:r>
        <w:rPr>
          <w:rFonts w:ascii="Arial" w:hAnsi="Arial" w:cs="Arial"/>
          <w:b/>
          <w:sz w:val="24"/>
          <w:szCs w:val="24"/>
        </w:rPr>
        <w:t xml:space="preserve">has the potential to achieve greater efficiency savings than </w:t>
      </w:r>
      <w:r w:rsidRPr="00961B55">
        <w:rPr>
          <w:rFonts w:ascii="Arial" w:hAnsi="Arial" w:cs="Arial"/>
          <w:b/>
          <w:sz w:val="24"/>
          <w:szCs w:val="24"/>
        </w:rPr>
        <w:t>are achievable by a small body operating at near maximum efficiency</w:t>
      </w:r>
      <w:r w:rsidR="0071401F">
        <w:rPr>
          <w:rFonts w:ascii="Arial" w:hAnsi="Arial" w:cs="Arial"/>
          <w:b/>
          <w:sz w:val="24"/>
          <w:szCs w:val="24"/>
        </w:rPr>
        <w:t>. While no assumpti</w:t>
      </w:r>
      <w:r w:rsidR="0063785F">
        <w:rPr>
          <w:rFonts w:ascii="Arial" w:hAnsi="Arial" w:cs="Arial"/>
          <w:b/>
          <w:sz w:val="24"/>
          <w:szCs w:val="24"/>
        </w:rPr>
        <w:t>ons can be made about future Spending Review</w:t>
      </w:r>
      <w:r w:rsidR="0071401F">
        <w:rPr>
          <w:rFonts w:ascii="Arial" w:hAnsi="Arial" w:cs="Arial"/>
          <w:b/>
          <w:sz w:val="24"/>
          <w:szCs w:val="24"/>
        </w:rPr>
        <w:t xml:space="preserve"> settlements, and it is therefore not possible to predict the amount of funding available for payments to authors in future years, </w:t>
      </w:r>
      <w:r w:rsidRPr="0063785F">
        <w:rPr>
          <w:rFonts w:ascii="Arial" w:hAnsi="Arial" w:cs="Arial"/>
          <w:b/>
          <w:sz w:val="24"/>
          <w:szCs w:val="24"/>
        </w:rPr>
        <w:t xml:space="preserve">a transfer offers </w:t>
      </w:r>
      <w:r w:rsidR="0063785F" w:rsidRPr="0063785F">
        <w:rPr>
          <w:rFonts w:ascii="Arial" w:hAnsi="Arial" w:cs="Arial"/>
          <w:b/>
          <w:sz w:val="24"/>
          <w:szCs w:val="24"/>
        </w:rPr>
        <w:t>to maximise</w:t>
      </w:r>
      <w:r w:rsidR="0071401F" w:rsidRPr="0063785F">
        <w:rPr>
          <w:rFonts w:ascii="Arial" w:hAnsi="Arial" w:cs="Arial"/>
          <w:b/>
          <w:sz w:val="24"/>
          <w:szCs w:val="24"/>
        </w:rPr>
        <w:t xml:space="preserve"> the proportion of available grant-in-aid to be </w:t>
      </w:r>
      <w:r w:rsidR="009F4AE6">
        <w:rPr>
          <w:rFonts w:ascii="Arial" w:hAnsi="Arial" w:cs="Arial"/>
          <w:b/>
          <w:sz w:val="24"/>
          <w:szCs w:val="24"/>
        </w:rPr>
        <w:t>distributed as PLR payments</w:t>
      </w:r>
      <w:r w:rsidR="0071401F" w:rsidRPr="0063785F">
        <w:rPr>
          <w:rFonts w:ascii="Arial" w:hAnsi="Arial" w:cs="Arial"/>
          <w:b/>
          <w:sz w:val="24"/>
          <w:szCs w:val="24"/>
        </w:rPr>
        <w:t xml:space="preserve"> to authors. </w:t>
      </w:r>
    </w:p>
    <w:p w:rsidR="007A4C18" w:rsidRPr="00721FE2" w:rsidRDefault="007A4C18" w:rsidP="00040D66">
      <w:pPr>
        <w:widowControl w:val="0"/>
        <w:spacing w:before="20" w:after="0" w:line="240" w:lineRule="auto"/>
        <w:contextualSpacing/>
        <w:jc w:val="both"/>
        <w:rPr>
          <w:rFonts w:ascii="Arial" w:hAnsi="Arial" w:cs="Arial"/>
          <w:b/>
          <w:sz w:val="24"/>
          <w:szCs w:val="24"/>
        </w:rPr>
      </w:pPr>
    </w:p>
    <w:p w:rsidR="007A4C18" w:rsidRPr="00B07805" w:rsidRDefault="007A4C18" w:rsidP="00A20ADC">
      <w:pPr>
        <w:widowControl w:val="0"/>
        <w:numPr>
          <w:ilvl w:val="0"/>
          <w:numId w:val="4"/>
        </w:numPr>
        <w:spacing w:before="20" w:after="0" w:line="240" w:lineRule="auto"/>
        <w:contextualSpacing/>
        <w:jc w:val="both"/>
        <w:rPr>
          <w:rFonts w:ascii="Arial" w:hAnsi="Arial" w:cs="Arial"/>
          <w:b/>
          <w:sz w:val="24"/>
          <w:szCs w:val="24"/>
        </w:rPr>
      </w:pPr>
      <w:r w:rsidRPr="00B07805">
        <w:rPr>
          <w:rFonts w:ascii="Arial" w:hAnsi="Arial" w:cs="Arial"/>
          <w:b/>
          <w:sz w:val="24"/>
          <w:szCs w:val="24"/>
        </w:rPr>
        <w:t>The consultation responses demonstrate that PLR rights holders are strongly supportive of the operation and workforce remaining at Stockton-on-Tees. At consultation stage, we were not able to say what the implications of a transfer would be in terms of the future of the Stockton-on-Tees office or the staff employed there, as operational decisions would be for the body taking over the functions. Now, following planning by the British Library and the Registrar, we are able to set out that the British Library has modelled its costs on retaining the operation at Stockton on Tees for the next 10 years,</w:t>
      </w:r>
      <w:r w:rsidR="00B07805">
        <w:rPr>
          <w:rFonts w:ascii="Arial" w:hAnsi="Arial" w:cs="Arial"/>
          <w:b/>
          <w:sz w:val="24"/>
          <w:szCs w:val="24"/>
        </w:rPr>
        <w:t xml:space="preserve"> </w:t>
      </w:r>
      <w:r w:rsidRPr="00B07805">
        <w:rPr>
          <w:rFonts w:ascii="Arial" w:hAnsi="Arial" w:cs="Arial"/>
          <w:b/>
          <w:sz w:val="24"/>
          <w:szCs w:val="24"/>
        </w:rPr>
        <w:t xml:space="preserve">and it has no plans to transfer the operation to Boston Spa in the next 10 years, although the effectiveness of this arrangement will be reviewed after 5 years.  As a result the service, and the staff providing it, will be maintained throughout the transition period. This represents a low-risk option which we consider addresses the concerns raised during the consultation, and would ensure a smooth transition with no impact on PLR rights holders. </w:t>
      </w:r>
    </w:p>
    <w:p w:rsidR="007A4C18" w:rsidRPr="00535F19" w:rsidRDefault="007A4C18" w:rsidP="00985BAF">
      <w:pPr>
        <w:widowControl w:val="0"/>
        <w:spacing w:before="20" w:after="0" w:line="240" w:lineRule="auto"/>
        <w:ind w:left="360"/>
        <w:contextualSpacing/>
        <w:jc w:val="both"/>
        <w:rPr>
          <w:rFonts w:ascii="Arial" w:hAnsi="Arial" w:cs="Arial"/>
          <w:b/>
          <w:sz w:val="24"/>
          <w:szCs w:val="24"/>
        </w:rPr>
      </w:pPr>
    </w:p>
    <w:p w:rsidR="007A4C18" w:rsidRPr="00DA13F0" w:rsidRDefault="007A4C18" w:rsidP="00C52BB8">
      <w:pPr>
        <w:widowControl w:val="0"/>
        <w:numPr>
          <w:ilvl w:val="0"/>
          <w:numId w:val="4"/>
        </w:numPr>
        <w:spacing w:before="20" w:after="0" w:line="240" w:lineRule="auto"/>
        <w:contextualSpacing/>
        <w:jc w:val="both"/>
        <w:rPr>
          <w:rFonts w:ascii="Arial" w:hAnsi="Arial" w:cs="Arial"/>
          <w:b/>
          <w:szCs w:val="24"/>
        </w:rPr>
      </w:pPr>
      <w:r w:rsidRPr="00DA13F0">
        <w:rPr>
          <w:rFonts w:ascii="Arial" w:hAnsi="Arial" w:cs="Arial"/>
          <w:b/>
          <w:sz w:val="24"/>
          <w:szCs w:val="24"/>
        </w:rPr>
        <w:t xml:space="preserve">Respondents had concerns around the potential for loss of knowledge and experience, should there be changes to staffing or a relocation of the office to the British Library’s Boston Spa or London offices; and concerns were expressed relating to the potential loss of jobs from the North East. Under the British Library’s proposals, all PLR staff would transfer to the British Library at the transfer date via TUPE and would continue to carry out their roles in the Stockton-on-Tees office, and </w:t>
      </w:r>
      <w:r w:rsidRPr="00C52BB8">
        <w:rPr>
          <w:rFonts w:ascii="Arial" w:hAnsi="Arial" w:cs="Arial"/>
          <w:b/>
          <w:sz w:val="24"/>
          <w:szCs w:val="24"/>
        </w:rPr>
        <w:t xml:space="preserve">the postholder of the current Registrar appointment </w:t>
      </w:r>
      <w:r w:rsidRPr="00DA13F0">
        <w:rPr>
          <w:rFonts w:ascii="Arial" w:hAnsi="Arial" w:cs="Arial"/>
          <w:b/>
          <w:sz w:val="24"/>
          <w:szCs w:val="24"/>
        </w:rPr>
        <w:t xml:space="preserve">would be contracted from the transfer/abolition date </w:t>
      </w:r>
      <w:r w:rsidRPr="00C52BB8">
        <w:rPr>
          <w:rFonts w:ascii="Arial" w:hAnsi="Arial" w:cs="Arial"/>
          <w:b/>
          <w:sz w:val="24"/>
          <w:szCs w:val="24"/>
        </w:rPr>
        <w:t>for an appropriate period of time</w:t>
      </w:r>
      <w:r>
        <w:rPr>
          <w:rFonts w:ascii="Arial" w:hAnsi="Arial" w:cs="Arial"/>
          <w:b/>
          <w:sz w:val="24"/>
          <w:szCs w:val="24"/>
        </w:rPr>
        <w:t xml:space="preserve"> </w:t>
      </w:r>
      <w:r w:rsidRPr="00DA13F0">
        <w:rPr>
          <w:rFonts w:ascii="Arial" w:hAnsi="Arial" w:cs="Arial"/>
          <w:b/>
          <w:sz w:val="24"/>
          <w:szCs w:val="24"/>
        </w:rPr>
        <w:t>to ensure a smooth transition, and successful knowledge transfer. After this transition period, a new Head of PLR</w:t>
      </w:r>
      <w:r>
        <w:rPr>
          <w:rFonts w:ascii="Arial" w:hAnsi="Arial" w:cs="Arial"/>
          <w:b/>
          <w:sz w:val="24"/>
          <w:szCs w:val="24"/>
        </w:rPr>
        <w:t>, likely to be</w:t>
      </w:r>
      <w:r w:rsidRPr="00DA13F0">
        <w:rPr>
          <w:rFonts w:ascii="Arial" w:hAnsi="Arial" w:cs="Arial"/>
          <w:b/>
          <w:sz w:val="24"/>
          <w:szCs w:val="24"/>
        </w:rPr>
        <w:t xml:space="preserve"> based in the </w:t>
      </w:r>
      <w:r>
        <w:rPr>
          <w:rFonts w:ascii="Arial" w:hAnsi="Arial" w:cs="Arial"/>
          <w:b/>
          <w:sz w:val="24"/>
          <w:szCs w:val="24"/>
        </w:rPr>
        <w:t>Library’s site at Boston Spa in Yorkshire,</w:t>
      </w:r>
      <w:r w:rsidRPr="00DA13F0">
        <w:rPr>
          <w:rFonts w:ascii="Arial" w:hAnsi="Arial" w:cs="Arial"/>
          <w:b/>
          <w:sz w:val="24"/>
          <w:szCs w:val="24"/>
        </w:rPr>
        <w:t xml:space="preserve"> would assume responsibility for the management of PLR (which would remain in Stockton-on-Tees). Economies of scale and the advantages of shared back-office services are expected to </w:t>
      </w:r>
      <w:r>
        <w:rPr>
          <w:rFonts w:ascii="Arial" w:hAnsi="Arial" w:cs="Arial"/>
          <w:b/>
          <w:sz w:val="24"/>
          <w:szCs w:val="24"/>
        </w:rPr>
        <w:t>deliver</w:t>
      </w:r>
      <w:r w:rsidRPr="00DA13F0">
        <w:rPr>
          <w:rFonts w:ascii="Arial" w:hAnsi="Arial" w:cs="Arial"/>
          <w:b/>
          <w:sz w:val="24"/>
          <w:szCs w:val="24"/>
        </w:rPr>
        <w:t xml:space="preserve"> </w:t>
      </w:r>
      <w:r>
        <w:rPr>
          <w:rFonts w:ascii="Arial" w:hAnsi="Arial" w:cs="Arial"/>
          <w:b/>
          <w:sz w:val="24"/>
          <w:szCs w:val="24"/>
        </w:rPr>
        <w:t>savings in administration in the future.</w:t>
      </w:r>
    </w:p>
    <w:p w:rsidR="007A4C18" w:rsidRPr="00DA13F0" w:rsidRDefault="007A4C18" w:rsidP="00DA13F0">
      <w:pPr>
        <w:widowControl w:val="0"/>
        <w:spacing w:before="20" w:after="0" w:line="240" w:lineRule="auto"/>
        <w:contextualSpacing/>
        <w:jc w:val="both"/>
        <w:rPr>
          <w:rFonts w:ascii="Arial" w:hAnsi="Arial" w:cs="Arial"/>
          <w:b/>
          <w:szCs w:val="24"/>
        </w:rPr>
      </w:pPr>
    </w:p>
    <w:p w:rsidR="007A4C18" w:rsidRPr="00E86CA4" w:rsidRDefault="007A4C18" w:rsidP="00E86CA4">
      <w:pPr>
        <w:pStyle w:val="ListParagraph"/>
        <w:numPr>
          <w:ilvl w:val="0"/>
          <w:numId w:val="4"/>
        </w:numPr>
        <w:rPr>
          <w:rFonts w:ascii="Arial" w:hAnsi="Arial" w:cs="Arial"/>
          <w:b/>
          <w:szCs w:val="24"/>
        </w:rPr>
      </w:pPr>
      <w:r w:rsidRPr="00E86CA4">
        <w:rPr>
          <w:rFonts w:ascii="Arial" w:hAnsi="Arial" w:cs="Arial"/>
          <w:b/>
          <w:szCs w:val="24"/>
        </w:rPr>
        <w:t xml:space="preserve">At consultation stage, we were able to confirm that the PLR author fund would not be used to pay for the transfer of functions and any future decrease in the rate per loan will not result from the transfer of the PLR functions. However, it was not proportionate to consider all the options in detail at that stage, and the Impact Assessment did not include monetised costs and benefits. Now, following planning by the Registrar and the British Library, we are able to confirm that a transfer to the British Library would achieve additional net present value (NPV) savings of </w:t>
      </w:r>
      <w:r>
        <w:rPr>
          <w:rFonts w:ascii="Arial" w:hAnsi="Arial" w:cs="Arial"/>
          <w:b/>
          <w:szCs w:val="24"/>
        </w:rPr>
        <w:t>between £0.</w:t>
      </w:r>
      <w:r w:rsidR="001F710B">
        <w:rPr>
          <w:rFonts w:ascii="Arial" w:hAnsi="Arial" w:cs="Arial"/>
          <w:b/>
          <w:szCs w:val="24"/>
        </w:rPr>
        <w:t>7</w:t>
      </w:r>
      <w:r>
        <w:rPr>
          <w:rFonts w:ascii="Arial" w:hAnsi="Arial" w:cs="Arial"/>
          <w:b/>
          <w:szCs w:val="24"/>
        </w:rPr>
        <w:t xml:space="preserve">5m and </w:t>
      </w:r>
      <w:r w:rsidRPr="00E86CA4">
        <w:rPr>
          <w:rFonts w:ascii="Arial" w:hAnsi="Arial" w:cs="Arial"/>
          <w:b/>
          <w:szCs w:val="24"/>
        </w:rPr>
        <w:t>£0.</w:t>
      </w:r>
      <w:r w:rsidR="001F710B">
        <w:rPr>
          <w:rFonts w:ascii="Arial" w:hAnsi="Arial" w:cs="Arial"/>
          <w:b/>
          <w:szCs w:val="24"/>
        </w:rPr>
        <w:t>81</w:t>
      </w:r>
      <w:r w:rsidRPr="00E86CA4">
        <w:rPr>
          <w:rFonts w:ascii="Arial" w:hAnsi="Arial" w:cs="Arial"/>
          <w:b/>
          <w:szCs w:val="24"/>
        </w:rPr>
        <w:t>m in the running costs of PLR over the 10 year appraisal period</w:t>
      </w:r>
      <w:r>
        <w:rPr>
          <w:rFonts w:ascii="Arial" w:hAnsi="Arial" w:cs="Arial"/>
          <w:b/>
          <w:szCs w:val="24"/>
        </w:rPr>
        <w:t xml:space="preserve"> set out in the accompanying Impact Assessment</w:t>
      </w:r>
      <w:r w:rsidRPr="00E86CA4">
        <w:rPr>
          <w:rFonts w:ascii="Arial" w:hAnsi="Arial" w:cs="Arial"/>
          <w:b/>
          <w:szCs w:val="24"/>
        </w:rPr>
        <w:t>. These savings are additional to a number of savings that have been identified by the Registrar</w:t>
      </w:r>
      <w:r>
        <w:rPr>
          <w:rFonts w:ascii="Arial" w:hAnsi="Arial" w:cs="Arial"/>
          <w:b/>
          <w:szCs w:val="24"/>
        </w:rPr>
        <w:t xml:space="preserve"> </w:t>
      </w:r>
      <w:r w:rsidRPr="00E86CA4">
        <w:rPr>
          <w:rFonts w:ascii="Arial" w:hAnsi="Arial" w:cs="Arial"/>
          <w:b/>
          <w:szCs w:val="24"/>
        </w:rPr>
        <w:t>w</w:t>
      </w:r>
      <w:r>
        <w:rPr>
          <w:rFonts w:ascii="Arial" w:hAnsi="Arial" w:cs="Arial"/>
          <w:b/>
          <w:szCs w:val="24"/>
        </w:rPr>
        <w:t xml:space="preserve">hich we will work to achieve in addition to </w:t>
      </w:r>
      <w:r w:rsidRPr="00E86CA4">
        <w:rPr>
          <w:rFonts w:ascii="Arial" w:hAnsi="Arial" w:cs="Arial"/>
          <w:b/>
          <w:szCs w:val="24"/>
        </w:rPr>
        <w:t>the transfer.</w:t>
      </w:r>
      <w:r>
        <w:rPr>
          <w:rFonts w:ascii="Arial" w:hAnsi="Arial" w:cs="Arial"/>
          <w:b/>
          <w:szCs w:val="24"/>
        </w:rPr>
        <w:t xml:space="preserve"> </w:t>
      </w:r>
      <w:r w:rsidRPr="00E86CA4">
        <w:rPr>
          <w:rFonts w:ascii="Arial" w:hAnsi="Arial" w:cs="Arial"/>
          <w:b/>
          <w:szCs w:val="24"/>
        </w:rPr>
        <w:t xml:space="preserve">This </w:t>
      </w:r>
      <w:r>
        <w:rPr>
          <w:rFonts w:ascii="Arial" w:hAnsi="Arial" w:cs="Arial"/>
          <w:b/>
          <w:szCs w:val="24"/>
        </w:rPr>
        <w:t>addresses</w:t>
      </w:r>
      <w:r w:rsidRPr="00E86CA4">
        <w:rPr>
          <w:rFonts w:ascii="Arial" w:hAnsi="Arial" w:cs="Arial"/>
          <w:b/>
          <w:szCs w:val="24"/>
        </w:rPr>
        <w:t xml:space="preserve"> the concerns about costs and savings expressed by almost half of those respondents of the view that PLR should not transfer.</w:t>
      </w:r>
      <w:r w:rsidR="0063785F">
        <w:rPr>
          <w:rFonts w:ascii="Arial" w:hAnsi="Arial" w:cs="Arial"/>
          <w:b/>
          <w:szCs w:val="24"/>
        </w:rPr>
        <w:t xml:space="preserve"> By minimising the costs of administering PLR, the proportion of available grant-in-aid </w:t>
      </w:r>
      <w:r w:rsidR="009F4AE6">
        <w:rPr>
          <w:rFonts w:ascii="Arial" w:hAnsi="Arial" w:cs="Arial"/>
          <w:b/>
          <w:szCs w:val="24"/>
        </w:rPr>
        <w:t>to</w:t>
      </w:r>
      <w:r w:rsidR="0063785F">
        <w:rPr>
          <w:rFonts w:ascii="Arial" w:hAnsi="Arial" w:cs="Arial"/>
          <w:b/>
          <w:szCs w:val="24"/>
        </w:rPr>
        <w:t xml:space="preserve"> be allocated to authors</w:t>
      </w:r>
      <w:r w:rsidR="009F4AE6">
        <w:rPr>
          <w:rFonts w:ascii="Arial" w:hAnsi="Arial" w:cs="Arial"/>
          <w:b/>
          <w:szCs w:val="24"/>
        </w:rPr>
        <w:t xml:space="preserve"> is maximised</w:t>
      </w:r>
      <w:r w:rsidR="0063785F">
        <w:rPr>
          <w:rFonts w:ascii="Arial" w:hAnsi="Arial" w:cs="Arial"/>
          <w:b/>
          <w:szCs w:val="24"/>
        </w:rPr>
        <w:t xml:space="preserve">. </w:t>
      </w:r>
    </w:p>
    <w:p w:rsidR="007A4C18" w:rsidRDefault="007A4C18" w:rsidP="009061F1">
      <w:pPr>
        <w:pStyle w:val="ListParagraph"/>
        <w:rPr>
          <w:rFonts w:ascii="Arial" w:hAnsi="Arial" w:cs="Arial"/>
          <w:b/>
          <w:szCs w:val="24"/>
        </w:rPr>
      </w:pPr>
    </w:p>
    <w:p w:rsidR="007A4C18" w:rsidRPr="00D52BE9" w:rsidRDefault="007A4C18" w:rsidP="00D52BE9">
      <w:pPr>
        <w:pStyle w:val="ListParagraph"/>
        <w:numPr>
          <w:ilvl w:val="0"/>
          <w:numId w:val="4"/>
        </w:numPr>
        <w:rPr>
          <w:rFonts w:ascii="Arial" w:hAnsi="Arial" w:cs="Arial"/>
          <w:b/>
          <w:color w:val="FF0000"/>
          <w:szCs w:val="24"/>
        </w:rPr>
      </w:pPr>
      <w:r w:rsidRPr="0079009E">
        <w:rPr>
          <w:rFonts w:ascii="Arial" w:hAnsi="Arial" w:cs="Arial"/>
          <w:b/>
          <w:szCs w:val="24"/>
        </w:rPr>
        <w:t xml:space="preserve">The independence and impartiality of the existing NDPB will be maintained by transfer to another public body at arm’s length from Government, and we consider that the British Library is well placed to represent the rights of authors. This final point is discussed in further detail under Q3 below. </w:t>
      </w:r>
      <w:r>
        <w:rPr>
          <w:rFonts w:ascii="Arial" w:hAnsi="Arial" w:cs="Arial"/>
          <w:b/>
          <w:szCs w:val="24"/>
        </w:rPr>
        <w:t xml:space="preserve">As a larger NDPB, we consider that transfer to the British Library would not only ensure continuity of the efficient running of the scheme, but would also develop a more solid infrastructure for PLR, thereby helping to future-proof the scheme.  </w:t>
      </w:r>
    </w:p>
    <w:p w:rsidR="007A4C18" w:rsidRDefault="007A4C18" w:rsidP="00F828BE">
      <w:pPr>
        <w:pStyle w:val="ListParagraph"/>
        <w:rPr>
          <w:rFonts w:ascii="Arial" w:hAnsi="Arial" w:cs="Arial"/>
          <w:szCs w:val="24"/>
        </w:rPr>
      </w:pPr>
    </w:p>
    <w:p w:rsidR="007A4C18" w:rsidRPr="00717862" w:rsidRDefault="007A4C18" w:rsidP="0099441B">
      <w:pPr>
        <w:spacing w:after="0" w:line="240" w:lineRule="auto"/>
        <w:jc w:val="both"/>
        <w:rPr>
          <w:rFonts w:ascii="Arial" w:hAnsi="Arial" w:cs="Arial"/>
          <w:b/>
          <w:color w:val="7030A0"/>
          <w:sz w:val="24"/>
          <w:szCs w:val="24"/>
        </w:rPr>
      </w:pPr>
    </w:p>
    <w:p w:rsidR="007A4C18" w:rsidRPr="00717862" w:rsidRDefault="007A4C18" w:rsidP="0099441B">
      <w:pPr>
        <w:spacing w:after="0" w:line="240" w:lineRule="auto"/>
        <w:rPr>
          <w:rFonts w:ascii="Arial" w:hAnsi="Arial" w:cs="Arial"/>
          <w:b/>
          <w:sz w:val="24"/>
          <w:szCs w:val="24"/>
        </w:rPr>
      </w:pPr>
    </w:p>
    <w:p w:rsidR="007A4C18" w:rsidRPr="00717862" w:rsidRDefault="007A4C18" w:rsidP="0099441B">
      <w:pPr>
        <w:spacing w:after="0" w:line="240" w:lineRule="auto"/>
        <w:jc w:val="both"/>
        <w:rPr>
          <w:rFonts w:ascii="Arial" w:hAnsi="Arial" w:cs="Arial"/>
          <w:b/>
          <w:i/>
          <w:sz w:val="24"/>
          <w:szCs w:val="24"/>
        </w:rPr>
      </w:pPr>
      <w:r w:rsidRPr="00717862">
        <w:rPr>
          <w:rFonts w:ascii="Arial" w:hAnsi="Arial" w:cs="Arial"/>
          <w:b/>
          <w:i/>
          <w:sz w:val="24"/>
          <w:szCs w:val="24"/>
        </w:rPr>
        <w:t>Q2: Following the transfer of functions the government is proposing that a cap on administrative spend will be imposed on the body that takes over the PLR function and has confirmed that the PLR author fund will not be used to pay for the transfer. Do you have any concerns about the impact a transfer of functions from the Registrar will have on PLR rights holders? If so please provide details.</w:t>
      </w:r>
    </w:p>
    <w:p w:rsidR="007A4C18" w:rsidRPr="00717862" w:rsidRDefault="007A4C18" w:rsidP="0099441B">
      <w:pPr>
        <w:widowControl w:val="0"/>
        <w:spacing w:after="0" w:line="240" w:lineRule="auto"/>
        <w:ind w:left="425"/>
        <w:contextualSpacing/>
        <w:jc w:val="both"/>
        <w:rPr>
          <w:rFonts w:ascii="Arial" w:hAnsi="Arial" w:cs="Arial"/>
          <w:i/>
          <w:sz w:val="24"/>
          <w:szCs w:val="24"/>
        </w:rPr>
      </w:pPr>
    </w:p>
    <w:p w:rsidR="007A4C18" w:rsidRPr="00717862" w:rsidRDefault="007A4C18" w:rsidP="0099441B">
      <w:pPr>
        <w:widowControl w:val="0"/>
        <w:spacing w:before="20" w:after="0" w:line="240" w:lineRule="auto"/>
        <w:ind w:left="426"/>
        <w:contextualSpacing/>
        <w:jc w:val="both"/>
        <w:rPr>
          <w:rFonts w:ascii="Arial" w:hAnsi="Arial" w:cs="Arial"/>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About a third of respondents outline concerns about the impact of a transfer on PLR rights holders. The majority of comments relate to concerns about the potential for: a reduction in efficiency; an increase in bureaucracy if a larger organisation takes on the function; or a disruption to the service, such as mistakes or delayed payments, i.e. if there is a change to staffing. 51 respondents either stated they agreed with the Society of Authors’ position or submitted a copy or a version of a statement from the Society which includes the point: “The current PLR Office is light on bureaucracy, very economically run, and strong on service. A transfer to a new body would inevitably involve teething problems and increased bureaucracy.”</w:t>
      </w:r>
    </w:p>
    <w:p w:rsidR="007A4C18" w:rsidRPr="00717862" w:rsidRDefault="007A4C18" w:rsidP="00651A7E">
      <w:pPr>
        <w:widowControl w:val="0"/>
        <w:tabs>
          <w:tab w:val="left" w:pos="1568"/>
        </w:tabs>
        <w:spacing w:before="20" w:after="0" w:line="240" w:lineRule="auto"/>
        <w:ind w:left="360"/>
        <w:contextualSpacing/>
        <w:jc w:val="both"/>
        <w:rPr>
          <w:rFonts w:ascii="Arial" w:hAnsi="Arial" w:cs="Arial"/>
          <w:sz w:val="24"/>
          <w:szCs w:val="24"/>
        </w:rPr>
      </w:pPr>
      <w:r>
        <w:rPr>
          <w:rFonts w:ascii="Arial" w:hAnsi="Arial" w:cs="Arial"/>
          <w:sz w:val="24"/>
          <w:szCs w:val="24"/>
        </w:rPr>
        <w:tab/>
      </w: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 xml:space="preserve">In addition to the consultation responses, a small number of queries relating to the proposal were received by the Department, about whether authors would need to register their books differently or take any other action if a transfer took place. </w:t>
      </w:r>
    </w:p>
    <w:p w:rsidR="007A4C18" w:rsidRPr="00717862" w:rsidRDefault="007A4C18" w:rsidP="0099441B">
      <w:pPr>
        <w:widowControl w:val="0"/>
        <w:spacing w:before="20" w:after="0" w:line="240" w:lineRule="auto"/>
        <w:ind w:left="720"/>
        <w:contextualSpacing/>
        <w:rPr>
          <w:rFonts w:ascii="Arial" w:hAnsi="Arial" w:cs="Arial"/>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There are some comments about authors’ interests being represented effectively by the Registrar and comments about wheth</w:t>
      </w:r>
      <w:r w:rsidR="00B07805">
        <w:rPr>
          <w:rFonts w:ascii="Arial" w:hAnsi="Arial" w:cs="Arial"/>
          <w:sz w:val="24"/>
          <w:szCs w:val="24"/>
        </w:rPr>
        <w:t>er representation would be as</w:t>
      </w:r>
      <w:r w:rsidRPr="00717862">
        <w:rPr>
          <w:rFonts w:ascii="Arial" w:hAnsi="Arial" w:cs="Arial"/>
          <w:sz w:val="24"/>
          <w:szCs w:val="24"/>
        </w:rPr>
        <w:t xml:space="preserve"> effective under new management, or in a public body with other responsibilities.</w:t>
      </w:r>
    </w:p>
    <w:p w:rsidR="007A4C18" w:rsidRPr="00717862" w:rsidRDefault="007A4C18" w:rsidP="0099441B">
      <w:pPr>
        <w:widowControl w:val="0"/>
        <w:spacing w:before="20" w:after="0" w:line="240" w:lineRule="auto"/>
        <w:ind w:left="720"/>
        <w:contextualSpacing/>
        <w:rPr>
          <w:rFonts w:ascii="Arial" w:hAnsi="Arial" w:cs="Arial"/>
          <w:sz w:val="24"/>
          <w:szCs w:val="24"/>
        </w:rPr>
      </w:pPr>
    </w:p>
    <w:p w:rsidR="007A4C18" w:rsidRDefault="007A4C18" w:rsidP="00651A7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sz w:val="24"/>
          <w:szCs w:val="24"/>
        </w:rPr>
        <w:t xml:space="preserve">A small number of respondents make reference to activities carried out by the Registrar and the PLR office, commenting on their value, or questioning whether these activities would continue if a transfer took place. There are comments about the International PLR network, currently coordinated by the Registrar; and comments about the Irish PLR scheme, which is contracted out to the UK PLR office. A number of respondents also make reference to the PLR website, and to other communications from the PLR office, which are both regarded as clear and helpful. </w:t>
      </w:r>
    </w:p>
    <w:p w:rsidR="007A4C18" w:rsidRDefault="007A4C18" w:rsidP="0067255C">
      <w:pPr>
        <w:pStyle w:val="ListParagraph"/>
        <w:rPr>
          <w:rFonts w:ascii="Arial" w:hAnsi="Arial" w:cs="Arial"/>
          <w:szCs w:val="24"/>
        </w:rPr>
      </w:pPr>
    </w:p>
    <w:p w:rsidR="007A4C18" w:rsidRPr="00717862" w:rsidRDefault="007A4C18" w:rsidP="0067255C">
      <w:pPr>
        <w:spacing w:after="0" w:line="240" w:lineRule="auto"/>
        <w:rPr>
          <w:rFonts w:ascii="Arial" w:hAnsi="Arial" w:cs="Arial"/>
          <w:sz w:val="24"/>
          <w:szCs w:val="24"/>
          <w:u w:val="single"/>
        </w:rPr>
      </w:pPr>
    </w:p>
    <w:p w:rsidR="007A4C18" w:rsidRPr="008458BE" w:rsidRDefault="007A4C18" w:rsidP="008458BE">
      <w:pPr>
        <w:widowControl w:val="0"/>
        <w:numPr>
          <w:ilvl w:val="0"/>
          <w:numId w:val="4"/>
        </w:numPr>
        <w:spacing w:before="20" w:after="0" w:line="240" w:lineRule="auto"/>
        <w:contextualSpacing/>
        <w:jc w:val="both"/>
        <w:rPr>
          <w:rFonts w:ascii="Arial" w:hAnsi="Arial" w:cs="Arial"/>
          <w:sz w:val="24"/>
          <w:szCs w:val="24"/>
        </w:rPr>
      </w:pPr>
      <w:r w:rsidRPr="00717862">
        <w:rPr>
          <w:rFonts w:ascii="Arial" w:hAnsi="Arial" w:cs="Arial"/>
          <w:b/>
          <w:sz w:val="24"/>
          <w:szCs w:val="24"/>
        </w:rPr>
        <w:t>Government response:</w:t>
      </w:r>
      <w:r>
        <w:rPr>
          <w:rFonts w:ascii="Arial" w:hAnsi="Arial" w:cs="Arial"/>
          <w:b/>
          <w:sz w:val="24"/>
          <w:szCs w:val="24"/>
        </w:rPr>
        <w:t xml:space="preserve"> </w:t>
      </w:r>
      <w:r w:rsidRPr="008458BE">
        <w:rPr>
          <w:rFonts w:ascii="Arial" w:hAnsi="Arial" w:cs="Arial"/>
          <w:b/>
          <w:sz w:val="24"/>
          <w:szCs w:val="24"/>
        </w:rPr>
        <w:t>Of the respondents who commented on potential impacts on rights holders, the majority relate to concerns about the potential for</w:t>
      </w:r>
      <w:r>
        <w:rPr>
          <w:rFonts w:ascii="Arial" w:hAnsi="Arial" w:cs="Arial"/>
          <w:b/>
          <w:sz w:val="24"/>
          <w:szCs w:val="24"/>
        </w:rPr>
        <w:t xml:space="preserve"> a reduction in efficiency or disruption to the service, such as mistakes or delayed payments, i.e. if there were to be a change in staffing; or </w:t>
      </w:r>
      <w:r w:rsidRPr="008458BE">
        <w:rPr>
          <w:rFonts w:ascii="Arial" w:hAnsi="Arial" w:cs="Arial"/>
          <w:b/>
          <w:sz w:val="24"/>
          <w:szCs w:val="24"/>
        </w:rPr>
        <w:t>an increase in bureaucracy if a larger organisat</w:t>
      </w:r>
      <w:r>
        <w:rPr>
          <w:rFonts w:ascii="Arial" w:hAnsi="Arial" w:cs="Arial"/>
          <w:b/>
          <w:sz w:val="24"/>
          <w:szCs w:val="24"/>
        </w:rPr>
        <w:t>ion takes on the function</w:t>
      </w:r>
      <w:r w:rsidRPr="008458BE">
        <w:rPr>
          <w:rFonts w:ascii="Arial" w:hAnsi="Arial" w:cs="Arial"/>
          <w:b/>
          <w:sz w:val="24"/>
          <w:szCs w:val="24"/>
        </w:rPr>
        <w:t>. The Government considers that the British Library’s proposal to retain the existing operation and workforce in Stockton-on-Tees mitigates the risk of any disruption to the service</w:t>
      </w:r>
      <w:r>
        <w:rPr>
          <w:rFonts w:ascii="Arial" w:hAnsi="Arial" w:cs="Arial"/>
          <w:b/>
          <w:sz w:val="24"/>
          <w:szCs w:val="24"/>
        </w:rPr>
        <w:t xml:space="preserve">. Some respondents were of the view that a transfer to a </w:t>
      </w:r>
      <w:r w:rsidRPr="00990D2F">
        <w:rPr>
          <w:rFonts w:ascii="Arial" w:hAnsi="Arial" w:cs="Arial"/>
          <w:b/>
          <w:sz w:val="24"/>
          <w:szCs w:val="24"/>
        </w:rPr>
        <w:t xml:space="preserve">larger organisation could result in increased bureaucracy; in fact the larger organisation allows for economies of scale and the advantages of shared back-office services, and </w:t>
      </w:r>
      <w:r>
        <w:rPr>
          <w:rFonts w:ascii="Arial" w:hAnsi="Arial" w:cs="Arial"/>
          <w:b/>
          <w:sz w:val="24"/>
          <w:szCs w:val="24"/>
        </w:rPr>
        <w:t xml:space="preserve">in addition, the Impact Assessment shows that savings will be made as a result of the larger organisation taking on the PLR functions, including for example a net </w:t>
      </w:r>
      <w:r w:rsidRPr="00D14F9E">
        <w:rPr>
          <w:rFonts w:ascii="Arial" w:hAnsi="Arial" w:cs="Arial"/>
          <w:b/>
          <w:sz w:val="24"/>
          <w:szCs w:val="24"/>
        </w:rPr>
        <w:t xml:space="preserve">saving in audit fees. </w:t>
      </w:r>
    </w:p>
    <w:p w:rsidR="007A4C18" w:rsidRDefault="007A4C18" w:rsidP="00990D2F">
      <w:pPr>
        <w:widowControl w:val="0"/>
        <w:spacing w:before="20" w:after="0" w:line="240" w:lineRule="auto"/>
        <w:ind w:left="360"/>
        <w:contextualSpacing/>
        <w:jc w:val="both"/>
        <w:rPr>
          <w:rFonts w:ascii="Arial" w:hAnsi="Arial" w:cs="Arial"/>
          <w:b/>
          <w:sz w:val="24"/>
          <w:szCs w:val="24"/>
        </w:rPr>
      </w:pPr>
    </w:p>
    <w:p w:rsidR="007A4C18" w:rsidRDefault="007A4C18" w:rsidP="006C5005">
      <w:pPr>
        <w:widowControl w:val="0"/>
        <w:numPr>
          <w:ilvl w:val="0"/>
          <w:numId w:val="4"/>
        </w:numPr>
        <w:spacing w:before="20" w:after="0" w:line="240" w:lineRule="auto"/>
        <w:contextualSpacing/>
        <w:jc w:val="both"/>
        <w:rPr>
          <w:rFonts w:ascii="Arial" w:hAnsi="Arial" w:cs="Arial"/>
          <w:b/>
          <w:sz w:val="24"/>
          <w:szCs w:val="24"/>
        </w:rPr>
      </w:pPr>
      <w:r>
        <w:rPr>
          <w:rFonts w:ascii="Arial" w:hAnsi="Arial" w:cs="Arial"/>
          <w:b/>
          <w:sz w:val="24"/>
          <w:szCs w:val="24"/>
        </w:rPr>
        <w:t xml:space="preserve">As set out above, the current holder of the Registrar post would be contracted to oversee the transition of PLR, and would hand over responsibility for the management of the running of the scheme to a new Head of PLR. The Registrar’s role in representing the rights of authors will form part of this handover. </w:t>
      </w:r>
    </w:p>
    <w:p w:rsidR="007A4C18" w:rsidRDefault="007A4C18" w:rsidP="006C5005">
      <w:pPr>
        <w:pStyle w:val="ListParagraph"/>
        <w:rPr>
          <w:rFonts w:ascii="Arial" w:hAnsi="Arial" w:cs="Arial"/>
          <w:b/>
          <w:szCs w:val="24"/>
        </w:rPr>
      </w:pPr>
    </w:p>
    <w:p w:rsidR="007A4C18" w:rsidRPr="00FC3C19" w:rsidRDefault="007A4C18" w:rsidP="00DB60EF">
      <w:pPr>
        <w:widowControl w:val="0"/>
        <w:numPr>
          <w:ilvl w:val="0"/>
          <w:numId w:val="4"/>
        </w:numPr>
        <w:spacing w:before="20" w:after="0" w:line="240" w:lineRule="auto"/>
        <w:contextualSpacing/>
        <w:jc w:val="both"/>
        <w:rPr>
          <w:rFonts w:ascii="Arial" w:hAnsi="Arial" w:cs="Arial"/>
          <w:b/>
          <w:sz w:val="24"/>
          <w:szCs w:val="24"/>
        </w:rPr>
      </w:pPr>
      <w:r w:rsidRPr="00FC3C19">
        <w:rPr>
          <w:rFonts w:ascii="Arial" w:hAnsi="Arial" w:cs="Arial"/>
          <w:b/>
          <w:sz w:val="24"/>
          <w:szCs w:val="24"/>
        </w:rPr>
        <w:t xml:space="preserve">Under the British Library, the PLR service would continue to generate income through the </w:t>
      </w:r>
      <w:r>
        <w:rPr>
          <w:rFonts w:ascii="Arial" w:hAnsi="Arial" w:cs="Arial"/>
          <w:b/>
          <w:sz w:val="24"/>
          <w:szCs w:val="24"/>
        </w:rPr>
        <w:t xml:space="preserve">existing </w:t>
      </w:r>
      <w:r w:rsidRPr="00FC3C19">
        <w:rPr>
          <w:rFonts w:ascii="Arial" w:hAnsi="Arial" w:cs="Arial"/>
          <w:b/>
          <w:sz w:val="24"/>
          <w:szCs w:val="24"/>
        </w:rPr>
        <w:t>Irish PLR contract. The International PLR network is currently</w:t>
      </w:r>
      <w:r>
        <w:rPr>
          <w:rFonts w:ascii="Arial" w:hAnsi="Arial" w:cs="Arial"/>
          <w:b/>
          <w:sz w:val="24"/>
          <w:szCs w:val="24"/>
        </w:rPr>
        <w:t xml:space="preserve"> coordinated by the Registrar,</w:t>
      </w:r>
      <w:r w:rsidRPr="00FC3C19">
        <w:rPr>
          <w:rFonts w:ascii="Arial" w:hAnsi="Arial" w:cs="Arial"/>
          <w:b/>
          <w:sz w:val="24"/>
          <w:szCs w:val="24"/>
        </w:rPr>
        <w:t xml:space="preserve"> </w:t>
      </w:r>
      <w:r>
        <w:rPr>
          <w:rFonts w:ascii="Arial" w:hAnsi="Arial" w:cs="Arial"/>
          <w:b/>
          <w:sz w:val="24"/>
          <w:szCs w:val="24"/>
        </w:rPr>
        <w:t xml:space="preserve">and the new Head of PLR’s role in the future of the network will be an area for further consideration over the transition period. </w:t>
      </w:r>
    </w:p>
    <w:p w:rsidR="007A4C18" w:rsidRPr="00FC3C19" w:rsidRDefault="007A4C18" w:rsidP="00DB60EF">
      <w:pPr>
        <w:pStyle w:val="ListParagraph"/>
        <w:jc w:val="both"/>
        <w:rPr>
          <w:rFonts w:ascii="Arial" w:hAnsi="Arial" w:cs="Arial"/>
          <w:b/>
          <w:szCs w:val="24"/>
        </w:rPr>
      </w:pPr>
    </w:p>
    <w:p w:rsidR="007A4C18" w:rsidRPr="001A1ABB" w:rsidRDefault="007A4C18" w:rsidP="00DB60EF">
      <w:pPr>
        <w:pStyle w:val="ListParagraph"/>
        <w:numPr>
          <w:ilvl w:val="0"/>
          <w:numId w:val="4"/>
        </w:numPr>
        <w:jc w:val="both"/>
        <w:rPr>
          <w:rFonts w:ascii="Arial" w:hAnsi="Arial" w:cs="Arial"/>
          <w:b/>
          <w:szCs w:val="24"/>
        </w:rPr>
      </w:pPr>
      <w:r>
        <w:rPr>
          <w:rFonts w:ascii="Arial" w:hAnsi="Arial" w:cs="Arial"/>
          <w:b/>
          <w:szCs w:val="24"/>
        </w:rPr>
        <w:t>We have noted the comments</w:t>
      </w:r>
      <w:r w:rsidRPr="001A1ABB">
        <w:rPr>
          <w:rFonts w:ascii="Arial" w:hAnsi="Arial" w:cs="Arial"/>
          <w:b/>
          <w:szCs w:val="24"/>
        </w:rPr>
        <w:t xml:space="preserve"> from respondents about the PLR website and communications from the PLR office. PLR would retain its identity by becoming a sub-brand within the overall British Library brand.</w:t>
      </w:r>
      <w:r>
        <w:rPr>
          <w:rFonts w:ascii="Arial" w:hAnsi="Arial" w:cs="Arial"/>
          <w:b/>
          <w:szCs w:val="24"/>
        </w:rPr>
        <w:t xml:space="preserve"> </w:t>
      </w:r>
      <w:r w:rsidRPr="001A1ABB">
        <w:rPr>
          <w:rFonts w:ascii="Arial" w:hAnsi="Arial" w:cs="Arial"/>
          <w:b/>
          <w:szCs w:val="24"/>
        </w:rPr>
        <w:t xml:space="preserve">Stakeholder mapping has taken place and a </w:t>
      </w:r>
      <w:r>
        <w:rPr>
          <w:rFonts w:ascii="Arial" w:hAnsi="Arial" w:cs="Arial"/>
          <w:b/>
          <w:szCs w:val="24"/>
        </w:rPr>
        <w:t xml:space="preserve">detailed </w:t>
      </w:r>
      <w:r w:rsidRPr="001A1ABB">
        <w:rPr>
          <w:rFonts w:ascii="Arial" w:hAnsi="Arial" w:cs="Arial"/>
          <w:b/>
          <w:szCs w:val="24"/>
        </w:rPr>
        <w:t>communications plan will be developed</w:t>
      </w:r>
      <w:r>
        <w:rPr>
          <w:rFonts w:ascii="Arial" w:hAnsi="Arial" w:cs="Arial"/>
          <w:b/>
          <w:szCs w:val="24"/>
        </w:rPr>
        <w:t xml:space="preserve"> in the lead up to the transfer.</w:t>
      </w:r>
    </w:p>
    <w:p w:rsidR="007A4C18" w:rsidRPr="00717862" w:rsidRDefault="007A4C18" w:rsidP="00DB60EF">
      <w:pPr>
        <w:widowControl w:val="0"/>
        <w:spacing w:before="20" w:after="0" w:line="240" w:lineRule="auto"/>
        <w:ind w:left="360"/>
        <w:contextualSpacing/>
        <w:jc w:val="both"/>
        <w:rPr>
          <w:rFonts w:ascii="Arial" w:hAnsi="Arial" w:cs="Arial"/>
          <w:sz w:val="24"/>
          <w:szCs w:val="24"/>
        </w:rPr>
      </w:pPr>
    </w:p>
    <w:p w:rsidR="007A4C18" w:rsidRPr="00717862" w:rsidRDefault="007A4C18" w:rsidP="00DB60EF">
      <w:pPr>
        <w:spacing w:after="0" w:line="240" w:lineRule="auto"/>
        <w:jc w:val="both"/>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Default="007A4C18" w:rsidP="0099441B">
      <w:pPr>
        <w:spacing w:after="0" w:line="240" w:lineRule="auto"/>
        <w:rPr>
          <w:rFonts w:ascii="Arial" w:hAnsi="Arial" w:cs="Arial"/>
          <w:b/>
          <w:sz w:val="24"/>
          <w:szCs w:val="24"/>
        </w:rPr>
      </w:pPr>
    </w:p>
    <w:p w:rsidR="007A4C18" w:rsidRPr="00717862" w:rsidRDefault="007A4C18" w:rsidP="0099441B">
      <w:pPr>
        <w:spacing w:after="0" w:line="240" w:lineRule="auto"/>
        <w:rPr>
          <w:rFonts w:ascii="Arial" w:hAnsi="Arial" w:cs="Arial"/>
          <w:b/>
          <w:sz w:val="24"/>
          <w:szCs w:val="24"/>
        </w:rPr>
      </w:pPr>
    </w:p>
    <w:p w:rsidR="007A4C18" w:rsidRPr="00717862" w:rsidRDefault="007A4C18" w:rsidP="0099441B">
      <w:pPr>
        <w:spacing w:after="0" w:line="240" w:lineRule="auto"/>
        <w:jc w:val="both"/>
        <w:rPr>
          <w:rFonts w:ascii="Arial" w:hAnsi="Arial" w:cs="Arial"/>
          <w:b/>
          <w:i/>
          <w:sz w:val="24"/>
          <w:szCs w:val="24"/>
        </w:rPr>
      </w:pPr>
      <w:r w:rsidRPr="00717862">
        <w:rPr>
          <w:rFonts w:ascii="Arial" w:hAnsi="Arial" w:cs="Arial"/>
          <w:b/>
          <w:i/>
          <w:sz w:val="24"/>
          <w:szCs w:val="24"/>
        </w:rPr>
        <w:t>Q3: Though the government appreciates that it would be appropriate to transfer the PLR function to another copyright payment body, ALCS for example, statutory functions and distribution of associated government funding must be administered by a public body. Consequently the government’s preferred option is to transfer the PLR function to the British Library. Do you anticipate any problems or conflicts of interest in transferring the PLR function to the British Library?</w:t>
      </w:r>
    </w:p>
    <w:p w:rsidR="007A4C18" w:rsidRPr="00717862" w:rsidRDefault="007A4C18" w:rsidP="0099441B">
      <w:pPr>
        <w:spacing w:after="0" w:line="240" w:lineRule="auto"/>
        <w:jc w:val="both"/>
        <w:rPr>
          <w:rFonts w:ascii="Arial" w:hAnsi="Arial" w:cs="Arial"/>
          <w:i/>
          <w:sz w:val="24"/>
          <w:szCs w:val="24"/>
        </w:rPr>
      </w:pPr>
    </w:p>
    <w:p w:rsidR="007A4C18" w:rsidRPr="00717862" w:rsidRDefault="007A4C18" w:rsidP="0099441B">
      <w:pPr>
        <w:spacing w:after="0" w:line="240" w:lineRule="auto"/>
        <w:ind w:left="426"/>
        <w:jc w:val="both"/>
        <w:rPr>
          <w:rFonts w:ascii="Arial" w:hAnsi="Arial" w:cs="Arial"/>
          <w:i/>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u w:val="single"/>
        </w:rPr>
      </w:pPr>
      <w:r w:rsidRPr="00717862">
        <w:rPr>
          <w:rFonts w:ascii="Arial" w:hAnsi="Arial" w:cs="Arial"/>
          <w:sz w:val="24"/>
          <w:szCs w:val="24"/>
        </w:rPr>
        <w:t xml:space="preserve">Of the 1015 respondents, 189 answered Q3 directly or indirectly, providing views on potential problems or conflicts in transferring the PLR function to the British Library. </w:t>
      </w:r>
    </w:p>
    <w:p w:rsidR="007A4C18" w:rsidRPr="00717862" w:rsidRDefault="007A4C18" w:rsidP="0099441B">
      <w:pPr>
        <w:widowControl w:val="0"/>
        <w:spacing w:before="20" w:after="0" w:line="240" w:lineRule="auto"/>
        <w:ind w:left="426"/>
        <w:contextualSpacing/>
        <w:jc w:val="both"/>
        <w:rPr>
          <w:rFonts w:ascii="Arial" w:hAnsi="Arial" w:cs="Arial"/>
          <w:sz w:val="24"/>
          <w:szCs w:val="24"/>
          <w:u w:val="single"/>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u w:val="single"/>
        </w:rPr>
      </w:pPr>
      <w:r w:rsidRPr="00717862">
        <w:rPr>
          <w:rFonts w:ascii="Arial" w:hAnsi="Arial" w:cs="Arial"/>
          <w:sz w:val="24"/>
          <w:szCs w:val="24"/>
        </w:rPr>
        <w:t>The majority of these (</w:t>
      </w:r>
      <w:r w:rsidRPr="00717862">
        <w:rPr>
          <w:rFonts w:ascii="Arial" w:hAnsi="Arial" w:cs="Arial"/>
          <w:bCs/>
          <w:sz w:val="24"/>
          <w:szCs w:val="24"/>
        </w:rPr>
        <w:t xml:space="preserve">31% of the 189 responses) raise concerns related to how PLR would fit within the British Library. This </w:t>
      </w:r>
      <w:r w:rsidRPr="00717862">
        <w:rPr>
          <w:rFonts w:ascii="Arial" w:hAnsi="Arial" w:cs="Arial"/>
          <w:sz w:val="24"/>
          <w:szCs w:val="24"/>
        </w:rPr>
        <w:t>includes concerns about the BL as a larger organisation taking on the role of a dedicated body; the compatibility of the functions of both organisations; queries about how the British Library would see this function fitting within its overall business and aims; concerns about widening the remit of British Library; views that PLR would be an “additional burden”; and comments that the British Library has many other responsibilities and that these may take priority over PLR.</w:t>
      </w:r>
    </w:p>
    <w:p w:rsidR="007A4C18" w:rsidRPr="00717862" w:rsidRDefault="007A4C18" w:rsidP="0099441B">
      <w:pPr>
        <w:widowControl w:val="0"/>
        <w:spacing w:before="20" w:after="0" w:line="240" w:lineRule="auto"/>
        <w:ind w:left="720"/>
        <w:contextualSpacing/>
        <w:rPr>
          <w:rFonts w:ascii="Arial" w:hAnsi="Arial" w:cs="Arial"/>
          <w:bCs/>
          <w:sz w:val="24"/>
          <w:szCs w:val="24"/>
        </w:rPr>
      </w:pP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u w:val="single"/>
        </w:rPr>
      </w:pPr>
      <w:r w:rsidRPr="00717862">
        <w:rPr>
          <w:rFonts w:ascii="Arial" w:hAnsi="Arial" w:cs="Arial"/>
          <w:bCs/>
          <w:sz w:val="24"/>
          <w:szCs w:val="24"/>
        </w:rPr>
        <w:t xml:space="preserve">28% of the 189 responses make comments related to a “danger that transferring this function to a body with a wider remit could lead to conflicts between delivering PLR on behalf of authors and [the British Library’s] broader role in developing copyright and library strategies”, although it should be noted that of the 53 responses commenting on issues connected to copyright, </w:t>
      </w:r>
      <w:r w:rsidRPr="00717862">
        <w:rPr>
          <w:rFonts w:ascii="Arial" w:hAnsi="Arial" w:cs="Arial"/>
          <w:sz w:val="24"/>
          <w:szCs w:val="24"/>
        </w:rPr>
        <w:t xml:space="preserve">45 are from individuals who have submitted a copy or a version of an ALCS statement from which this quotation is taken.  </w:t>
      </w:r>
      <w:r w:rsidRPr="00717862">
        <w:rPr>
          <w:rFonts w:ascii="Arial" w:hAnsi="Arial" w:cs="Arial"/>
          <w:sz w:val="24"/>
          <w:szCs w:val="24"/>
        </w:rPr>
        <w:br/>
      </w:r>
    </w:p>
    <w:p w:rsidR="007A4C18" w:rsidRPr="00717862" w:rsidRDefault="007A4C18" w:rsidP="00651A7E">
      <w:pPr>
        <w:widowControl w:val="0"/>
        <w:numPr>
          <w:ilvl w:val="0"/>
          <w:numId w:val="4"/>
        </w:numPr>
        <w:spacing w:before="20" w:after="0" w:line="240" w:lineRule="auto"/>
        <w:contextualSpacing/>
        <w:jc w:val="both"/>
        <w:rPr>
          <w:rFonts w:ascii="Arial" w:hAnsi="Arial" w:cs="Arial"/>
          <w:sz w:val="24"/>
          <w:szCs w:val="24"/>
          <w:u w:val="single"/>
        </w:rPr>
      </w:pPr>
      <w:r w:rsidRPr="00717862">
        <w:rPr>
          <w:rFonts w:ascii="Arial" w:hAnsi="Arial" w:cs="Arial"/>
          <w:bCs/>
          <w:sz w:val="24"/>
          <w:szCs w:val="24"/>
        </w:rPr>
        <w:t>Other comments reflect the concerns described under the first 2 questions: a quarter of comments relate to staffing, or loss of jobs, or relocation; 24% comment on potential disruption to the service, or reduction in efficiency; 19% comment on issues relating to experience or expertise</w:t>
      </w:r>
      <w:r w:rsidRPr="00717862">
        <w:rPr>
          <w:rFonts w:ascii="Arial" w:hAnsi="Arial" w:cs="Arial"/>
          <w:sz w:val="24"/>
          <w:szCs w:val="24"/>
        </w:rPr>
        <w:t xml:space="preserve"> (including concerns over loss of expertise, or that the British Library has no experience of payment distribution, or this sort of role). </w:t>
      </w:r>
      <w:r w:rsidRPr="00717862">
        <w:rPr>
          <w:rFonts w:ascii="Arial" w:hAnsi="Arial" w:cs="Arial"/>
          <w:bCs/>
          <w:sz w:val="24"/>
          <w:szCs w:val="24"/>
        </w:rPr>
        <w:t xml:space="preserve">13% of comments under Q3 relate to authors' interests, such as </w:t>
      </w:r>
      <w:r w:rsidRPr="00717862">
        <w:rPr>
          <w:rFonts w:ascii="Arial" w:hAnsi="Arial" w:cs="Arial"/>
          <w:sz w:val="24"/>
          <w:szCs w:val="24"/>
        </w:rPr>
        <w:t xml:space="preserve">impact on authors’ rights, or the view that the British Library is a ‘pro-reader’ organisation rather than an author-facing one; 7% of comments relate to funding of PLR and the British Library; and 7% say that there would be a problem or conflict of interest but do not specify what it would be. </w:t>
      </w:r>
    </w:p>
    <w:p w:rsidR="007A4C18" w:rsidRDefault="007A4C18" w:rsidP="00980AD3">
      <w:pPr>
        <w:pStyle w:val="ListParagraph"/>
        <w:rPr>
          <w:rFonts w:ascii="Arial" w:hAnsi="Arial" w:cs="Arial"/>
          <w:szCs w:val="24"/>
          <w:u w:val="single"/>
        </w:rPr>
      </w:pPr>
    </w:p>
    <w:p w:rsidR="007A4C18" w:rsidRPr="00717862" w:rsidRDefault="007A4C18" w:rsidP="00980AD3">
      <w:pPr>
        <w:spacing w:after="0" w:line="240" w:lineRule="auto"/>
        <w:rPr>
          <w:rFonts w:ascii="Arial" w:hAnsi="Arial" w:cs="Arial"/>
          <w:sz w:val="24"/>
          <w:szCs w:val="24"/>
          <w:u w:val="single"/>
        </w:rPr>
      </w:pPr>
    </w:p>
    <w:p w:rsidR="007A4C18" w:rsidRPr="00B31100" w:rsidRDefault="007A4C18" w:rsidP="00B31100">
      <w:pPr>
        <w:widowControl w:val="0"/>
        <w:numPr>
          <w:ilvl w:val="0"/>
          <w:numId w:val="4"/>
        </w:numPr>
        <w:spacing w:before="20" w:after="0" w:line="240" w:lineRule="auto"/>
        <w:contextualSpacing/>
        <w:jc w:val="both"/>
        <w:rPr>
          <w:rFonts w:ascii="Arial" w:hAnsi="Arial" w:cs="Arial"/>
          <w:b/>
          <w:sz w:val="24"/>
          <w:szCs w:val="24"/>
        </w:rPr>
      </w:pPr>
      <w:r w:rsidRPr="00717862">
        <w:rPr>
          <w:rFonts w:ascii="Arial" w:hAnsi="Arial" w:cs="Arial"/>
          <w:b/>
          <w:sz w:val="24"/>
          <w:szCs w:val="24"/>
        </w:rPr>
        <w:t xml:space="preserve">Government response: </w:t>
      </w:r>
      <w:r>
        <w:rPr>
          <w:rFonts w:ascii="Arial" w:hAnsi="Arial" w:cs="Arial"/>
          <w:b/>
          <w:sz w:val="24"/>
          <w:szCs w:val="24"/>
        </w:rPr>
        <w:t xml:space="preserve">We have shared the responses to this question with the British Library, and the Government and the British Library consider </w:t>
      </w:r>
      <w:r w:rsidRPr="00B31100">
        <w:rPr>
          <w:rFonts w:ascii="Arial" w:hAnsi="Arial" w:cs="Arial"/>
          <w:b/>
          <w:sz w:val="24"/>
          <w:szCs w:val="24"/>
        </w:rPr>
        <w:t>that the approach to be taken, where the operation and workforce would be retained in Stockton-on-Tees to ensure continuity of service and minimise the risks of a transfer, addresses the points raised here.</w:t>
      </w:r>
      <w:r>
        <w:rPr>
          <w:rFonts w:ascii="Arial" w:hAnsi="Arial" w:cs="Arial"/>
          <w:b/>
          <w:sz w:val="24"/>
          <w:szCs w:val="24"/>
        </w:rPr>
        <w:t xml:space="preserve"> We agree with respondents that the PLR office, as a small and dedicated body, works well at present, and we consider that by maintaining the operation and by transferring the management role from the Registrar to a new Head of PLR only after a transition period following the transfer, the effectiveness of the running of the scheme will be maintained, and that the efficiency and economy will be increased as a result of the savings to be achieved. We acknowledge that the current holder of the Registrar post has a wealth of experience and expertise and it will be important for the Registrar to oversee the transition and to hand over to the new Head of PLR in time. We consider that the new management role at the British Library will ensure that the PLR function will be represented within the British Library management team, while also retaining its identity as a dedicated function carried out by experienced and knowledgeable staff. </w:t>
      </w:r>
    </w:p>
    <w:p w:rsidR="007A4C18" w:rsidRDefault="007A4C18" w:rsidP="00B31100">
      <w:pPr>
        <w:pStyle w:val="ListParagraph"/>
        <w:rPr>
          <w:rFonts w:ascii="Arial" w:hAnsi="Arial" w:cs="Arial"/>
          <w:b/>
          <w:szCs w:val="24"/>
        </w:rPr>
      </w:pPr>
    </w:p>
    <w:p w:rsidR="007A4C18" w:rsidRDefault="007A4C18" w:rsidP="00756EBB">
      <w:pPr>
        <w:widowControl w:val="0"/>
        <w:numPr>
          <w:ilvl w:val="0"/>
          <w:numId w:val="4"/>
        </w:numPr>
        <w:spacing w:before="20" w:after="0" w:line="240" w:lineRule="auto"/>
        <w:contextualSpacing/>
        <w:jc w:val="both"/>
        <w:rPr>
          <w:rFonts w:ascii="Arial" w:hAnsi="Arial" w:cs="Arial"/>
          <w:b/>
          <w:sz w:val="24"/>
          <w:szCs w:val="24"/>
        </w:rPr>
      </w:pPr>
      <w:r>
        <w:rPr>
          <w:rFonts w:ascii="Arial" w:hAnsi="Arial" w:cs="Arial"/>
          <w:b/>
          <w:sz w:val="24"/>
          <w:szCs w:val="24"/>
        </w:rPr>
        <w:t>Many of the comments made in response to this question reflect the responses to the other two questions, and the Government’s response to comments around staffing and the future of the Stockton-on-Tees office, and the implications of changes to staffing on efficiency, and loss of experience or expertise, is set out above.</w:t>
      </w:r>
    </w:p>
    <w:p w:rsidR="007A4C18" w:rsidRDefault="007A4C18" w:rsidP="003B21E1">
      <w:pPr>
        <w:pStyle w:val="ListParagraph"/>
        <w:rPr>
          <w:rFonts w:ascii="Arial" w:hAnsi="Arial" w:cs="Arial"/>
          <w:b/>
          <w:szCs w:val="24"/>
        </w:rPr>
      </w:pPr>
    </w:p>
    <w:p w:rsidR="007A4C18" w:rsidRDefault="007A4C18" w:rsidP="00756EBB">
      <w:pPr>
        <w:widowControl w:val="0"/>
        <w:numPr>
          <w:ilvl w:val="0"/>
          <w:numId w:val="4"/>
        </w:numPr>
        <w:spacing w:before="20" w:after="0" w:line="240" w:lineRule="auto"/>
        <w:contextualSpacing/>
        <w:jc w:val="both"/>
        <w:rPr>
          <w:rFonts w:ascii="Arial" w:hAnsi="Arial" w:cs="Arial"/>
          <w:b/>
          <w:sz w:val="24"/>
          <w:szCs w:val="24"/>
        </w:rPr>
      </w:pPr>
      <w:r>
        <w:rPr>
          <w:rFonts w:ascii="Arial" w:hAnsi="Arial" w:cs="Arial"/>
          <w:b/>
          <w:sz w:val="24"/>
          <w:szCs w:val="24"/>
        </w:rPr>
        <w:t xml:space="preserve">In addition to the savings that will be made as a result of transferring the PLR function to a larger body, there are a number of other benefits to the transfer. </w:t>
      </w:r>
      <w:r w:rsidRPr="00756EBB">
        <w:rPr>
          <w:rFonts w:ascii="Arial" w:hAnsi="Arial" w:cs="Arial"/>
          <w:b/>
          <w:sz w:val="24"/>
          <w:szCs w:val="24"/>
        </w:rPr>
        <w:t>Undertaking the transfer of governance to the British Library would ensure continuity of efficient systems and processes</w:t>
      </w:r>
      <w:r>
        <w:rPr>
          <w:rFonts w:ascii="Arial" w:hAnsi="Arial" w:cs="Arial"/>
          <w:b/>
          <w:sz w:val="24"/>
          <w:szCs w:val="24"/>
        </w:rPr>
        <w:t xml:space="preserve"> – and furthermore would</w:t>
      </w:r>
      <w:r w:rsidRPr="00756EBB">
        <w:rPr>
          <w:rFonts w:ascii="Arial" w:hAnsi="Arial" w:cs="Arial"/>
          <w:b/>
          <w:sz w:val="24"/>
          <w:szCs w:val="24"/>
        </w:rPr>
        <w:t xml:space="preserve"> develop a more solid infrastructure, which the larger organisation enables. Therefore, we consider that a transfer to the British Library would future-proof the running of the scheme.</w:t>
      </w:r>
    </w:p>
    <w:p w:rsidR="007A4C18" w:rsidRDefault="007A4C18" w:rsidP="00756EBB">
      <w:pPr>
        <w:pStyle w:val="ListParagraph"/>
        <w:rPr>
          <w:rFonts w:ascii="Arial" w:hAnsi="Arial" w:cs="Arial"/>
          <w:b/>
          <w:szCs w:val="24"/>
        </w:rPr>
      </w:pPr>
    </w:p>
    <w:p w:rsidR="007A4C18" w:rsidRPr="00301FF0" w:rsidRDefault="007A4C18" w:rsidP="00BC105B">
      <w:pPr>
        <w:widowControl w:val="0"/>
        <w:numPr>
          <w:ilvl w:val="0"/>
          <w:numId w:val="4"/>
        </w:numPr>
        <w:spacing w:before="20" w:after="0" w:line="240" w:lineRule="auto"/>
        <w:contextualSpacing/>
        <w:jc w:val="both"/>
        <w:rPr>
          <w:rFonts w:ascii="Arial" w:hAnsi="Arial" w:cs="Arial"/>
          <w:b/>
          <w:sz w:val="24"/>
          <w:szCs w:val="24"/>
        </w:rPr>
      </w:pPr>
      <w:r w:rsidRPr="00C14A7F">
        <w:rPr>
          <w:rFonts w:ascii="Arial" w:hAnsi="Arial" w:cs="Arial"/>
          <w:b/>
          <w:sz w:val="24"/>
          <w:szCs w:val="24"/>
        </w:rPr>
        <w:t xml:space="preserve">The British Library has </w:t>
      </w:r>
      <w:r>
        <w:rPr>
          <w:rFonts w:ascii="Arial" w:hAnsi="Arial" w:cs="Arial"/>
          <w:b/>
          <w:sz w:val="24"/>
          <w:szCs w:val="24"/>
        </w:rPr>
        <w:t xml:space="preserve">given consideration to </w:t>
      </w:r>
      <w:r w:rsidRPr="00C14A7F">
        <w:rPr>
          <w:rFonts w:ascii="Arial" w:hAnsi="Arial" w:cs="Arial"/>
          <w:b/>
          <w:sz w:val="24"/>
          <w:szCs w:val="24"/>
        </w:rPr>
        <w:t xml:space="preserve">concern raised around </w:t>
      </w:r>
      <w:r>
        <w:rPr>
          <w:rFonts w:ascii="Arial" w:hAnsi="Arial" w:cs="Arial"/>
          <w:b/>
          <w:sz w:val="24"/>
          <w:szCs w:val="24"/>
        </w:rPr>
        <w:t>a</w:t>
      </w:r>
      <w:r w:rsidRPr="00C14A7F">
        <w:rPr>
          <w:rFonts w:ascii="Arial" w:hAnsi="Arial" w:cs="Arial"/>
          <w:b/>
          <w:sz w:val="24"/>
          <w:szCs w:val="24"/>
        </w:rPr>
        <w:t xml:space="preserve"> “danger that transferring this function to a body with a wider remit could lead to conflicts between delivering PLR on behalf of authors and [the British Library’s] broader role in developing cop</w:t>
      </w:r>
      <w:r>
        <w:rPr>
          <w:rFonts w:ascii="Arial" w:hAnsi="Arial" w:cs="Arial"/>
          <w:b/>
          <w:sz w:val="24"/>
          <w:szCs w:val="24"/>
        </w:rPr>
        <w:t xml:space="preserve">yright and library strategies”. </w:t>
      </w:r>
      <w:r w:rsidRPr="00BC105B">
        <w:rPr>
          <w:rFonts w:ascii="Arial" w:hAnsi="Arial" w:cs="Arial"/>
          <w:b/>
          <w:sz w:val="24"/>
          <w:szCs w:val="24"/>
        </w:rPr>
        <w:t xml:space="preserve">The British Library’s position in response to comments about the Library’s representation of authors’ interests and on issues related to copyright is </w:t>
      </w:r>
      <w:r>
        <w:rPr>
          <w:rFonts w:ascii="Arial" w:hAnsi="Arial" w:cs="Arial"/>
          <w:b/>
          <w:sz w:val="24"/>
          <w:szCs w:val="24"/>
        </w:rPr>
        <w:t xml:space="preserve">briefly </w:t>
      </w:r>
      <w:r w:rsidRPr="00BC105B">
        <w:rPr>
          <w:rFonts w:ascii="Arial" w:hAnsi="Arial" w:cs="Arial"/>
          <w:b/>
          <w:sz w:val="24"/>
          <w:szCs w:val="24"/>
        </w:rPr>
        <w:t xml:space="preserve">summarised </w:t>
      </w:r>
      <w:r>
        <w:rPr>
          <w:rFonts w:ascii="Arial" w:hAnsi="Arial" w:cs="Arial"/>
          <w:b/>
          <w:sz w:val="24"/>
          <w:szCs w:val="24"/>
        </w:rPr>
        <w:t xml:space="preserve">as follows. As the UK national library, the British Library is committed to a robust and balanced copyright regime that respects the interests of rights holders, creators and users alike. The British Library has a unique position as a legal deposit library, a purchaser or licensee of copyright content and materials, a licensor of its own intellectual property, and a support service to users of intellectual property be that for academic research, or for business development through their Business and Intellectual Property Centre which supports entrepreneurs and SMEs in developing, protecting and exploiting their ideas. The British Library sees getting the balance right – the balance between the rights of creators to be recognised and rewarded for their work, and the public interest in ensuring access to, and exchange and repurposing of, information and ideas – as intrinsic to a healthy creative economy and education sector. In short, the British Library’s position is that it operates at the fulcrum of the copyright balance. </w:t>
      </w:r>
    </w:p>
    <w:p w:rsidR="007A4C18" w:rsidRPr="00155093" w:rsidRDefault="007A4C18" w:rsidP="00301FF0">
      <w:pPr>
        <w:widowControl w:val="0"/>
        <w:spacing w:before="20" w:after="0" w:line="240" w:lineRule="auto"/>
        <w:ind w:left="360"/>
        <w:contextualSpacing/>
        <w:jc w:val="both"/>
        <w:rPr>
          <w:rFonts w:ascii="Arial" w:hAnsi="Arial" w:cs="Arial"/>
          <w:b/>
          <w:sz w:val="24"/>
          <w:szCs w:val="24"/>
        </w:rPr>
      </w:pPr>
    </w:p>
    <w:p w:rsidR="007A4C18" w:rsidRPr="00155093" w:rsidRDefault="007A4C18" w:rsidP="00BC105B">
      <w:pPr>
        <w:widowControl w:val="0"/>
        <w:numPr>
          <w:ilvl w:val="0"/>
          <w:numId w:val="4"/>
        </w:numPr>
        <w:spacing w:before="20" w:after="0" w:line="240" w:lineRule="auto"/>
        <w:contextualSpacing/>
        <w:jc w:val="both"/>
        <w:rPr>
          <w:rFonts w:ascii="Arial" w:hAnsi="Arial" w:cs="Arial"/>
          <w:b/>
          <w:sz w:val="24"/>
          <w:szCs w:val="24"/>
        </w:rPr>
      </w:pPr>
      <w:r w:rsidRPr="00155093">
        <w:rPr>
          <w:rFonts w:ascii="Arial" w:hAnsi="Arial" w:cs="Arial"/>
          <w:b/>
          <w:sz w:val="24"/>
          <w:szCs w:val="24"/>
        </w:rPr>
        <w:t xml:space="preserve">There is a constant need for the copyright framework to adapt to new forms of innovation, creativity and technology, </w:t>
      </w:r>
      <w:r>
        <w:rPr>
          <w:rFonts w:ascii="Arial" w:hAnsi="Arial" w:cs="Arial"/>
          <w:b/>
          <w:sz w:val="24"/>
          <w:szCs w:val="24"/>
        </w:rPr>
        <w:t xml:space="preserve">which is reflected by the Government’s </w:t>
      </w:r>
      <w:r w:rsidRPr="00155093">
        <w:rPr>
          <w:rFonts w:ascii="Arial" w:hAnsi="Arial" w:cs="Arial"/>
          <w:b/>
          <w:sz w:val="24"/>
          <w:szCs w:val="24"/>
        </w:rPr>
        <w:t>actions in this regard, including work to implement the recommendations of the Hargreaves review. The British Library has been open</w:t>
      </w:r>
      <w:r>
        <w:rPr>
          <w:rFonts w:ascii="Arial" w:hAnsi="Arial" w:cs="Arial"/>
          <w:b/>
          <w:sz w:val="24"/>
          <w:szCs w:val="24"/>
        </w:rPr>
        <w:t xml:space="preserve"> and transparent</w:t>
      </w:r>
      <w:r w:rsidRPr="00155093">
        <w:rPr>
          <w:rFonts w:ascii="Arial" w:hAnsi="Arial" w:cs="Arial"/>
          <w:b/>
          <w:sz w:val="24"/>
          <w:szCs w:val="24"/>
        </w:rPr>
        <w:t xml:space="preserve"> in</w:t>
      </w:r>
      <w:r>
        <w:rPr>
          <w:rFonts w:ascii="Arial" w:hAnsi="Arial" w:cs="Arial"/>
          <w:b/>
          <w:sz w:val="24"/>
          <w:szCs w:val="24"/>
        </w:rPr>
        <w:t xml:space="preserve"> setting out its position and in</w:t>
      </w:r>
      <w:r w:rsidRPr="00155093">
        <w:rPr>
          <w:rFonts w:ascii="Arial" w:hAnsi="Arial" w:cs="Arial"/>
          <w:b/>
          <w:sz w:val="24"/>
          <w:szCs w:val="24"/>
        </w:rPr>
        <w:t xml:space="preserve"> advocating reform of the copyright framework</w:t>
      </w:r>
      <w:r>
        <w:rPr>
          <w:rFonts w:ascii="Arial" w:hAnsi="Arial" w:cs="Arial"/>
          <w:b/>
          <w:sz w:val="24"/>
          <w:szCs w:val="24"/>
        </w:rPr>
        <w:t>.</w:t>
      </w:r>
    </w:p>
    <w:p w:rsidR="007A4C18" w:rsidRPr="00155093" w:rsidRDefault="007A4C18" w:rsidP="00F66D1A">
      <w:pPr>
        <w:widowControl w:val="0"/>
        <w:spacing w:before="20" w:after="0" w:line="240" w:lineRule="auto"/>
        <w:ind w:left="360"/>
        <w:contextualSpacing/>
        <w:jc w:val="both"/>
        <w:rPr>
          <w:rFonts w:ascii="Arial" w:hAnsi="Arial" w:cs="Arial"/>
          <w:sz w:val="24"/>
          <w:szCs w:val="24"/>
        </w:rPr>
      </w:pPr>
    </w:p>
    <w:p w:rsidR="007A4C18" w:rsidRPr="0049188B" w:rsidRDefault="007A4C18" w:rsidP="00F70456">
      <w:pPr>
        <w:widowControl w:val="0"/>
        <w:numPr>
          <w:ilvl w:val="0"/>
          <w:numId w:val="4"/>
        </w:numPr>
        <w:spacing w:before="20" w:after="0" w:line="240" w:lineRule="auto"/>
        <w:contextualSpacing/>
        <w:jc w:val="both"/>
        <w:rPr>
          <w:rFonts w:ascii="Arial" w:hAnsi="Arial" w:cs="Arial"/>
          <w:color w:val="000080"/>
          <w:sz w:val="24"/>
          <w:szCs w:val="24"/>
        </w:rPr>
      </w:pPr>
      <w:r>
        <w:rPr>
          <w:rFonts w:ascii="Arial" w:hAnsi="Arial" w:cs="Arial"/>
          <w:b/>
          <w:sz w:val="24"/>
          <w:szCs w:val="24"/>
        </w:rPr>
        <w:t>The British Library has a unique position as an organisation with a role in the copyright framework</w:t>
      </w:r>
      <w:r>
        <w:t xml:space="preserve">, </w:t>
      </w:r>
      <w:r w:rsidRPr="00F70456">
        <w:rPr>
          <w:rFonts w:ascii="Arial" w:hAnsi="Arial" w:cs="Arial"/>
          <w:b/>
          <w:sz w:val="24"/>
          <w:szCs w:val="24"/>
        </w:rPr>
        <w:t>with close links to publishers, authors and other rights holders</w:t>
      </w:r>
      <w:r>
        <w:rPr>
          <w:rFonts w:ascii="Arial" w:hAnsi="Arial" w:cs="Arial"/>
          <w:b/>
          <w:sz w:val="24"/>
          <w:szCs w:val="24"/>
        </w:rPr>
        <w:t xml:space="preserve">. The Government </w:t>
      </w:r>
      <w:r w:rsidRPr="0049188B">
        <w:rPr>
          <w:rFonts w:ascii="Arial" w:hAnsi="Arial" w:cs="Arial"/>
          <w:b/>
          <w:sz w:val="24"/>
          <w:szCs w:val="24"/>
        </w:rPr>
        <w:t>does not view the British Library’</w:t>
      </w:r>
      <w:r>
        <w:rPr>
          <w:rFonts w:ascii="Arial" w:hAnsi="Arial" w:cs="Arial"/>
          <w:b/>
          <w:sz w:val="24"/>
          <w:szCs w:val="24"/>
        </w:rPr>
        <w:t xml:space="preserve">s role and interest in </w:t>
      </w:r>
      <w:r w:rsidRPr="0049188B">
        <w:rPr>
          <w:rFonts w:ascii="Arial" w:hAnsi="Arial" w:cs="Arial"/>
          <w:b/>
          <w:sz w:val="24"/>
          <w:szCs w:val="24"/>
        </w:rPr>
        <w:t xml:space="preserve">copyright </w:t>
      </w:r>
      <w:r>
        <w:rPr>
          <w:rFonts w:ascii="Arial" w:hAnsi="Arial" w:cs="Arial"/>
          <w:b/>
          <w:sz w:val="24"/>
          <w:szCs w:val="24"/>
        </w:rPr>
        <w:t>reform</w:t>
      </w:r>
      <w:r w:rsidRPr="0049188B">
        <w:rPr>
          <w:rFonts w:ascii="Arial" w:hAnsi="Arial" w:cs="Arial"/>
          <w:b/>
          <w:sz w:val="24"/>
          <w:szCs w:val="24"/>
        </w:rPr>
        <w:t xml:space="preserve"> as </w:t>
      </w:r>
      <w:r>
        <w:rPr>
          <w:rFonts w:ascii="Arial" w:hAnsi="Arial" w:cs="Arial"/>
          <w:b/>
          <w:sz w:val="24"/>
          <w:szCs w:val="24"/>
        </w:rPr>
        <w:t xml:space="preserve">being </w:t>
      </w:r>
      <w:r w:rsidRPr="0049188B">
        <w:rPr>
          <w:rFonts w:ascii="Arial" w:hAnsi="Arial" w:cs="Arial"/>
          <w:b/>
          <w:sz w:val="24"/>
          <w:szCs w:val="24"/>
        </w:rPr>
        <w:t xml:space="preserve">at odds </w:t>
      </w:r>
      <w:r>
        <w:rPr>
          <w:rFonts w:ascii="Arial" w:hAnsi="Arial" w:cs="Arial"/>
          <w:b/>
          <w:sz w:val="24"/>
          <w:szCs w:val="24"/>
        </w:rPr>
        <w:t>with</w:t>
      </w:r>
      <w:r w:rsidRPr="0049188B">
        <w:rPr>
          <w:rFonts w:ascii="Arial" w:hAnsi="Arial" w:cs="Arial"/>
          <w:b/>
          <w:sz w:val="24"/>
          <w:szCs w:val="24"/>
        </w:rPr>
        <w:t xml:space="preserve"> the representation of </w:t>
      </w:r>
      <w:r>
        <w:rPr>
          <w:rFonts w:ascii="Arial" w:hAnsi="Arial" w:cs="Arial"/>
          <w:b/>
          <w:sz w:val="24"/>
          <w:szCs w:val="24"/>
        </w:rPr>
        <w:t>PLR rights holders</w:t>
      </w:r>
      <w:r w:rsidRPr="0049188B">
        <w:rPr>
          <w:rFonts w:ascii="Arial" w:hAnsi="Arial" w:cs="Arial"/>
          <w:b/>
          <w:sz w:val="24"/>
          <w:szCs w:val="24"/>
        </w:rPr>
        <w:t>’</w:t>
      </w:r>
      <w:r>
        <w:rPr>
          <w:rFonts w:ascii="Arial" w:hAnsi="Arial" w:cs="Arial"/>
          <w:b/>
          <w:sz w:val="24"/>
          <w:szCs w:val="24"/>
        </w:rPr>
        <w:t xml:space="preserve"> interests, and accepts that the Library, operating at the fulcrum of the copyright balance as they put it, can manage PLR effectively providing a high quality service to rights holders without conflict of interest.</w:t>
      </w:r>
    </w:p>
    <w:p w:rsidR="007A4C18" w:rsidRDefault="007A4C18" w:rsidP="00D71EA4">
      <w:pPr>
        <w:rPr>
          <w:rFonts w:ascii="Arial" w:hAnsi="Arial" w:cs="Arial"/>
          <w:sz w:val="24"/>
          <w:szCs w:val="24"/>
        </w:rPr>
      </w:pPr>
    </w:p>
    <w:p w:rsidR="007A4C18" w:rsidRPr="00AB3FB9" w:rsidRDefault="007A4C18" w:rsidP="00D71EA4">
      <w:pPr>
        <w:rPr>
          <w:rFonts w:ascii="Arial" w:hAnsi="Arial" w:cs="Arial"/>
          <w:sz w:val="24"/>
          <w:szCs w:val="24"/>
        </w:rPr>
      </w:pPr>
    </w:p>
    <w:p w:rsidR="007A4C18" w:rsidRPr="00AB3FB9" w:rsidRDefault="007A4C18" w:rsidP="002A1CFB">
      <w:pPr>
        <w:pStyle w:val="Heading1"/>
        <w:spacing w:before="120"/>
        <w:rPr>
          <w:rFonts w:ascii="Arial" w:hAnsi="Arial" w:cs="Arial"/>
          <w:color w:val="auto"/>
          <w:sz w:val="24"/>
          <w:szCs w:val="24"/>
        </w:rPr>
      </w:pPr>
      <w:bookmarkStart w:id="3" w:name="_Toc336512011"/>
      <w:r w:rsidRPr="00AB3FB9">
        <w:rPr>
          <w:rFonts w:ascii="Arial" w:hAnsi="Arial" w:cs="Arial"/>
          <w:color w:val="auto"/>
          <w:sz w:val="24"/>
          <w:szCs w:val="24"/>
        </w:rPr>
        <w:t>Next steps</w:t>
      </w:r>
      <w:bookmarkEnd w:id="3"/>
    </w:p>
    <w:p w:rsidR="007A4C18" w:rsidRPr="00717862" w:rsidRDefault="007A4C18" w:rsidP="00B36E6E">
      <w:pPr>
        <w:jc w:val="both"/>
        <w:rPr>
          <w:rFonts w:ascii="Arial" w:hAnsi="Arial" w:cs="Arial"/>
          <w:sz w:val="24"/>
          <w:szCs w:val="24"/>
        </w:rPr>
      </w:pPr>
    </w:p>
    <w:p w:rsidR="007A4C18" w:rsidRDefault="007A4C18" w:rsidP="00B41A75">
      <w:pPr>
        <w:pStyle w:val="ListParagraph"/>
        <w:numPr>
          <w:ilvl w:val="0"/>
          <w:numId w:val="4"/>
        </w:numPr>
        <w:jc w:val="both"/>
        <w:rPr>
          <w:rFonts w:ascii="Arial" w:hAnsi="Arial" w:cs="Arial"/>
          <w:szCs w:val="24"/>
        </w:rPr>
      </w:pPr>
      <w:r w:rsidRPr="00B049A6">
        <w:rPr>
          <w:rFonts w:ascii="Arial" w:hAnsi="Arial" w:cs="Arial"/>
          <w:szCs w:val="24"/>
        </w:rPr>
        <w:t>The Government would like to thank all those who responded</w:t>
      </w:r>
      <w:r>
        <w:rPr>
          <w:rFonts w:ascii="Arial" w:hAnsi="Arial" w:cs="Arial"/>
          <w:szCs w:val="24"/>
        </w:rPr>
        <w:t xml:space="preserve"> to the public consultation; the responses demonstrate the importance of PLR payments to authors and other rights holders and highlighted a number of areas for consideration.</w:t>
      </w:r>
    </w:p>
    <w:p w:rsidR="007A4C18" w:rsidRPr="00B049A6" w:rsidRDefault="007A4C18" w:rsidP="00B41A75">
      <w:pPr>
        <w:pStyle w:val="ListParagraph"/>
        <w:ind w:left="360"/>
        <w:jc w:val="both"/>
        <w:rPr>
          <w:rFonts w:ascii="Arial" w:hAnsi="Arial" w:cs="Arial"/>
          <w:szCs w:val="24"/>
        </w:rPr>
      </w:pPr>
    </w:p>
    <w:p w:rsidR="007A4C18" w:rsidRDefault="007A4C18" w:rsidP="00B41A75">
      <w:pPr>
        <w:pStyle w:val="ListParagraph"/>
        <w:numPr>
          <w:ilvl w:val="0"/>
          <w:numId w:val="4"/>
        </w:numPr>
        <w:jc w:val="both"/>
        <w:rPr>
          <w:rFonts w:ascii="Arial" w:hAnsi="Arial" w:cs="Arial"/>
          <w:szCs w:val="24"/>
        </w:rPr>
      </w:pPr>
      <w:r w:rsidRPr="00B049A6">
        <w:rPr>
          <w:rFonts w:ascii="Arial" w:hAnsi="Arial" w:cs="Arial"/>
          <w:szCs w:val="24"/>
        </w:rPr>
        <w:t xml:space="preserve">We cannot predict whether the rate per loan paid to authors will increase or decrease in future years, and no assumptions are made about future Spending </w:t>
      </w:r>
      <w:r>
        <w:rPr>
          <w:rFonts w:ascii="Arial" w:hAnsi="Arial" w:cs="Arial"/>
          <w:szCs w:val="24"/>
        </w:rPr>
        <w:t>Review settlements, however a</w:t>
      </w:r>
      <w:r w:rsidRPr="00B049A6">
        <w:rPr>
          <w:rFonts w:ascii="Arial" w:hAnsi="Arial" w:cs="Arial"/>
          <w:szCs w:val="24"/>
        </w:rPr>
        <w:t xml:space="preserve"> transfer </w:t>
      </w:r>
      <w:r>
        <w:rPr>
          <w:rFonts w:ascii="Arial" w:hAnsi="Arial" w:cs="Arial"/>
          <w:szCs w:val="24"/>
        </w:rPr>
        <w:t xml:space="preserve">to the British Library </w:t>
      </w:r>
      <w:r w:rsidRPr="00B049A6">
        <w:rPr>
          <w:rFonts w:ascii="Arial" w:hAnsi="Arial" w:cs="Arial"/>
          <w:szCs w:val="24"/>
        </w:rPr>
        <w:t xml:space="preserve">offers </w:t>
      </w:r>
      <w:r>
        <w:rPr>
          <w:rFonts w:ascii="Arial" w:hAnsi="Arial" w:cs="Arial"/>
          <w:szCs w:val="24"/>
        </w:rPr>
        <w:t>greater</w:t>
      </w:r>
      <w:r w:rsidRPr="00B049A6">
        <w:rPr>
          <w:rFonts w:ascii="Arial" w:hAnsi="Arial" w:cs="Arial"/>
          <w:szCs w:val="24"/>
        </w:rPr>
        <w:t xml:space="preserve"> efficiency savings </w:t>
      </w:r>
      <w:r>
        <w:rPr>
          <w:rFonts w:ascii="Arial" w:hAnsi="Arial" w:cs="Arial"/>
          <w:szCs w:val="24"/>
        </w:rPr>
        <w:t xml:space="preserve">than are achievable by a standalone body the size of PLR, and </w:t>
      </w:r>
      <w:r w:rsidRPr="0063785F">
        <w:rPr>
          <w:rFonts w:ascii="Arial" w:hAnsi="Arial" w:cs="Arial"/>
          <w:szCs w:val="24"/>
        </w:rPr>
        <w:t xml:space="preserve">therefore </w:t>
      </w:r>
      <w:r w:rsidR="0071401F" w:rsidRPr="009F4AE6">
        <w:rPr>
          <w:rFonts w:ascii="Arial" w:hAnsi="Arial" w:cs="Arial"/>
          <w:szCs w:val="24"/>
        </w:rPr>
        <w:t xml:space="preserve">maximises the proportion of available grant-in-aid </w:t>
      </w:r>
      <w:r w:rsidR="009F4AE6">
        <w:rPr>
          <w:rFonts w:ascii="Arial" w:hAnsi="Arial" w:cs="Arial"/>
          <w:szCs w:val="24"/>
        </w:rPr>
        <w:t>which could be</w:t>
      </w:r>
      <w:r w:rsidR="0071401F" w:rsidRPr="009F4AE6">
        <w:rPr>
          <w:rFonts w:ascii="Arial" w:hAnsi="Arial" w:cs="Arial"/>
          <w:szCs w:val="24"/>
        </w:rPr>
        <w:t xml:space="preserve"> allocated to authors. </w:t>
      </w:r>
      <w:r>
        <w:rPr>
          <w:rFonts w:ascii="Arial" w:hAnsi="Arial" w:cs="Arial"/>
          <w:szCs w:val="24"/>
        </w:rPr>
        <w:t xml:space="preserve">This low-risk transfer will retain the operation and workforce which is working well at present and is highly valued by respondents to the consultation, and the increased efficiency and economy of the scheme will benefit PLR rights holders. Furthermore, the transfer </w:t>
      </w:r>
      <w:r w:rsidRPr="00E93226">
        <w:rPr>
          <w:rFonts w:ascii="Arial" w:hAnsi="Arial" w:cs="Arial"/>
          <w:szCs w:val="24"/>
        </w:rPr>
        <w:t xml:space="preserve">would </w:t>
      </w:r>
      <w:r>
        <w:rPr>
          <w:rFonts w:ascii="Arial" w:hAnsi="Arial" w:cs="Arial"/>
          <w:szCs w:val="24"/>
        </w:rPr>
        <w:t xml:space="preserve">not only </w:t>
      </w:r>
      <w:r w:rsidRPr="00E93226">
        <w:rPr>
          <w:rFonts w:ascii="Arial" w:hAnsi="Arial" w:cs="Arial"/>
          <w:szCs w:val="24"/>
        </w:rPr>
        <w:t>ensure continuity of efficient systems and processes, but would also develop a more solid infrastructure, which the larger organisation enables.</w:t>
      </w:r>
      <w:r>
        <w:rPr>
          <w:rFonts w:ascii="Arial" w:hAnsi="Arial" w:cs="Arial"/>
          <w:szCs w:val="24"/>
        </w:rPr>
        <w:t xml:space="preserve"> </w:t>
      </w:r>
    </w:p>
    <w:p w:rsidR="007A4C18" w:rsidRPr="004E2846" w:rsidRDefault="007A4C18" w:rsidP="00B41A75">
      <w:pPr>
        <w:pStyle w:val="ListParagraph"/>
        <w:jc w:val="both"/>
        <w:rPr>
          <w:rFonts w:ascii="Arial" w:hAnsi="Arial" w:cs="Arial"/>
          <w:szCs w:val="24"/>
        </w:rPr>
      </w:pPr>
    </w:p>
    <w:p w:rsidR="007A4C18" w:rsidRPr="004E2846" w:rsidRDefault="007A4C18" w:rsidP="00B41A75">
      <w:pPr>
        <w:pStyle w:val="ListParagraph"/>
        <w:numPr>
          <w:ilvl w:val="0"/>
          <w:numId w:val="4"/>
        </w:numPr>
        <w:jc w:val="both"/>
        <w:rPr>
          <w:rFonts w:ascii="Arial" w:hAnsi="Arial" w:cs="Arial"/>
          <w:szCs w:val="24"/>
        </w:rPr>
      </w:pPr>
      <w:r w:rsidRPr="004E2846">
        <w:rPr>
          <w:rFonts w:ascii="Arial" w:hAnsi="Arial" w:cs="Arial"/>
          <w:szCs w:val="24"/>
        </w:rPr>
        <w:t xml:space="preserve">Transfer to the British Library emerged as the preferred option because it fulfils the Government’s aims of maximising the efficiency, economy and effectiveness of the Scheme and reducing the number of public bodies.  The Public Bodies Act 2011 gives powers to Ministers to abolish, merge, or modify or transfer functions of public bodies through secondary legislation. We will now seek Parliament’s approval to abolish the Registrar of PLR using these powers and transfer the function to the British Library. </w:t>
      </w:r>
    </w:p>
    <w:p w:rsidR="007A4C18" w:rsidRPr="00717862" w:rsidRDefault="007A4C18" w:rsidP="00B41A75">
      <w:pPr>
        <w:pStyle w:val="ListParagraph"/>
        <w:jc w:val="both"/>
        <w:rPr>
          <w:rFonts w:ascii="Arial" w:hAnsi="Arial" w:cs="Arial"/>
          <w:szCs w:val="24"/>
        </w:rPr>
      </w:pPr>
    </w:p>
    <w:p w:rsidR="007A4C18" w:rsidRPr="00717862" w:rsidRDefault="007A4C18" w:rsidP="00B41A75">
      <w:pPr>
        <w:pStyle w:val="ListParagraph"/>
        <w:numPr>
          <w:ilvl w:val="0"/>
          <w:numId w:val="4"/>
        </w:numPr>
        <w:jc w:val="both"/>
        <w:rPr>
          <w:rFonts w:ascii="Arial" w:hAnsi="Arial" w:cs="Arial"/>
          <w:szCs w:val="24"/>
        </w:rPr>
      </w:pPr>
      <w:r w:rsidRPr="00717862">
        <w:rPr>
          <w:rFonts w:ascii="Arial" w:hAnsi="Arial" w:cs="Arial"/>
          <w:szCs w:val="24"/>
        </w:rPr>
        <w:t xml:space="preserve"> A final stage Impact Assessment</w:t>
      </w:r>
      <w:r>
        <w:rPr>
          <w:rFonts w:ascii="Arial" w:hAnsi="Arial" w:cs="Arial"/>
          <w:szCs w:val="24"/>
        </w:rPr>
        <w:t>, setting out the costs and benefits of the transfer,</w:t>
      </w:r>
      <w:r w:rsidRPr="00717862">
        <w:rPr>
          <w:rFonts w:ascii="Arial" w:hAnsi="Arial" w:cs="Arial"/>
          <w:szCs w:val="24"/>
        </w:rPr>
        <w:t xml:space="preserve"> has been published on the DCMS website alongside this Government response. </w:t>
      </w:r>
      <w:r w:rsidRPr="00717862">
        <w:rPr>
          <w:rFonts w:ascii="Arial" w:hAnsi="Arial" w:cs="Arial"/>
          <w:szCs w:val="24"/>
        </w:rPr>
        <w:br/>
      </w:r>
    </w:p>
    <w:p w:rsidR="007A4C18" w:rsidRPr="004E2846" w:rsidRDefault="007A4C18" w:rsidP="00B41A75">
      <w:pPr>
        <w:jc w:val="both"/>
        <w:rPr>
          <w:rFonts w:ascii="Arial" w:hAnsi="Arial" w:cs="Arial"/>
          <w:szCs w:val="24"/>
        </w:rPr>
      </w:pPr>
    </w:p>
    <w:p w:rsidR="007A4C18" w:rsidRPr="00717862" w:rsidRDefault="007A4C18" w:rsidP="00717862">
      <w:pPr>
        <w:pStyle w:val="ListParagraph"/>
        <w:ind w:left="360"/>
        <w:jc w:val="both"/>
        <w:rPr>
          <w:rFonts w:ascii="Arial" w:hAnsi="Arial" w:cs="Arial"/>
          <w:szCs w:val="24"/>
        </w:rPr>
      </w:pPr>
    </w:p>
    <w:p w:rsidR="007A4C18" w:rsidRPr="00717862" w:rsidRDefault="007A4C18" w:rsidP="003664B2">
      <w:pPr>
        <w:jc w:val="both"/>
        <w:rPr>
          <w:rFonts w:ascii="Arial" w:hAnsi="Arial" w:cs="Arial"/>
          <w:sz w:val="24"/>
          <w:szCs w:val="24"/>
        </w:rPr>
      </w:pPr>
    </w:p>
    <w:p w:rsidR="007A4C18" w:rsidRDefault="007A4C18" w:rsidP="0099441B">
      <w:pPr>
        <w:pStyle w:val="Heading1"/>
        <w:spacing w:before="0"/>
        <w:rPr>
          <w:rFonts w:ascii="Arial" w:hAnsi="Arial" w:cs="Arial"/>
          <w:color w:val="auto"/>
          <w:sz w:val="24"/>
          <w:szCs w:val="24"/>
        </w:rPr>
      </w:pPr>
    </w:p>
    <w:p w:rsidR="007A4C18" w:rsidRDefault="007A4C18" w:rsidP="00056601"/>
    <w:p w:rsidR="007A4C18" w:rsidRDefault="007A4C18" w:rsidP="00056601"/>
    <w:p w:rsidR="007A4C18" w:rsidRDefault="007A4C18" w:rsidP="00056601"/>
    <w:p w:rsidR="007A4C18" w:rsidRDefault="007A4C18" w:rsidP="00056601"/>
    <w:p w:rsidR="007A4C18" w:rsidRPr="00717862" w:rsidRDefault="007A4C18" w:rsidP="0099441B">
      <w:pPr>
        <w:pStyle w:val="Heading1"/>
        <w:spacing w:before="0"/>
        <w:rPr>
          <w:rFonts w:ascii="Arial" w:hAnsi="Arial" w:cs="Arial"/>
          <w:color w:val="auto"/>
          <w:sz w:val="24"/>
          <w:szCs w:val="24"/>
        </w:rPr>
      </w:pPr>
    </w:p>
    <w:p w:rsidR="007A4C18" w:rsidRPr="00717862" w:rsidRDefault="007A4C18" w:rsidP="0099441B">
      <w:pPr>
        <w:pStyle w:val="Heading1"/>
        <w:spacing w:before="0"/>
        <w:rPr>
          <w:rFonts w:ascii="Arial" w:hAnsi="Arial" w:cs="Arial"/>
          <w:color w:val="auto"/>
          <w:sz w:val="24"/>
          <w:szCs w:val="24"/>
        </w:rPr>
      </w:pPr>
    </w:p>
    <w:p w:rsidR="007A4C18" w:rsidRPr="00717862" w:rsidRDefault="007A4C18" w:rsidP="0099441B">
      <w:pPr>
        <w:pStyle w:val="Heading1"/>
        <w:spacing w:before="0"/>
        <w:rPr>
          <w:rFonts w:ascii="Arial" w:hAnsi="Arial" w:cs="Arial"/>
          <w:color w:val="auto"/>
          <w:sz w:val="24"/>
          <w:szCs w:val="24"/>
        </w:rPr>
      </w:pPr>
    </w:p>
    <w:p w:rsidR="007A4C18" w:rsidRPr="00717862" w:rsidRDefault="007A4C18" w:rsidP="0099441B">
      <w:pPr>
        <w:pStyle w:val="Heading1"/>
        <w:spacing w:before="0"/>
        <w:rPr>
          <w:rFonts w:ascii="Arial" w:hAnsi="Arial" w:cs="Arial"/>
          <w:color w:val="auto"/>
          <w:sz w:val="24"/>
          <w:szCs w:val="24"/>
        </w:rPr>
      </w:pPr>
    </w:p>
    <w:p w:rsidR="007A4C18" w:rsidRPr="00717862" w:rsidRDefault="007A4C18" w:rsidP="0099441B">
      <w:pPr>
        <w:pStyle w:val="Heading1"/>
        <w:spacing w:before="0"/>
        <w:rPr>
          <w:rFonts w:ascii="Arial" w:hAnsi="Arial" w:cs="Arial"/>
          <w:color w:val="auto"/>
          <w:sz w:val="24"/>
          <w:szCs w:val="24"/>
        </w:rPr>
      </w:pPr>
    </w:p>
    <w:p w:rsidR="007A4C18" w:rsidRPr="00717862" w:rsidRDefault="007A4C18" w:rsidP="0099441B">
      <w:pPr>
        <w:pStyle w:val="Heading1"/>
        <w:spacing w:before="0"/>
        <w:rPr>
          <w:rFonts w:ascii="Arial" w:hAnsi="Arial" w:cs="Arial"/>
          <w:color w:val="auto"/>
          <w:sz w:val="24"/>
          <w:szCs w:val="24"/>
        </w:rPr>
      </w:pPr>
    </w:p>
    <w:p w:rsidR="007A4C18" w:rsidRPr="00717862" w:rsidRDefault="006B6209" w:rsidP="00983B09">
      <w:pPr>
        <w:rPr>
          <w:rFonts w:ascii="Arial" w:hAnsi="Arial" w:cs="Arial"/>
          <w:sz w:val="24"/>
          <w:szCs w:val="24"/>
        </w:rPr>
      </w:pPr>
      <w:r>
        <w:rPr>
          <w:noProof/>
        </w:rPr>
        <w:pict w14:anchorId="2D0821F0">
          <v:shape id="Picture 4" o:spid="_x0000_s1028" type="#_x0000_t75" alt="dcms gif logo" style="position:absolute;margin-left:-10.05pt;margin-top:451.5pt;width:90.15pt;height:106.75pt;z-index:251659264;visibility:visible">
            <v:imagedata r:id="rId9" o:title=""/>
          </v:shape>
        </w:pict>
      </w:r>
      <w:r>
        <w:rPr>
          <w:noProof/>
        </w:rPr>
        <w:pict w14:anchorId="2D0821F1">
          <v:shape id="Text Box 4" o:spid="_x0000_s1029" type="#_x0000_t202" style="position:absolute;margin-left:-5.3pt;margin-top:579.7pt;width:135pt;height:54pt;z-index:251658240;visibility:visible" stroked="f">
            <v:textbox>
              <w:txbxContent>
                <w:p w:rsidR="007A4C18" w:rsidRDefault="007A4C18" w:rsidP="00983B09">
                  <w:pPr>
                    <w:pStyle w:val="Address"/>
                  </w:pPr>
                  <w:r>
                    <w:t>2-4 Cockspur Street</w:t>
                  </w:r>
                </w:p>
                <w:p w:rsidR="007A4C18" w:rsidRDefault="007A4C18" w:rsidP="00983B09">
                  <w:pPr>
                    <w:pStyle w:val="Address"/>
                  </w:pPr>
                  <w:r>
                    <w:t>London SW1Y 5DH</w:t>
                  </w:r>
                </w:p>
                <w:p w:rsidR="007A4C18" w:rsidRDefault="007A4C18" w:rsidP="00983B09">
                  <w:pPr>
                    <w:pStyle w:val="WebAddress"/>
                  </w:pPr>
                  <w:r>
                    <w:t>www.culture.gov.uk</w:t>
                  </w:r>
                </w:p>
              </w:txbxContent>
            </v:textbox>
          </v:shape>
        </w:pict>
      </w:r>
    </w:p>
    <w:sectPr w:rsidR="007A4C18" w:rsidRPr="00717862" w:rsidSect="0029544C">
      <w:footerReference w:type="default" r:id="rId13"/>
      <w:pgSz w:w="11906" w:h="16838"/>
      <w:pgMar w:top="992" w:right="992" w:bottom="992" w:left="9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09" w:rsidRDefault="006B6209" w:rsidP="00A228D9">
      <w:pPr>
        <w:spacing w:after="0" w:line="240" w:lineRule="auto"/>
      </w:pPr>
      <w:r>
        <w:separator/>
      </w:r>
    </w:p>
  </w:endnote>
  <w:endnote w:type="continuationSeparator" w:id="0">
    <w:p w:rsidR="006B6209" w:rsidRDefault="006B6209" w:rsidP="00A2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liss">
    <w:panose1 w:val="00000400000000000000"/>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18" w:rsidRDefault="007A4C18">
    <w:pPr>
      <w:pStyle w:val="Footer"/>
      <w:jc w:val="right"/>
    </w:pPr>
  </w:p>
  <w:p w:rsidR="007A4C18" w:rsidRDefault="007A4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18" w:rsidRPr="0029544C" w:rsidRDefault="007A4C18">
    <w:pPr>
      <w:pStyle w:val="Footer"/>
      <w:jc w:val="right"/>
      <w:rPr>
        <w:rFonts w:ascii="Arial" w:hAnsi="Arial" w:cs="Arial"/>
        <w:sz w:val="20"/>
        <w:szCs w:val="20"/>
      </w:rPr>
    </w:pPr>
    <w:r w:rsidRPr="0029544C">
      <w:rPr>
        <w:rFonts w:ascii="Arial" w:hAnsi="Arial" w:cs="Arial"/>
        <w:sz w:val="20"/>
        <w:szCs w:val="20"/>
      </w:rPr>
      <w:fldChar w:fldCharType="begin"/>
    </w:r>
    <w:r w:rsidRPr="0029544C">
      <w:rPr>
        <w:rFonts w:ascii="Arial" w:hAnsi="Arial" w:cs="Arial"/>
        <w:sz w:val="20"/>
        <w:szCs w:val="20"/>
      </w:rPr>
      <w:instrText xml:space="preserve"> PAGE   \* MERGEFORMAT </w:instrText>
    </w:r>
    <w:r w:rsidRPr="0029544C">
      <w:rPr>
        <w:rFonts w:ascii="Arial" w:hAnsi="Arial" w:cs="Arial"/>
        <w:sz w:val="20"/>
        <w:szCs w:val="20"/>
      </w:rPr>
      <w:fldChar w:fldCharType="separate"/>
    </w:r>
    <w:r w:rsidR="00FB7B09">
      <w:rPr>
        <w:rFonts w:ascii="Arial" w:hAnsi="Arial" w:cs="Arial"/>
        <w:noProof/>
        <w:sz w:val="20"/>
        <w:szCs w:val="20"/>
      </w:rPr>
      <w:t>10</w:t>
    </w:r>
    <w:r w:rsidRPr="0029544C">
      <w:rPr>
        <w:rFonts w:ascii="Arial" w:hAnsi="Arial" w:cs="Arial"/>
        <w:sz w:val="20"/>
        <w:szCs w:val="20"/>
      </w:rPr>
      <w:fldChar w:fldCharType="end"/>
    </w:r>
  </w:p>
  <w:p w:rsidR="007A4C18" w:rsidRDefault="007A4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09" w:rsidRDefault="006B6209" w:rsidP="00A228D9">
      <w:pPr>
        <w:spacing w:after="0" w:line="240" w:lineRule="auto"/>
      </w:pPr>
      <w:r>
        <w:separator/>
      </w:r>
    </w:p>
  </w:footnote>
  <w:footnote w:type="continuationSeparator" w:id="0">
    <w:p w:rsidR="006B6209" w:rsidRDefault="006B6209" w:rsidP="00A22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18" w:rsidRPr="005C47A1" w:rsidRDefault="007A4C18" w:rsidP="00FF4C06">
    <w:pPr>
      <w:tabs>
        <w:tab w:val="right" w:pos="10206"/>
      </w:tabs>
      <w:spacing w:after="0" w:line="240" w:lineRule="auto"/>
      <w:jc w:val="right"/>
      <w:rPr>
        <w:rFonts w:ascii="Arial" w:hAnsi="Arial"/>
        <w:sz w:val="18"/>
        <w:szCs w:val="24"/>
      </w:rPr>
    </w:pPr>
    <w:r>
      <w:rPr>
        <w:rFonts w:ascii="Arial" w:hAnsi="Arial"/>
        <w:sz w:val="18"/>
        <w:szCs w:val="24"/>
      </w:rPr>
      <w:t>Government response to the consultation on proposals to transfer the PLR functions</w:t>
    </w:r>
  </w:p>
  <w:p w:rsidR="007A4C18" w:rsidRDefault="007A4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764"/>
    <w:multiLevelType w:val="hybridMultilevel"/>
    <w:tmpl w:val="A4144062"/>
    <w:lvl w:ilvl="0" w:tplc="CE680796">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985B15"/>
    <w:multiLevelType w:val="hybridMultilevel"/>
    <w:tmpl w:val="146A72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AA651E"/>
    <w:multiLevelType w:val="hybridMultilevel"/>
    <w:tmpl w:val="1E36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F80BEA"/>
    <w:multiLevelType w:val="hybridMultilevel"/>
    <w:tmpl w:val="957638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79850DB"/>
    <w:multiLevelType w:val="hybridMultilevel"/>
    <w:tmpl w:val="372E72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8A522EE"/>
    <w:multiLevelType w:val="hybridMultilevel"/>
    <w:tmpl w:val="6240B3B2"/>
    <w:lvl w:ilvl="0" w:tplc="44061C0C">
      <w:start w:val="1"/>
      <w:numFmt w:val="decimal"/>
      <w:lvlText w:val="%1."/>
      <w:lvlJc w:val="left"/>
      <w:pPr>
        <w:ind w:left="1080" w:hanging="720"/>
      </w:pPr>
      <w:rPr>
        <w:rFonts w:eastAsia="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0A46557"/>
    <w:multiLevelType w:val="hybridMultilevel"/>
    <w:tmpl w:val="03B47B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5090B52"/>
    <w:multiLevelType w:val="hybridMultilevel"/>
    <w:tmpl w:val="DE0C1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890E46"/>
    <w:multiLevelType w:val="multilevel"/>
    <w:tmpl w:val="9D8A45DE"/>
    <w:lvl w:ilvl="0">
      <w:start w:val="10"/>
      <w:numFmt w:val="decimal"/>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9">
    <w:nsid w:val="29C94054"/>
    <w:multiLevelType w:val="hybridMultilevel"/>
    <w:tmpl w:val="F306C5D0"/>
    <w:lvl w:ilvl="0" w:tplc="62A4ADE2">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6C23528"/>
    <w:multiLevelType w:val="hybridMultilevel"/>
    <w:tmpl w:val="F2E265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7E325CD"/>
    <w:multiLevelType w:val="hybridMultilevel"/>
    <w:tmpl w:val="A7E6AE06"/>
    <w:lvl w:ilvl="0" w:tplc="CE680796">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8FA3750"/>
    <w:multiLevelType w:val="hybridMultilevel"/>
    <w:tmpl w:val="86608AF8"/>
    <w:lvl w:ilvl="0" w:tplc="62A4ADE2">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4BD0420"/>
    <w:multiLevelType w:val="hybridMultilevel"/>
    <w:tmpl w:val="DEB200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4E44E43"/>
    <w:multiLevelType w:val="hybridMultilevel"/>
    <w:tmpl w:val="526C6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6FE5D0B"/>
    <w:multiLevelType w:val="multilevel"/>
    <w:tmpl w:val="0B6EE4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68B52689"/>
    <w:multiLevelType w:val="hybridMultilevel"/>
    <w:tmpl w:val="09928ECE"/>
    <w:lvl w:ilvl="0" w:tplc="1E12E97E">
      <w:start w:val="1"/>
      <w:numFmt w:val="lowerRoman"/>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6B5025F5"/>
    <w:multiLevelType w:val="hybridMultilevel"/>
    <w:tmpl w:val="A9B4DB92"/>
    <w:lvl w:ilvl="0" w:tplc="62A4ADE2">
      <w:start w:val="1"/>
      <w:numFmt w:val="decimal"/>
      <w:lvlText w:val="%1."/>
      <w:lvlJc w:val="left"/>
      <w:pPr>
        <w:ind w:left="720" w:hanging="360"/>
      </w:pPr>
      <w:rPr>
        <w:rFonts w:cs="Times New Roman"/>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0011EEB"/>
    <w:multiLevelType w:val="hybridMultilevel"/>
    <w:tmpl w:val="64BE33A6"/>
    <w:lvl w:ilvl="0" w:tplc="CA54A716">
      <w:start w:val="1"/>
      <w:numFmt w:val="decimal"/>
      <w:lvlText w:val="%1."/>
      <w:lvlJc w:val="left"/>
      <w:pPr>
        <w:ind w:left="360" w:hanging="360"/>
      </w:pPr>
      <w:rPr>
        <w:rFonts w:cs="Times New Roman"/>
        <w:b w:val="0"/>
        <w:i w:val="0"/>
        <w:color w:val="auto"/>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5"/>
  </w:num>
  <w:num w:numId="2">
    <w:abstractNumId w:val="8"/>
  </w:num>
  <w:num w:numId="3">
    <w:abstractNumId w:val="16"/>
  </w:num>
  <w:num w:numId="4">
    <w:abstractNumId w:val="18"/>
  </w:num>
  <w:num w:numId="5">
    <w:abstractNumId w:val="6"/>
  </w:num>
  <w:num w:numId="6">
    <w:abstractNumId w:val="4"/>
  </w:num>
  <w:num w:numId="7">
    <w:abstractNumId w:val="13"/>
  </w:num>
  <w:num w:numId="8">
    <w:abstractNumId w:val="1"/>
  </w:num>
  <w:num w:numId="9">
    <w:abstractNumId w:val="0"/>
  </w:num>
  <w:num w:numId="10">
    <w:abstractNumId w:val="11"/>
  </w:num>
  <w:num w:numId="11">
    <w:abstractNumId w:val="12"/>
  </w:num>
  <w:num w:numId="12">
    <w:abstractNumId w:val="14"/>
  </w:num>
  <w:num w:numId="13">
    <w:abstractNumId w:val="9"/>
  </w:num>
  <w:num w:numId="14">
    <w:abstractNumId w:val="5"/>
  </w:num>
  <w:num w:numId="15">
    <w:abstractNumId w:val="1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8D9"/>
    <w:rsid w:val="0000096F"/>
    <w:rsid w:val="000014AA"/>
    <w:rsid w:val="00001AF4"/>
    <w:rsid w:val="00001F91"/>
    <w:rsid w:val="00001FE4"/>
    <w:rsid w:val="00002125"/>
    <w:rsid w:val="0000240E"/>
    <w:rsid w:val="00004232"/>
    <w:rsid w:val="000043DD"/>
    <w:rsid w:val="00005E6A"/>
    <w:rsid w:val="000076CB"/>
    <w:rsid w:val="00011B2B"/>
    <w:rsid w:val="00011DDA"/>
    <w:rsid w:val="00012E70"/>
    <w:rsid w:val="00013293"/>
    <w:rsid w:val="000143FD"/>
    <w:rsid w:val="00014BC4"/>
    <w:rsid w:val="00014E2F"/>
    <w:rsid w:val="00016445"/>
    <w:rsid w:val="00016477"/>
    <w:rsid w:val="0002164F"/>
    <w:rsid w:val="00022B88"/>
    <w:rsid w:val="000239F1"/>
    <w:rsid w:val="000240DC"/>
    <w:rsid w:val="00024A95"/>
    <w:rsid w:val="00024B69"/>
    <w:rsid w:val="00024E79"/>
    <w:rsid w:val="00025F7E"/>
    <w:rsid w:val="00026879"/>
    <w:rsid w:val="00026CE0"/>
    <w:rsid w:val="00030B1F"/>
    <w:rsid w:val="0003242B"/>
    <w:rsid w:val="00032E5E"/>
    <w:rsid w:val="000337F1"/>
    <w:rsid w:val="0003403B"/>
    <w:rsid w:val="000352D8"/>
    <w:rsid w:val="00035E02"/>
    <w:rsid w:val="000361D0"/>
    <w:rsid w:val="00036252"/>
    <w:rsid w:val="00037F7D"/>
    <w:rsid w:val="00040272"/>
    <w:rsid w:val="00040D66"/>
    <w:rsid w:val="00040DA8"/>
    <w:rsid w:val="0004106B"/>
    <w:rsid w:val="0004243E"/>
    <w:rsid w:val="00042C68"/>
    <w:rsid w:val="00044AB5"/>
    <w:rsid w:val="00045B43"/>
    <w:rsid w:val="00046393"/>
    <w:rsid w:val="000466B2"/>
    <w:rsid w:val="0004680C"/>
    <w:rsid w:val="000471CB"/>
    <w:rsid w:val="00047B52"/>
    <w:rsid w:val="000516A1"/>
    <w:rsid w:val="00051D08"/>
    <w:rsid w:val="00052C3F"/>
    <w:rsid w:val="00053654"/>
    <w:rsid w:val="000540C0"/>
    <w:rsid w:val="00054902"/>
    <w:rsid w:val="000553CC"/>
    <w:rsid w:val="0005605D"/>
    <w:rsid w:val="0005611D"/>
    <w:rsid w:val="00056601"/>
    <w:rsid w:val="00056EF8"/>
    <w:rsid w:val="00057295"/>
    <w:rsid w:val="00057757"/>
    <w:rsid w:val="0006001D"/>
    <w:rsid w:val="000610A4"/>
    <w:rsid w:val="0006368F"/>
    <w:rsid w:val="0006394C"/>
    <w:rsid w:val="00063B8C"/>
    <w:rsid w:val="000644E8"/>
    <w:rsid w:val="00065721"/>
    <w:rsid w:val="0006722D"/>
    <w:rsid w:val="00070854"/>
    <w:rsid w:val="00070B0C"/>
    <w:rsid w:val="00070DC8"/>
    <w:rsid w:val="00070FFF"/>
    <w:rsid w:val="000715D3"/>
    <w:rsid w:val="00072261"/>
    <w:rsid w:val="0007264C"/>
    <w:rsid w:val="00072C01"/>
    <w:rsid w:val="00072F22"/>
    <w:rsid w:val="00073526"/>
    <w:rsid w:val="0007426A"/>
    <w:rsid w:val="00074495"/>
    <w:rsid w:val="0007545A"/>
    <w:rsid w:val="000758F1"/>
    <w:rsid w:val="00076242"/>
    <w:rsid w:val="000769EC"/>
    <w:rsid w:val="0008086F"/>
    <w:rsid w:val="00081006"/>
    <w:rsid w:val="0008167A"/>
    <w:rsid w:val="00083135"/>
    <w:rsid w:val="0008336F"/>
    <w:rsid w:val="0008340E"/>
    <w:rsid w:val="00083E0E"/>
    <w:rsid w:val="000855E9"/>
    <w:rsid w:val="00085DDF"/>
    <w:rsid w:val="00086221"/>
    <w:rsid w:val="00086BAC"/>
    <w:rsid w:val="000877C4"/>
    <w:rsid w:val="00087B92"/>
    <w:rsid w:val="00090877"/>
    <w:rsid w:val="000909ED"/>
    <w:rsid w:val="00091253"/>
    <w:rsid w:val="000915E5"/>
    <w:rsid w:val="00092345"/>
    <w:rsid w:val="000925ED"/>
    <w:rsid w:val="00095513"/>
    <w:rsid w:val="00095FD1"/>
    <w:rsid w:val="000A0496"/>
    <w:rsid w:val="000A097C"/>
    <w:rsid w:val="000A1564"/>
    <w:rsid w:val="000A1CA2"/>
    <w:rsid w:val="000A1D9F"/>
    <w:rsid w:val="000A4247"/>
    <w:rsid w:val="000A46D4"/>
    <w:rsid w:val="000A5DBD"/>
    <w:rsid w:val="000A5EE5"/>
    <w:rsid w:val="000A6332"/>
    <w:rsid w:val="000A667A"/>
    <w:rsid w:val="000A6CC7"/>
    <w:rsid w:val="000A738B"/>
    <w:rsid w:val="000B09C2"/>
    <w:rsid w:val="000B0E36"/>
    <w:rsid w:val="000B1BA4"/>
    <w:rsid w:val="000B1C2E"/>
    <w:rsid w:val="000B210F"/>
    <w:rsid w:val="000B355A"/>
    <w:rsid w:val="000B476E"/>
    <w:rsid w:val="000B47A3"/>
    <w:rsid w:val="000B5C6F"/>
    <w:rsid w:val="000B5DF5"/>
    <w:rsid w:val="000B6A58"/>
    <w:rsid w:val="000B6B23"/>
    <w:rsid w:val="000B6D97"/>
    <w:rsid w:val="000B7EA0"/>
    <w:rsid w:val="000C22E4"/>
    <w:rsid w:val="000C2A69"/>
    <w:rsid w:val="000C2D90"/>
    <w:rsid w:val="000C31DC"/>
    <w:rsid w:val="000C359C"/>
    <w:rsid w:val="000C3667"/>
    <w:rsid w:val="000C4C13"/>
    <w:rsid w:val="000C5271"/>
    <w:rsid w:val="000D114E"/>
    <w:rsid w:val="000D2FE4"/>
    <w:rsid w:val="000D33F4"/>
    <w:rsid w:val="000D674B"/>
    <w:rsid w:val="000D6D11"/>
    <w:rsid w:val="000D73DB"/>
    <w:rsid w:val="000D7761"/>
    <w:rsid w:val="000D7B0F"/>
    <w:rsid w:val="000E18C1"/>
    <w:rsid w:val="000E2FCE"/>
    <w:rsid w:val="000E5358"/>
    <w:rsid w:val="000E570C"/>
    <w:rsid w:val="000E5EB4"/>
    <w:rsid w:val="000E63E6"/>
    <w:rsid w:val="000E6B0B"/>
    <w:rsid w:val="000E6B27"/>
    <w:rsid w:val="000E6CCB"/>
    <w:rsid w:val="000E6EFA"/>
    <w:rsid w:val="000E7374"/>
    <w:rsid w:val="000E7990"/>
    <w:rsid w:val="000F15D7"/>
    <w:rsid w:val="000F1987"/>
    <w:rsid w:val="000F1B75"/>
    <w:rsid w:val="000F31DB"/>
    <w:rsid w:val="000F3433"/>
    <w:rsid w:val="000F5AB8"/>
    <w:rsid w:val="000F7914"/>
    <w:rsid w:val="00102CE5"/>
    <w:rsid w:val="00103949"/>
    <w:rsid w:val="00104EE6"/>
    <w:rsid w:val="0010519E"/>
    <w:rsid w:val="001063D0"/>
    <w:rsid w:val="001063D2"/>
    <w:rsid w:val="00107183"/>
    <w:rsid w:val="001074F8"/>
    <w:rsid w:val="001079F2"/>
    <w:rsid w:val="00107C1F"/>
    <w:rsid w:val="00110B39"/>
    <w:rsid w:val="00112206"/>
    <w:rsid w:val="00112FDE"/>
    <w:rsid w:val="001145A3"/>
    <w:rsid w:val="001145DD"/>
    <w:rsid w:val="001146DD"/>
    <w:rsid w:val="0011523B"/>
    <w:rsid w:val="00117F92"/>
    <w:rsid w:val="00120763"/>
    <w:rsid w:val="001207A5"/>
    <w:rsid w:val="00121AF9"/>
    <w:rsid w:val="00122D40"/>
    <w:rsid w:val="001231C9"/>
    <w:rsid w:val="001248DD"/>
    <w:rsid w:val="00124DC5"/>
    <w:rsid w:val="00124F6D"/>
    <w:rsid w:val="00125166"/>
    <w:rsid w:val="00125769"/>
    <w:rsid w:val="001272E8"/>
    <w:rsid w:val="00127620"/>
    <w:rsid w:val="00127B60"/>
    <w:rsid w:val="00127CE6"/>
    <w:rsid w:val="00130A61"/>
    <w:rsid w:val="00131B6D"/>
    <w:rsid w:val="00131E64"/>
    <w:rsid w:val="00131FD1"/>
    <w:rsid w:val="001333E2"/>
    <w:rsid w:val="0013368A"/>
    <w:rsid w:val="001353A1"/>
    <w:rsid w:val="00135B81"/>
    <w:rsid w:val="00135EAB"/>
    <w:rsid w:val="00135F2F"/>
    <w:rsid w:val="00136920"/>
    <w:rsid w:val="00142446"/>
    <w:rsid w:val="001427DA"/>
    <w:rsid w:val="00142BB5"/>
    <w:rsid w:val="001432D7"/>
    <w:rsid w:val="001435B1"/>
    <w:rsid w:val="00143E4C"/>
    <w:rsid w:val="00143FAE"/>
    <w:rsid w:val="00144474"/>
    <w:rsid w:val="0014527F"/>
    <w:rsid w:val="001457FB"/>
    <w:rsid w:val="00146040"/>
    <w:rsid w:val="00146296"/>
    <w:rsid w:val="001473C4"/>
    <w:rsid w:val="00147FAD"/>
    <w:rsid w:val="00151C79"/>
    <w:rsid w:val="00153ED4"/>
    <w:rsid w:val="0015438C"/>
    <w:rsid w:val="00154EF1"/>
    <w:rsid w:val="00155015"/>
    <w:rsid w:val="00155093"/>
    <w:rsid w:val="001551AA"/>
    <w:rsid w:val="00155340"/>
    <w:rsid w:val="00155946"/>
    <w:rsid w:val="00155A1A"/>
    <w:rsid w:val="001602DD"/>
    <w:rsid w:val="00160817"/>
    <w:rsid w:val="001611B3"/>
    <w:rsid w:val="00161288"/>
    <w:rsid w:val="0016174E"/>
    <w:rsid w:val="001623D7"/>
    <w:rsid w:val="00162BA6"/>
    <w:rsid w:val="00164AC9"/>
    <w:rsid w:val="00166DC3"/>
    <w:rsid w:val="00167237"/>
    <w:rsid w:val="0016766C"/>
    <w:rsid w:val="00170140"/>
    <w:rsid w:val="001702ED"/>
    <w:rsid w:val="00172192"/>
    <w:rsid w:val="00173640"/>
    <w:rsid w:val="00173804"/>
    <w:rsid w:val="00173F70"/>
    <w:rsid w:val="0017432B"/>
    <w:rsid w:val="00174B0D"/>
    <w:rsid w:val="00174F3C"/>
    <w:rsid w:val="00175A75"/>
    <w:rsid w:val="001761D6"/>
    <w:rsid w:val="00176EE0"/>
    <w:rsid w:val="001774C6"/>
    <w:rsid w:val="00177939"/>
    <w:rsid w:val="00180C9E"/>
    <w:rsid w:val="001815A6"/>
    <w:rsid w:val="00182383"/>
    <w:rsid w:val="00185707"/>
    <w:rsid w:val="00185D7F"/>
    <w:rsid w:val="00185FA8"/>
    <w:rsid w:val="001862E5"/>
    <w:rsid w:val="00186E52"/>
    <w:rsid w:val="00187473"/>
    <w:rsid w:val="0018764C"/>
    <w:rsid w:val="00187A61"/>
    <w:rsid w:val="00187BEF"/>
    <w:rsid w:val="001901C5"/>
    <w:rsid w:val="0019115B"/>
    <w:rsid w:val="001917B1"/>
    <w:rsid w:val="001918D0"/>
    <w:rsid w:val="00192BCC"/>
    <w:rsid w:val="001946E7"/>
    <w:rsid w:val="001948C7"/>
    <w:rsid w:val="00196ACF"/>
    <w:rsid w:val="001A050D"/>
    <w:rsid w:val="001A1859"/>
    <w:rsid w:val="001A1ABB"/>
    <w:rsid w:val="001A1E68"/>
    <w:rsid w:val="001A23A5"/>
    <w:rsid w:val="001A2DB2"/>
    <w:rsid w:val="001A4585"/>
    <w:rsid w:val="001A47AD"/>
    <w:rsid w:val="001A5EAD"/>
    <w:rsid w:val="001A6255"/>
    <w:rsid w:val="001A6819"/>
    <w:rsid w:val="001A68D9"/>
    <w:rsid w:val="001B0B3A"/>
    <w:rsid w:val="001B172D"/>
    <w:rsid w:val="001B19E6"/>
    <w:rsid w:val="001B248E"/>
    <w:rsid w:val="001B424D"/>
    <w:rsid w:val="001B4730"/>
    <w:rsid w:val="001B4AE5"/>
    <w:rsid w:val="001B6ADA"/>
    <w:rsid w:val="001B73E0"/>
    <w:rsid w:val="001C1449"/>
    <w:rsid w:val="001C1D5A"/>
    <w:rsid w:val="001C1D71"/>
    <w:rsid w:val="001C20BB"/>
    <w:rsid w:val="001C3FF7"/>
    <w:rsid w:val="001C4016"/>
    <w:rsid w:val="001C41FC"/>
    <w:rsid w:val="001C446F"/>
    <w:rsid w:val="001C4CFD"/>
    <w:rsid w:val="001C5374"/>
    <w:rsid w:val="001C54A9"/>
    <w:rsid w:val="001C67BA"/>
    <w:rsid w:val="001C6E7C"/>
    <w:rsid w:val="001D0CFA"/>
    <w:rsid w:val="001D15B6"/>
    <w:rsid w:val="001D176C"/>
    <w:rsid w:val="001D24C1"/>
    <w:rsid w:val="001D36B0"/>
    <w:rsid w:val="001D4034"/>
    <w:rsid w:val="001D56E7"/>
    <w:rsid w:val="001D594A"/>
    <w:rsid w:val="001D5FF4"/>
    <w:rsid w:val="001D6426"/>
    <w:rsid w:val="001D6B87"/>
    <w:rsid w:val="001D6E21"/>
    <w:rsid w:val="001D76D5"/>
    <w:rsid w:val="001D7C8B"/>
    <w:rsid w:val="001E1B96"/>
    <w:rsid w:val="001E1FA7"/>
    <w:rsid w:val="001E26B2"/>
    <w:rsid w:val="001E2BB5"/>
    <w:rsid w:val="001E2E36"/>
    <w:rsid w:val="001E2F09"/>
    <w:rsid w:val="001E3596"/>
    <w:rsid w:val="001E481C"/>
    <w:rsid w:val="001E5BAD"/>
    <w:rsid w:val="001E7C0D"/>
    <w:rsid w:val="001F1058"/>
    <w:rsid w:val="001F4D7F"/>
    <w:rsid w:val="001F54AA"/>
    <w:rsid w:val="001F58BF"/>
    <w:rsid w:val="001F710B"/>
    <w:rsid w:val="001F7637"/>
    <w:rsid w:val="00200E54"/>
    <w:rsid w:val="00202847"/>
    <w:rsid w:val="00202EF1"/>
    <w:rsid w:val="002052B5"/>
    <w:rsid w:val="0020601B"/>
    <w:rsid w:val="0020622E"/>
    <w:rsid w:val="00207FBF"/>
    <w:rsid w:val="00210A76"/>
    <w:rsid w:val="00212231"/>
    <w:rsid w:val="002125B4"/>
    <w:rsid w:val="00213FDE"/>
    <w:rsid w:val="002149AE"/>
    <w:rsid w:val="00215185"/>
    <w:rsid w:val="00217B5C"/>
    <w:rsid w:val="00220980"/>
    <w:rsid w:val="0022298D"/>
    <w:rsid w:val="00222B43"/>
    <w:rsid w:val="00224007"/>
    <w:rsid w:val="00224B81"/>
    <w:rsid w:val="00225439"/>
    <w:rsid w:val="00230708"/>
    <w:rsid w:val="00230C79"/>
    <w:rsid w:val="00231130"/>
    <w:rsid w:val="00231B76"/>
    <w:rsid w:val="002329AC"/>
    <w:rsid w:val="00232FD9"/>
    <w:rsid w:val="00233B7B"/>
    <w:rsid w:val="00233FDD"/>
    <w:rsid w:val="00234692"/>
    <w:rsid w:val="00234868"/>
    <w:rsid w:val="00234898"/>
    <w:rsid w:val="00235310"/>
    <w:rsid w:val="00235D2D"/>
    <w:rsid w:val="002360E2"/>
    <w:rsid w:val="002362C1"/>
    <w:rsid w:val="00236AF5"/>
    <w:rsid w:val="0024025B"/>
    <w:rsid w:val="002404A4"/>
    <w:rsid w:val="00241227"/>
    <w:rsid w:val="002419C5"/>
    <w:rsid w:val="00242C59"/>
    <w:rsid w:val="002431D7"/>
    <w:rsid w:val="002434A3"/>
    <w:rsid w:val="00245578"/>
    <w:rsid w:val="00246144"/>
    <w:rsid w:val="00246C61"/>
    <w:rsid w:val="00246E8E"/>
    <w:rsid w:val="00247A12"/>
    <w:rsid w:val="0025095E"/>
    <w:rsid w:val="00251361"/>
    <w:rsid w:val="002523B9"/>
    <w:rsid w:val="002525B7"/>
    <w:rsid w:val="00252E2B"/>
    <w:rsid w:val="00254164"/>
    <w:rsid w:val="00254E92"/>
    <w:rsid w:val="00255021"/>
    <w:rsid w:val="00255F89"/>
    <w:rsid w:val="00256639"/>
    <w:rsid w:val="00256A31"/>
    <w:rsid w:val="00256AC8"/>
    <w:rsid w:val="00257CF3"/>
    <w:rsid w:val="0026086E"/>
    <w:rsid w:val="00261D9C"/>
    <w:rsid w:val="0026204A"/>
    <w:rsid w:val="00262080"/>
    <w:rsid w:val="00262276"/>
    <w:rsid w:val="0026266F"/>
    <w:rsid w:val="00263FC5"/>
    <w:rsid w:val="00264B6D"/>
    <w:rsid w:val="00264D37"/>
    <w:rsid w:val="0026504B"/>
    <w:rsid w:val="00266819"/>
    <w:rsid w:val="00266877"/>
    <w:rsid w:val="00267202"/>
    <w:rsid w:val="002675EF"/>
    <w:rsid w:val="00270CB0"/>
    <w:rsid w:val="00271CF4"/>
    <w:rsid w:val="002724CD"/>
    <w:rsid w:val="0027342F"/>
    <w:rsid w:val="002734B6"/>
    <w:rsid w:val="00274014"/>
    <w:rsid w:val="002749F9"/>
    <w:rsid w:val="00274B57"/>
    <w:rsid w:val="00275A6B"/>
    <w:rsid w:val="002768D9"/>
    <w:rsid w:val="002774F2"/>
    <w:rsid w:val="00277D32"/>
    <w:rsid w:val="00280543"/>
    <w:rsid w:val="00280F43"/>
    <w:rsid w:val="00283DEA"/>
    <w:rsid w:val="00283EB8"/>
    <w:rsid w:val="00284AB5"/>
    <w:rsid w:val="002851FA"/>
    <w:rsid w:val="002869A1"/>
    <w:rsid w:val="0028728D"/>
    <w:rsid w:val="0029084E"/>
    <w:rsid w:val="002922E3"/>
    <w:rsid w:val="00292556"/>
    <w:rsid w:val="00292CFE"/>
    <w:rsid w:val="00292D3D"/>
    <w:rsid w:val="002935BC"/>
    <w:rsid w:val="00293908"/>
    <w:rsid w:val="00293EB3"/>
    <w:rsid w:val="0029544C"/>
    <w:rsid w:val="00295834"/>
    <w:rsid w:val="00295879"/>
    <w:rsid w:val="0029609E"/>
    <w:rsid w:val="00296579"/>
    <w:rsid w:val="00296CAA"/>
    <w:rsid w:val="0029741F"/>
    <w:rsid w:val="00297C33"/>
    <w:rsid w:val="002A167D"/>
    <w:rsid w:val="002A18C6"/>
    <w:rsid w:val="002A18F9"/>
    <w:rsid w:val="002A198E"/>
    <w:rsid w:val="002A1B9D"/>
    <w:rsid w:val="002A1CFB"/>
    <w:rsid w:val="002A1F1A"/>
    <w:rsid w:val="002A2F3E"/>
    <w:rsid w:val="002A503A"/>
    <w:rsid w:val="002A5E51"/>
    <w:rsid w:val="002A5EFE"/>
    <w:rsid w:val="002A6C35"/>
    <w:rsid w:val="002A70F6"/>
    <w:rsid w:val="002A7154"/>
    <w:rsid w:val="002B0165"/>
    <w:rsid w:val="002B021A"/>
    <w:rsid w:val="002B0337"/>
    <w:rsid w:val="002B19CE"/>
    <w:rsid w:val="002B1E36"/>
    <w:rsid w:val="002B20C4"/>
    <w:rsid w:val="002B3DFD"/>
    <w:rsid w:val="002B4985"/>
    <w:rsid w:val="002B4DE6"/>
    <w:rsid w:val="002B4E8D"/>
    <w:rsid w:val="002B527B"/>
    <w:rsid w:val="002B57B2"/>
    <w:rsid w:val="002B5DCF"/>
    <w:rsid w:val="002B69B7"/>
    <w:rsid w:val="002B7472"/>
    <w:rsid w:val="002C0E8A"/>
    <w:rsid w:val="002C1696"/>
    <w:rsid w:val="002C16AC"/>
    <w:rsid w:val="002C1D3F"/>
    <w:rsid w:val="002C2099"/>
    <w:rsid w:val="002C2566"/>
    <w:rsid w:val="002C4262"/>
    <w:rsid w:val="002C5576"/>
    <w:rsid w:val="002C56AE"/>
    <w:rsid w:val="002C766A"/>
    <w:rsid w:val="002D14C7"/>
    <w:rsid w:val="002D15FE"/>
    <w:rsid w:val="002D1E6A"/>
    <w:rsid w:val="002D1FC4"/>
    <w:rsid w:val="002D28BE"/>
    <w:rsid w:val="002D2A63"/>
    <w:rsid w:val="002D3159"/>
    <w:rsid w:val="002D355E"/>
    <w:rsid w:val="002D3676"/>
    <w:rsid w:val="002D394B"/>
    <w:rsid w:val="002D395A"/>
    <w:rsid w:val="002D3974"/>
    <w:rsid w:val="002D4271"/>
    <w:rsid w:val="002D4B55"/>
    <w:rsid w:val="002E0C23"/>
    <w:rsid w:val="002E1605"/>
    <w:rsid w:val="002E1E2E"/>
    <w:rsid w:val="002E29AA"/>
    <w:rsid w:val="002E2E3F"/>
    <w:rsid w:val="002E308C"/>
    <w:rsid w:val="002E3886"/>
    <w:rsid w:val="002E4614"/>
    <w:rsid w:val="002E4C9B"/>
    <w:rsid w:val="002E5062"/>
    <w:rsid w:val="002E5B1A"/>
    <w:rsid w:val="002E69D4"/>
    <w:rsid w:val="002F1E1B"/>
    <w:rsid w:val="002F27EF"/>
    <w:rsid w:val="002F36A5"/>
    <w:rsid w:val="002F49B3"/>
    <w:rsid w:val="002F4F33"/>
    <w:rsid w:val="002F50A9"/>
    <w:rsid w:val="002F5DD6"/>
    <w:rsid w:val="002F6B97"/>
    <w:rsid w:val="002F6E1F"/>
    <w:rsid w:val="00301FF0"/>
    <w:rsid w:val="003022A3"/>
    <w:rsid w:val="00302C22"/>
    <w:rsid w:val="00303276"/>
    <w:rsid w:val="00303EC4"/>
    <w:rsid w:val="003067BE"/>
    <w:rsid w:val="00310A3E"/>
    <w:rsid w:val="00310D2D"/>
    <w:rsid w:val="00310EAF"/>
    <w:rsid w:val="0031144B"/>
    <w:rsid w:val="003123A3"/>
    <w:rsid w:val="0031277E"/>
    <w:rsid w:val="003132B6"/>
    <w:rsid w:val="00313797"/>
    <w:rsid w:val="00313892"/>
    <w:rsid w:val="00313F4C"/>
    <w:rsid w:val="003146CD"/>
    <w:rsid w:val="00315023"/>
    <w:rsid w:val="00315E55"/>
    <w:rsid w:val="00316184"/>
    <w:rsid w:val="00316C3D"/>
    <w:rsid w:val="00316FD7"/>
    <w:rsid w:val="00317480"/>
    <w:rsid w:val="003201AF"/>
    <w:rsid w:val="00321AA7"/>
    <w:rsid w:val="00321F49"/>
    <w:rsid w:val="003225E8"/>
    <w:rsid w:val="003229D4"/>
    <w:rsid w:val="00325209"/>
    <w:rsid w:val="0032626E"/>
    <w:rsid w:val="0032644A"/>
    <w:rsid w:val="003268D3"/>
    <w:rsid w:val="00326A32"/>
    <w:rsid w:val="00327B4B"/>
    <w:rsid w:val="00330CEA"/>
    <w:rsid w:val="003321F6"/>
    <w:rsid w:val="00332435"/>
    <w:rsid w:val="00332581"/>
    <w:rsid w:val="00333B3D"/>
    <w:rsid w:val="00334387"/>
    <w:rsid w:val="003346D6"/>
    <w:rsid w:val="00334ACA"/>
    <w:rsid w:val="00334DBC"/>
    <w:rsid w:val="00335545"/>
    <w:rsid w:val="00335972"/>
    <w:rsid w:val="00335EE8"/>
    <w:rsid w:val="00335FB3"/>
    <w:rsid w:val="003361CE"/>
    <w:rsid w:val="00336ABC"/>
    <w:rsid w:val="00336EF7"/>
    <w:rsid w:val="00337B10"/>
    <w:rsid w:val="003426E8"/>
    <w:rsid w:val="0034327A"/>
    <w:rsid w:val="00343803"/>
    <w:rsid w:val="00343C11"/>
    <w:rsid w:val="0034535E"/>
    <w:rsid w:val="003453F6"/>
    <w:rsid w:val="00346689"/>
    <w:rsid w:val="00346B85"/>
    <w:rsid w:val="00350D9F"/>
    <w:rsid w:val="00351116"/>
    <w:rsid w:val="00351ADB"/>
    <w:rsid w:val="00351EBC"/>
    <w:rsid w:val="0035244F"/>
    <w:rsid w:val="003528BF"/>
    <w:rsid w:val="00352A2E"/>
    <w:rsid w:val="00353EFF"/>
    <w:rsid w:val="00354306"/>
    <w:rsid w:val="003548E8"/>
    <w:rsid w:val="00355587"/>
    <w:rsid w:val="00355B5C"/>
    <w:rsid w:val="00356E55"/>
    <w:rsid w:val="0036030F"/>
    <w:rsid w:val="00360328"/>
    <w:rsid w:val="0036158D"/>
    <w:rsid w:val="00361ED1"/>
    <w:rsid w:val="003630C2"/>
    <w:rsid w:val="003630E9"/>
    <w:rsid w:val="003645B4"/>
    <w:rsid w:val="00365EB3"/>
    <w:rsid w:val="00366084"/>
    <w:rsid w:val="0036627E"/>
    <w:rsid w:val="00366473"/>
    <w:rsid w:val="003664B2"/>
    <w:rsid w:val="00367A11"/>
    <w:rsid w:val="00370934"/>
    <w:rsid w:val="0037296F"/>
    <w:rsid w:val="00373667"/>
    <w:rsid w:val="00373D35"/>
    <w:rsid w:val="0037663A"/>
    <w:rsid w:val="003772EC"/>
    <w:rsid w:val="003804B5"/>
    <w:rsid w:val="0038140F"/>
    <w:rsid w:val="0038141E"/>
    <w:rsid w:val="003846FA"/>
    <w:rsid w:val="003848F2"/>
    <w:rsid w:val="00384925"/>
    <w:rsid w:val="0038574E"/>
    <w:rsid w:val="00385957"/>
    <w:rsid w:val="00386009"/>
    <w:rsid w:val="0038652C"/>
    <w:rsid w:val="00387772"/>
    <w:rsid w:val="00390002"/>
    <w:rsid w:val="00390507"/>
    <w:rsid w:val="00390939"/>
    <w:rsid w:val="00390BE3"/>
    <w:rsid w:val="003913DB"/>
    <w:rsid w:val="003924DA"/>
    <w:rsid w:val="00393F2C"/>
    <w:rsid w:val="0039530E"/>
    <w:rsid w:val="00395BE2"/>
    <w:rsid w:val="0039675E"/>
    <w:rsid w:val="00396CF2"/>
    <w:rsid w:val="0039720B"/>
    <w:rsid w:val="003979AD"/>
    <w:rsid w:val="003A0465"/>
    <w:rsid w:val="003A0A60"/>
    <w:rsid w:val="003A0F1D"/>
    <w:rsid w:val="003A2AF7"/>
    <w:rsid w:val="003A3502"/>
    <w:rsid w:val="003A375B"/>
    <w:rsid w:val="003A39CA"/>
    <w:rsid w:val="003A404B"/>
    <w:rsid w:val="003A6549"/>
    <w:rsid w:val="003A6893"/>
    <w:rsid w:val="003B18A3"/>
    <w:rsid w:val="003B217F"/>
    <w:rsid w:val="003B21E1"/>
    <w:rsid w:val="003B26A2"/>
    <w:rsid w:val="003B391E"/>
    <w:rsid w:val="003B4C3A"/>
    <w:rsid w:val="003B5064"/>
    <w:rsid w:val="003B5E9F"/>
    <w:rsid w:val="003B648C"/>
    <w:rsid w:val="003B6B53"/>
    <w:rsid w:val="003B6C86"/>
    <w:rsid w:val="003B735B"/>
    <w:rsid w:val="003B78A5"/>
    <w:rsid w:val="003B7F10"/>
    <w:rsid w:val="003C1955"/>
    <w:rsid w:val="003C211C"/>
    <w:rsid w:val="003C23BB"/>
    <w:rsid w:val="003C26CD"/>
    <w:rsid w:val="003C64FF"/>
    <w:rsid w:val="003D050F"/>
    <w:rsid w:val="003D0DB6"/>
    <w:rsid w:val="003D165E"/>
    <w:rsid w:val="003D2C13"/>
    <w:rsid w:val="003D32C8"/>
    <w:rsid w:val="003D3AE1"/>
    <w:rsid w:val="003D44C1"/>
    <w:rsid w:val="003D46C5"/>
    <w:rsid w:val="003D4C82"/>
    <w:rsid w:val="003D514C"/>
    <w:rsid w:val="003D7DC7"/>
    <w:rsid w:val="003E05B7"/>
    <w:rsid w:val="003E05DC"/>
    <w:rsid w:val="003E229B"/>
    <w:rsid w:val="003E23A4"/>
    <w:rsid w:val="003E2C0F"/>
    <w:rsid w:val="003E3878"/>
    <w:rsid w:val="003E412C"/>
    <w:rsid w:val="003E43BB"/>
    <w:rsid w:val="003E5288"/>
    <w:rsid w:val="003E5EF4"/>
    <w:rsid w:val="003E695F"/>
    <w:rsid w:val="003E6B1F"/>
    <w:rsid w:val="003E6BCA"/>
    <w:rsid w:val="003E6F15"/>
    <w:rsid w:val="003E78F1"/>
    <w:rsid w:val="003F17B5"/>
    <w:rsid w:val="003F1882"/>
    <w:rsid w:val="003F2589"/>
    <w:rsid w:val="003F2BE8"/>
    <w:rsid w:val="003F3EC9"/>
    <w:rsid w:val="003F5538"/>
    <w:rsid w:val="003F59BA"/>
    <w:rsid w:val="003F5A4A"/>
    <w:rsid w:val="003F5AB5"/>
    <w:rsid w:val="003F5FE6"/>
    <w:rsid w:val="003F641C"/>
    <w:rsid w:val="003F6A14"/>
    <w:rsid w:val="003F79CC"/>
    <w:rsid w:val="00400360"/>
    <w:rsid w:val="00400C6D"/>
    <w:rsid w:val="00401020"/>
    <w:rsid w:val="0040112C"/>
    <w:rsid w:val="00401C12"/>
    <w:rsid w:val="00401C4C"/>
    <w:rsid w:val="00401C4E"/>
    <w:rsid w:val="00403706"/>
    <w:rsid w:val="004070DE"/>
    <w:rsid w:val="004071C2"/>
    <w:rsid w:val="00407AC0"/>
    <w:rsid w:val="0041256D"/>
    <w:rsid w:val="00412586"/>
    <w:rsid w:val="00413774"/>
    <w:rsid w:val="004137A5"/>
    <w:rsid w:val="00413803"/>
    <w:rsid w:val="00413B7A"/>
    <w:rsid w:val="00413F2C"/>
    <w:rsid w:val="00414B31"/>
    <w:rsid w:val="0041548C"/>
    <w:rsid w:val="004157F3"/>
    <w:rsid w:val="00416076"/>
    <w:rsid w:val="00417547"/>
    <w:rsid w:val="00417836"/>
    <w:rsid w:val="0042456C"/>
    <w:rsid w:val="0042496B"/>
    <w:rsid w:val="00424DB7"/>
    <w:rsid w:val="00424E82"/>
    <w:rsid w:val="00426621"/>
    <w:rsid w:val="00430047"/>
    <w:rsid w:val="00430C87"/>
    <w:rsid w:val="00430D4C"/>
    <w:rsid w:val="004313E2"/>
    <w:rsid w:val="00433556"/>
    <w:rsid w:val="004345F6"/>
    <w:rsid w:val="0043546A"/>
    <w:rsid w:val="0043560D"/>
    <w:rsid w:val="004365DB"/>
    <w:rsid w:val="004369E0"/>
    <w:rsid w:val="0044027E"/>
    <w:rsid w:val="00441157"/>
    <w:rsid w:val="00442744"/>
    <w:rsid w:val="00442936"/>
    <w:rsid w:val="00442E05"/>
    <w:rsid w:val="004431CF"/>
    <w:rsid w:val="00445158"/>
    <w:rsid w:val="004457A8"/>
    <w:rsid w:val="00450A1E"/>
    <w:rsid w:val="00450E48"/>
    <w:rsid w:val="00451512"/>
    <w:rsid w:val="00451860"/>
    <w:rsid w:val="00451C8F"/>
    <w:rsid w:val="00453300"/>
    <w:rsid w:val="0045523A"/>
    <w:rsid w:val="004562FA"/>
    <w:rsid w:val="00456F57"/>
    <w:rsid w:val="00457FB4"/>
    <w:rsid w:val="004602AA"/>
    <w:rsid w:val="00462B41"/>
    <w:rsid w:val="004633EC"/>
    <w:rsid w:val="004651E0"/>
    <w:rsid w:val="0046557C"/>
    <w:rsid w:val="004657EF"/>
    <w:rsid w:val="00465AB0"/>
    <w:rsid w:val="004661B3"/>
    <w:rsid w:val="00466A18"/>
    <w:rsid w:val="00467C27"/>
    <w:rsid w:val="0047488F"/>
    <w:rsid w:val="00474E94"/>
    <w:rsid w:val="0047626F"/>
    <w:rsid w:val="0047680B"/>
    <w:rsid w:val="0047725C"/>
    <w:rsid w:val="0048030E"/>
    <w:rsid w:val="0048068D"/>
    <w:rsid w:val="00480872"/>
    <w:rsid w:val="0048098B"/>
    <w:rsid w:val="00483008"/>
    <w:rsid w:val="00483212"/>
    <w:rsid w:val="00485589"/>
    <w:rsid w:val="0048586D"/>
    <w:rsid w:val="00485977"/>
    <w:rsid w:val="0048631C"/>
    <w:rsid w:val="0048682C"/>
    <w:rsid w:val="00486A53"/>
    <w:rsid w:val="004909F2"/>
    <w:rsid w:val="004910BA"/>
    <w:rsid w:val="00491127"/>
    <w:rsid w:val="0049188B"/>
    <w:rsid w:val="004926D9"/>
    <w:rsid w:val="004927D6"/>
    <w:rsid w:val="00494B2E"/>
    <w:rsid w:val="00495160"/>
    <w:rsid w:val="00495FF4"/>
    <w:rsid w:val="00496704"/>
    <w:rsid w:val="0049788B"/>
    <w:rsid w:val="00497A7C"/>
    <w:rsid w:val="00497EA4"/>
    <w:rsid w:val="004A0421"/>
    <w:rsid w:val="004A0F25"/>
    <w:rsid w:val="004A1FCF"/>
    <w:rsid w:val="004A36F8"/>
    <w:rsid w:val="004A3DD3"/>
    <w:rsid w:val="004A4133"/>
    <w:rsid w:val="004A4264"/>
    <w:rsid w:val="004A546A"/>
    <w:rsid w:val="004A6C0A"/>
    <w:rsid w:val="004B11E8"/>
    <w:rsid w:val="004B13EA"/>
    <w:rsid w:val="004B1FAA"/>
    <w:rsid w:val="004B31DD"/>
    <w:rsid w:val="004B36EC"/>
    <w:rsid w:val="004B3D47"/>
    <w:rsid w:val="004B3EC9"/>
    <w:rsid w:val="004B5953"/>
    <w:rsid w:val="004B5E23"/>
    <w:rsid w:val="004B6390"/>
    <w:rsid w:val="004B70CA"/>
    <w:rsid w:val="004C0A78"/>
    <w:rsid w:val="004C0E3B"/>
    <w:rsid w:val="004C0F03"/>
    <w:rsid w:val="004C29D9"/>
    <w:rsid w:val="004C33D2"/>
    <w:rsid w:val="004C383B"/>
    <w:rsid w:val="004C5060"/>
    <w:rsid w:val="004C6CE6"/>
    <w:rsid w:val="004C7B9F"/>
    <w:rsid w:val="004D08B9"/>
    <w:rsid w:val="004D0E83"/>
    <w:rsid w:val="004D366C"/>
    <w:rsid w:val="004D4DBF"/>
    <w:rsid w:val="004D5092"/>
    <w:rsid w:val="004D6E06"/>
    <w:rsid w:val="004D7573"/>
    <w:rsid w:val="004E00AC"/>
    <w:rsid w:val="004E0299"/>
    <w:rsid w:val="004E04AE"/>
    <w:rsid w:val="004E0B84"/>
    <w:rsid w:val="004E1809"/>
    <w:rsid w:val="004E2846"/>
    <w:rsid w:val="004E4118"/>
    <w:rsid w:val="004E4B4B"/>
    <w:rsid w:val="004E4B96"/>
    <w:rsid w:val="004E4DA2"/>
    <w:rsid w:val="004E6D86"/>
    <w:rsid w:val="004E76FC"/>
    <w:rsid w:val="004E7EF0"/>
    <w:rsid w:val="004F0FA3"/>
    <w:rsid w:val="004F11C8"/>
    <w:rsid w:val="004F13CD"/>
    <w:rsid w:val="004F16AE"/>
    <w:rsid w:val="004F2BB1"/>
    <w:rsid w:val="004F38C0"/>
    <w:rsid w:val="004F425A"/>
    <w:rsid w:val="004F5400"/>
    <w:rsid w:val="004F696C"/>
    <w:rsid w:val="004F6FB9"/>
    <w:rsid w:val="004F7064"/>
    <w:rsid w:val="00500904"/>
    <w:rsid w:val="005010AC"/>
    <w:rsid w:val="00501633"/>
    <w:rsid w:val="005022E5"/>
    <w:rsid w:val="00502405"/>
    <w:rsid w:val="00502501"/>
    <w:rsid w:val="0050448D"/>
    <w:rsid w:val="0050489A"/>
    <w:rsid w:val="00504F62"/>
    <w:rsid w:val="00505678"/>
    <w:rsid w:val="0050571A"/>
    <w:rsid w:val="00507581"/>
    <w:rsid w:val="00507940"/>
    <w:rsid w:val="00507A3C"/>
    <w:rsid w:val="005101A9"/>
    <w:rsid w:val="005107BE"/>
    <w:rsid w:val="005108D4"/>
    <w:rsid w:val="00510FCC"/>
    <w:rsid w:val="00511262"/>
    <w:rsid w:val="00512FF4"/>
    <w:rsid w:val="00513EE4"/>
    <w:rsid w:val="00516753"/>
    <w:rsid w:val="00520CFB"/>
    <w:rsid w:val="00520DA8"/>
    <w:rsid w:val="00521928"/>
    <w:rsid w:val="005222EA"/>
    <w:rsid w:val="00523B7D"/>
    <w:rsid w:val="00523BA1"/>
    <w:rsid w:val="0052674E"/>
    <w:rsid w:val="005276FB"/>
    <w:rsid w:val="0052781F"/>
    <w:rsid w:val="00530CFF"/>
    <w:rsid w:val="00530F05"/>
    <w:rsid w:val="00531267"/>
    <w:rsid w:val="00531A7E"/>
    <w:rsid w:val="00531AEA"/>
    <w:rsid w:val="00532713"/>
    <w:rsid w:val="00533F0F"/>
    <w:rsid w:val="00534E5B"/>
    <w:rsid w:val="00535F19"/>
    <w:rsid w:val="00536199"/>
    <w:rsid w:val="00536C47"/>
    <w:rsid w:val="00540437"/>
    <w:rsid w:val="005421F6"/>
    <w:rsid w:val="00543537"/>
    <w:rsid w:val="005435F7"/>
    <w:rsid w:val="00543938"/>
    <w:rsid w:val="00543CB9"/>
    <w:rsid w:val="00544B28"/>
    <w:rsid w:val="00545015"/>
    <w:rsid w:val="00545794"/>
    <w:rsid w:val="0054695E"/>
    <w:rsid w:val="0054737C"/>
    <w:rsid w:val="00547546"/>
    <w:rsid w:val="00547791"/>
    <w:rsid w:val="00547B35"/>
    <w:rsid w:val="005501EF"/>
    <w:rsid w:val="0055132F"/>
    <w:rsid w:val="0055136D"/>
    <w:rsid w:val="00551C7D"/>
    <w:rsid w:val="00552471"/>
    <w:rsid w:val="00552E34"/>
    <w:rsid w:val="00553F32"/>
    <w:rsid w:val="0055412C"/>
    <w:rsid w:val="00554C57"/>
    <w:rsid w:val="00555D4D"/>
    <w:rsid w:val="00561A06"/>
    <w:rsid w:val="00561F7D"/>
    <w:rsid w:val="00562C0D"/>
    <w:rsid w:val="00566424"/>
    <w:rsid w:val="0056670E"/>
    <w:rsid w:val="00566DBF"/>
    <w:rsid w:val="00567839"/>
    <w:rsid w:val="00570210"/>
    <w:rsid w:val="005703BE"/>
    <w:rsid w:val="005713AF"/>
    <w:rsid w:val="00571837"/>
    <w:rsid w:val="005730C8"/>
    <w:rsid w:val="00573B25"/>
    <w:rsid w:val="005744BC"/>
    <w:rsid w:val="00574C34"/>
    <w:rsid w:val="00575D52"/>
    <w:rsid w:val="00576D0C"/>
    <w:rsid w:val="00582AD5"/>
    <w:rsid w:val="0058330E"/>
    <w:rsid w:val="00583366"/>
    <w:rsid w:val="00583E91"/>
    <w:rsid w:val="00583FE7"/>
    <w:rsid w:val="005859E0"/>
    <w:rsid w:val="00586327"/>
    <w:rsid w:val="00586560"/>
    <w:rsid w:val="00586FB7"/>
    <w:rsid w:val="005879B8"/>
    <w:rsid w:val="00590AD4"/>
    <w:rsid w:val="0059116F"/>
    <w:rsid w:val="0059142A"/>
    <w:rsid w:val="00591A50"/>
    <w:rsid w:val="00591B17"/>
    <w:rsid w:val="0059222D"/>
    <w:rsid w:val="00592F0D"/>
    <w:rsid w:val="005952A3"/>
    <w:rsid w:val="00596C6D"/>
    <w:rsid w:val="00597312"/>
    <w:rsid w:val="0059765B"/>
    <w:rsid w:val="00597A08"/>
    <w:rsid w:val="005A0261"/>
    <w:rsid w:val="005A0358"/>
    <w:rsid w:val="005A3B09"/>
    <w:rsid w:val="005A3FB5"/>
    <w:rsid w:val="005A4CB0"/>
    <w:rsid w:val="005A4DC3"/>
    <w:rsid w:val="005A57EC"/>
    <w:rsid w:val="005A7EAA"/>
    <w:rsid w:val="005B02C3"/>
    <w:rsid w:val="005B2628"/>
    <w:rsid w:val="005B2BCA"/>
    <w:rsid w:val="005B2D22"/>
    <w:rsid w:val="005B374D"/>
    <w:rsid w:val="005B3C12"/>
    <w:rsid w:val="005B3CCE"/>
    <w:rsid w:val="005B6AB6"/>
    <w:rsid w:val="005B78D0"/>
    <w:rsid w:val="005C0ED9"/>
    <w:rsid w:val="005C1091"/>
    <w:rsid w:val="005C149C"/>
    <w:rsid w:val="005C2614"/>
    <w:rsid w:val="005C28B8"/>
    <w:rsid w:val="005C32C7"/>
    <w:rsid w:val="005C369C"/>
    <w:rsid w:val="005C40A8"/>
    <w:rsid w:val="005C422F"/>
    <w:rsid w:val="005C464A"/>
    <w:rsid w:val="005C47A1"/>
    <w:rsid w:val="005C4C68"/>
    <w:rsid w:val="005C5D24"/>
    <w:rsid w:val="005C66D4"/>
    <w:rsid w:val="005C7391"/>
    <w:rsid w:val="005C7719"/>
    <w:rsid w:val="005C78D6"/>
    <w:rsid w:val="005C7E47"/>
    <w:rsid w:val="005D21BA"/>
    <w:rsid w:val="005D2636"/>
    <w:rsid w:val="005D65CD"/>
    <w:rsid w:val="005D7824"/>
    <w:rsid w:val="005D7D9E"/>
    <w:rsid w:val="005E0536"/>
    <w:rsid w:val="005E0A5C"/>
    <w:rsid w:val="005E0F31"/>
    <w:rsid w:val="005E12B6"/>
    <w:rsid w:val="005E199F"/>
    <w:rsid w:val="005E28F7"/>
    <w:rsid w:val="005E3140"/>
    <w:rsid w:val="005E3322"/>
    <w:rsid w:val="005E4BE1"/>
    <w:rsid w:val="005E75CE"/>
    <w:rsid w:val="005E7E60"/>
    <w:rsid w:val="005F0770"/>
    <w:rsid w:val="005F135A"/>
    <w:rsid w:val="005F14CB"/>
    <w:rsid w:val="005F26E1"/>
    <w:rsid w:val="005F2E52"/>
    <w:rsid w:val="005F2E62"/>
    <w:rsid w:val="005F3642"/>
    <w:rsid w:val="005F5C07"/>
    <w:rsid w:val="005F6FF5"/>
    <w:rsid w:val="005F77B8"/>
    <w:rsid w:val="00600617"/>
    <w:rsid w:val="0060069E"/>
    <w:rsid w:val="00601F85"/>
    <w:rsid w:val="0060368E"/>
    <w:rsid w:val="006045BD"/>
    <w:rsid w:val="00604FDF"/>
    <w:rsid w:val="00606958"/>
    <w:rsid w:val="00607332"/>
    <w:rsid w:val="00607966"/>
    <w:rsid w:val="00607AF8"/>
    <w:rsid w:val="00610C9F"/>
    <w:rsid w:val="00611632"/>
    <w:rsid w:val="00612294"/>
    <w:rsid w:val="00612E8B"/>
    <w:rsid w:val="00613127"/>
    <w:rsid w:val="00613889"/>
    <w:rsid w:val="00613ED9"/>
    <w:rsid w:val="0061472C"/>
    <w:rsid w:val="006150C5"/>
    <w:rsid w:val="006161FC"/>
    <w:rsid w:val="006162A8"/>
    <w:rsid w:val="006164DF"/>
    <w:rsid w:val="006166CC"/>
    <w:rsid w:val="0061732A"/>
    <w:rsid w:val="0062123C"/>
    <w:rsid w:val="00621774"/>
    <w:rsid w:val="00621A69"/>
    <w:rsid w:val="00621E90"/>
    <w:rsid w:val="00621FDF"/>
    <w:rsid w:val="006226EF"/>
    <w:rsid w:val="00622A9B"/>
    <w:rsid w:val="00622D12"/>
    <w:rsid w:val="00623291"/>
    <w:rsid w:val="00623450"/>
    <w:rsid w:val="0062355B"/>
    <w:rsid w:val="006235B6"/>
    <w:rsid w:val="00623EA4"/>
    <w:rsid w:val="00624144"/>
    <w:rsid w:val="0062422D"/>
    <w:rsid w:val="00627773"/>
    <w:rsid w:val="006302B2"/>
    <w:rsid w:val="0063046F"/>
    <w:rsid w:val="006320A4"/>
    <w:rsid w:val="00633559"/>
    <w:rsid w:val="00633E36"/>
    <w:rsid w:val="00635B5C"/>
    <w:rsid w:val="00636988"/>
    <w:rsid w:val="0063775C"/>
    <w:rsid w:val="0063785F"/>
    <w:rsid w:val="006403C7"/>
    <w:rsid w:val="00642996"/>
    <w:rsid w:val="00643A5E"/>
    <w:rsid w:val="00644205"/>
    <w:rsid w:val="0064485C"/>
    <w:rsid w:val="00646A9D"/>
    <w:rsid w:val="00646ACB"/>
    <w:rsid w:val="00650B78"/>
    <w:rsid w:val="00650C8F"/>
    <w:rsid w:val="00651A7E"/>
    <w:rsid w:val="00651F5D"/>
    <w:rsid w:val="00652171"/>
    <w:rsid w:val="00652737"/>
    <w:rsid w:val="006537CE"/>
    <w:rsid w:val="00655873"/>
    <w:rsid w:val="00655A9F"/>
    <w:rsid w:val="00656003"/>
    <w:rsid w:val="006562E7"/>
    <w:rsid w:val="006568C9"/>
    <w:rsid w:val="00660A9A"/>
    <w:rsid w:val="00660D4F"/>
    <w:rsid w:val="006617D6"/>
    <w:rsid w:val="0066214A"/>
    <w:rsid w:val="00663BD6"/>
    <w:rsid w:val="00663FA1"/>
    <w:rsid w:val="00666197"/>
    <w:rsid w:val="00667695"/>
    <w:rsid w:val="006677D0"/>
    <w:rsid w:val="00670FD5"/>
    <w:rsid w:val="006719BA"/>
    <w:rsid w:val="0067255C"/>
    <w:rsid w:val="00672B78"/>
    <w:rsid w:val="006740BD"/>
    <w:rsid w:val="006755EA"/>
    <w:rsid w:val="00675EA6"/>
    <w:rsid w:val="00677A0D"/>
    <w:rsid w:val="00677E49"/>
    <w:rsid w:val="006802EF"/>
    <w:rsid w:val="00682FB7"/>
    <w:rsid w:val="006832B4"/>
    <w:rsid w:val="00683400"/>
    <w:rsid w:val="00683B70"/>
    <w:rsid w:val="00684214"/>
    <w:rsid w:val="006850BF"/>
    <w:rsid w:val="0068671F"/>
    <w:rsid w:val="006867BA"/>
    <w:rsid w:val="00686B8C"/>
    <w:rsid w:val="006871EF"/>
    <w:rsid w:val="00687436"/>
    <w:rsid w:val="00687C6B"/>
    <w:rsid w:val="00691083"/>
    <w:rsid w:val="00691E0B"/>
    <w:rsid w:val="00693186"/>
    <w:rsid w:val="00693C0E"/>
    <w:rsid w:val="00695E60"/>
    <w:rsid w:val="006A02AC"/>
    <w:rsid w:val="006A0F41"/>
    <w:rsid w:val="006A10A9"/>
    <w:rsid w:val="006A24BC"/>
    <w:rsid w:val="006A342D"/>
    <w:rsid w:val="006A3B88"/>
    <w:rsid w:val="006A6082"/>
    <w:rsid w:val="006A6188"/>
    <w:rsid w:val="006A7334"/>
    <w:rsid w:val="006B0FCB"/>
    <w:rsid w:val="006B1BF4"/>
    <w:rsid w:val="006B2860"/>
    <w:rsid w:val="006B3DAF"/>
    <w:rsid w:val="006B4B62"/>
    <w:rsid w:val="006B4FFA"/>
    <w:rsid w:val="006B5083"/>
    <w:rsid w:val="006B517E"/>
    <w:rsid w:val="006B6209"/>
    <w:rsid w:val="006C072D"/>
    <w:rsid w:val="006C285D"/>
    <w:rsid w:val="006C32D3"/>
    <w:rsid w:val="006C5005"/>
    <w:rsid w:val="006C6483"/>
    <w:rsid w:val="006C696E"/>
    <w:rsid w:val="006C69F9"/>
    <w:rsid w:val="006C753E"/>
    <w:rsid w:val="006C7845"/>
    <w:rsid w:val="006C7DE1"/>
    <w:rsid w:val="006D046F"/>
    <w:rsid w:val="006D0C9F"/>
    <w:rsid w:val="006D0D27"/>
    <w:rsid w:val="006D18E1"/>
    <w:rsid w:val="006D2724"/>
    <w:rsid w:val="006D2BCA"/>
    <w:rsid w:val="006D3D86"/>
    <w:rsid w:val="006D416D"/>
    <w:rsid w:val="006D5A60"/>
    <w:rsid w:val="006D5F59"/>
    <w:rsid w:val="006D60B1"/>
    <w:rsid w:val="006D6458"/>
    <w:rsid w:val="006D7386"/>
    <w:rsid w:val="006E0E08"/>
    <w:rsid w:val="006E10AF"/>
    <w:rsid w:val="006E1442"/>
    <w:rsid w:val="006E171F"/>
    <w:rsid w:val="006E1D55"/>
    <w:rsid w:val="006E2261"/>
    <w:rsid w:val="006E24D6"/>
    <w:rsid w:val="006E2AFB"/>
    <w:rsid w:val="006E33CC"/>
    <w:rsid w:val="006E5D12"/>
    <w:rsid w:val="006E6601"/>
    <w:rsid w:val="006E672D"/>
    <w:rsid w:val="006F0042"/>
    <w:rsid w:val="006F0AB5"/>
    <w:rsid w:val="006F1DAE"/>
    <w:rsid w:val="006F2F20"/>
    <w:rsid w:val="006F41A0"/>
    <w:rsid w:val="006F4B87"/>
    <w:rsid w:val="006F6802"/>
    <w:rsid w:val="006F79DD"/>
    <w:rsid w:val="006F7F37"/>
    <w:rsid w:val="0070090D"/>
    <w:rsid w:val="007017C4"/>
    <w:rsid w:val="007018C2"/>
    <w:rsid w:val="00701CEA"/>
    <w:rsid w:val="00701FF3"/>
    <w:rsid w:val="007021A3"/>
    <w:rsid w:val="00702430"/>
    <w:rsid w:val="007026BA"/>
    <w:rsid w:val="007028DB"/>
    <w:rsid w:val="00703037"/>
    <w:rsid w:val="007041FC"/>
    <w:rsid w:val="007043E8"/>
    <w:rsid w:val="007045DF"/>
    <w:rsid w:val="007046A6"/>
    <w:rsid w:val="00704E03"/>
    <w:rsid w:val="00706491"/>
    <w:rsid w:val="007065EB"/>
    <w:rsid w:val="007073D2"/>
    <w:rsid w:val="00707EE5"/>
    <w:rsid w:val="00710282"/>
    <w:rsid w:val="00710434"/>
    <w:rsid w:val="007117B7"/>
    <w:rsid w:val="00711EBF"/>
    <w:rsid w:val="0071239D"/>
    <w:rsid w:val="00713312"/>
    <w:rsid w:val="00713736"/>
    <w:rsid w:val="0071401F"/>
    <w:rsid w:val="00716315"/>
    <w:rsid w:val="00717862"/>
    <w:rsid w:val="0072092C"/>
    <w:rsid w:val="00721B0E"/>
    <w:rsid w:val="00721E0C"/>
    <w:rsid w:val="00721FE2"/>
    <w:rsid w:val="007241CC"/>
    <w:rsid w:val="007245C0"/>
    <w:rsid w:val="00725229"/>
    <w:rsid w:val="00725992"/>
    <w:rsid w:val="00725DF1"/>
    <w:rsid w:val="007262D7"/>
    <w:rsid w:val="00727748"/>
    <w:rsid w:val="00727F3C"/>
    <w:rsid w:val="007305F5"/>
    <w:rsid w:val="00731E28"/>
    <w:rsid w:val="00731EFF"/>
    <w:rsid w:val="0073235D"/>
    <w:rsid w:val="00733981"/>
    <w:rsid w:val="0073464F"/>
    <w:rsid w:val="007351D9"/>
    <w:rsid w:val="0073540E"/>
    <w:rsid w:val="00736CEA"/>
    <w:rsid w:val="00736E89"/>
    <w:rsid w:val="007370CB"/>
    <w:rsid w:val="007370F6"/>
    <w:rsid w:val="00737884"/>
    <w:rsid w:val="00737A75"/>
    <w:rsid w:val="00737A88"/>
    <w:rsid w:val="007417C4"/>
    <w:rsid w:val="00741B33"/>
    <w:rsid w:val="00745BB8"/>
    <w:rsid w:val="00746C69"/>
    <w:rsid w:val="0074728C"/>
    <w:rsid w:val="007472B6"/>
    <w:rsid w:val="00747342"/>
    <w:rsid w:val="00750E0D"/>
    <w:rsid w:val="0075197C"/>
    <w:rsid w:val="00752244"/>
    <w:rsid w:val="00752323"/>
    <w:rsid w:val="00753780"/>
    <w:rsid w:val="00756EBB"/>
    <w:rsid w:val="0075769B"/>
    <w:rsid w:val="00757BF7"/>
    <w:rsid w:val="00757F9D"/>
    <w:rsid w:val="00761A97"/>
    <w:rsid w:val="00762043"/>
    <w:rsid w:val="007628AF"/>
    <w:rsid w:val="007631E8"/>
    <w:rsid w:val="00764AA7"/>
    <w:rsid w:val="00765A5B"/>
    <w:rsid w:val="00766C57"/>
    <w:rsid w:val="00771094"/>
    <w:rsid w:val="007722A7"/>
    <w:rsid w:val="00775F20"/>
    <w:rsid w:val="00775FE7"/>
    <w:rsid w:val="007773B4"/>
    <w:rsid w:val="007807AC"/>
    <w:rsid w:val="007827F0"/>
    <w:rsid w:val="00782B20"/>
    <w:rsid w:val="007853BB"/>
    <w:rsid w:val="00785422"/>
    <w:rsid w:val="007854ED"/>
    <w:rsid w:val="00786359"/>
    <w:rsid w:val="00786B51"/>
    <w:rsid w:val="00786EB0"/>
    <w:rsid w:val="0078773C"/>
    <w:rsid w:val="0079009E"/>
    <w:rsid w:val="00790C72"/>
    <w:rsid w:val="00791951"/>
    <w:rsid w:val="00792738"/>
    <w:rsid w:val="00794AB9"/>
    <w:rsid w:val="0079589D"/>
    <w:rsid w:val="00795AAB"/>
    <w:rsid w:val="00797727"/>
    <w:rsid w:val="007A022D"/>
    <w:rsid w:val="007A070B"/>
    <w:rsid w:val="007A2E8B"/>
    <w:rsid w:val="007A3841"/>
    <w:rsid w:val="007A40DC"/>
    <w:rsid w:val="007A49F1"/>
    <w:rsid w:val="007A4AD0"/>
    <w:rsid w:val="007A4C18"/>
    <w:rsid w:val="007A56D3"/>
    <w:rsid w:val="007A6C55"/>
    <w:rsid w:val="007A6D78"/>
    <w:rsid w:val="007A7E51"/>
    <w:rsid w:val="007B013F"/>
    <w:rsid w:val="007B0368"/>
    <w:rsid w:val="007B0EC2"/>
    <w:rsid w:val="007B1B87"/>
    <w:rsid w:val="007B3F3E"/>
    <w:rsid w:val="007B6FC3"/>
    <w:rsid w:val="007B7378"/>
    <w:rsid w:val="007C0EBD"/>
    <w:rsid w:val="007C1446"/>
    <w:rsid w:val="007C145E"/>
    <w:rsid w:val="007C1619"/>
    <w:rsid w:val="007C1DAC"/>
    <w:rsid w:val="007C237F"/>
    <w:rsid w:val="007C31D8"/>
    <w:rsid w:val="007C45B4"/>
    <w:rsid w:val="007C46B6"/>
    <w:rsid w:val="007C4BA2"/>
    <w:rsid w:val="007C4D65"/>
    <w:rsid w:val="007C5DCB"/>
    <w:rsid w:val="007C6543"/>
    <w:rsid w:val="007C7BED"/>
    <w:rsid w:val="007D2906"/>
    <w:rsid w:val="007D2F89"/>
    <w:rsid w:val="007D3859"/>
    <w:rsid w:val="007D3AF4"/>
    <w:rsid w:val="007D3C40"/>
    <w:rsid w:val="007D4539"/>
    <w:rsid w:val="007D4CB9"/>
    <w:rsid w:val="007D514E"/>
    <w:rsid w:val="007D5460"/>
    <w:rsid w:val="007D6579"/>
    <w:rsid w:val="007D6EEA"/>
    <w:rsid w:val="007D7C36"/>
    <w:rsid w:val="007E0B61"/>
    <w:rsid w:val="007E0EAB"/>
    <w:rsid w:val="007E0ED9"/>
    <w:rsid w:val="007E138E"/>
    <w:rsid w:val="007E30ED"/>
    <w:rsid w:val="007E419D"/>
    <w:rsid w:val="007E436D"/>
    <w:rsid w:val="007E4F16"/>
    <w:rsid w:val="007E6096"/>
    <w:rsid w:val="007E6254"/>
    <w:rsid w:val="007E63AF"/>
    <w:rsid w:val="007E6833"/>
    <w:rsid w:val="007E7B04"/>
    <w:rsid w:val="007F1658"/>
    <w:rsid w:val="007F2897"/>
    <w:rsid w:val="007F2B6B"/>
    <w:rsid w:val="007F2BCD"/>
    <w:rsid w:val="007F33E7"/>
    <w:rsid w:val="007F37B3"/>
    <w:rsid w:val="007F3E12"/>
    <w:rsid w:val="007F56A4"/>
    <w:rsid w:val="007F5F8C"/>
    <w:rsid w:val="007F6A2D"/>
    <w:rsid w:val="007F73B8"/>
    <w:rsid w:val="007F745F"/>
    <w:rsid w:val="008018DA"/>
    <w:rsid w:val="00801E3A"/>
    <w:rsid w:val="00802088"/>
    <w:rsid w:val="00802AFC"/>
    <w:rsid w:val="00802E25"/>
    <w:rsid w:val="00803A4B"/>
    <w:rsid w:val="00803AD3"/>
    <w:rsid w:val="00804938"/>
    <w:rsid w:val="00805D41"/>
    <w:rsid w:val="00805F28"/>
    <w:rsid w:val="00806431"/>
    <w:rsid w:val="0080665D"/>
    <w:rsid w:val="00807160"/>
    <w:rsid w:val="0080736E"/>
    <w:rsid w:val="0080746F"/>
    <w:rsid w:val="00810212"/>
    <w:rsid w:val="00812A34"/>
    <w:rsid w:val="00812BCE"/>
    <w:rsid w:val="00812CAA"/>
    <w:rsid w:val="00812E2F"/>
    <w:rsid w:val="008142EE"/>
    <w:rsid w:val="008149B6"/>
    <w:rsid w:val="00816E11"/>
    <w:rsid w:val="008172DF"/>
    <w:rsid w:val="00820733"/>
    <w:rsid w:val="00821C88"/>
    <w:rsid w:val="008226A8"/>
    <w:rsid w:val="00823E4D"/>
    <w:rsid w:val="008243B5"/>
    <w:rsid w:val="00825094"/>
    <w:rsid w:val="00825271"/>
    <w:rsid w:val="00825827"/>
    <w:rsid w:val="00825B81"/>
    <w:rsid w:val="008262D7"/>
    <w:rsid w:val="00827616"/>
    <w:rsid w:val="00827B95"/>
    <w:rsid w:val="00830EC2"/>
    <w:rsid w:val="0083211E"/>
    <w:rsid w:val="00833CD0"/>
    <w:rsid w:val="008342E1"/>
    <w:rsid w:val="00835D78"/>
    <w:rsid w:val="00836348"/>
    <w:rsid w:val="00836479"/>
    <w:rsid w:val="00836861"/>
    <w:rsid w:val="00836CFA"/>
    <w:rsid w:val="00837007"/>
    <w:rsid w:val="00837533"/>
    <w:rsid w:val="00837E1C"/>
    <w:rsid w:val="00837F13"/>
    <w:rsid w:val="0084008E"/>
    <w:rsid w:val="00841025"/>
    <w:rsid w:val="00842B70"/>
    <w:rsid w:val="00843395"/>
    <w:rsid w:val="00843F57"/>
    <w:rsid w:val="008458BE"/>
    <w:rsid w:val="00845C88"/>
    <w:rsid w:val="00846273"/>
    <w:rsid w:val="00846A98"/>
    <w:rsid w:val="0085085A"/>
    <w:rsid w:val="00850C9E"/>
    <w:rsid w:val="008513C1"/>
    <w:rsid w:val="0085144C"/>
    <w:rsid w:val="0085219B"/>
    <w:rsid w:val="00853328"/>
    <w:rsid w:val="00853963"/>
    <w:rsid w:val="00854FB5"/>
    <w:rsid w:val="00860ECF"/>
    <w:rsid w:val="00861A95"/>
    <w:rsid w:val="00861ED9"/>
    <w:rsid w:val="0086279C"/>
    <w:rsid w:val="00862A5E"/>
    <w:rsid w:val="00864068"/>
    <w:rsid w:val="008644F5"/>
    <w:rsid w:val="008648FC"/>
    <w:rsid w:val="00864F4E"/>
    <w:rsid w:val="0086522E"/>
    <w:rsid w:val="008657AC"/>
    <w:rsid w:val="00865F75"/>
    <w:rsid w:val="00866153"/>
    <w:rsid w:val="008666A4"/>
    <w:rsid w:val="008670B2"/>
    <w:rsid w:val="008676AA"/>
    <w:rsid w:val="0086779C"/>
    <w:rsid w:val="00867CEF"/>
    <w:rsid w:val="008702F2"/>
    <w:rsid w:val="008714A6"/>
    <w:rsid w:val="008715E2"/>
    <w:rsid w:val="0087161D"/>
    <w:rsid w:val="008720F5"/>
    <w:rsid w:val="00872C43"/>
    <w:rsid w:val="00872C78"/>
    <w:rsid w:val="00872D7F"/>
    <w:rsid w:val="008730EE"/>
    <w:rsid w:val="00873877"/>
    <w:rsid w:val="00873EDF"/>
    <w:rsid w:val="008740FF"/>
    <w:rsid w:val="008759CE"/>
    <w:rsid w:val="00880A14"/>
    <w:rsid w:val="00881C2A"/>
    <w:rsid w:val="0088208B"/>
    <w:rsid w:val="00882EDA"/>
    <w:rsid w:val="00883824"/>
    <w:rsid w:val="00884F44"/>
    <w:rsid w:val="0088508B"/>
    <w:rsid w:val="008853D2"/>
    <w:rsid w:val="00885DDD"/>
    <w:rsid w:val="00885E09"/>
    <w:rsid w:val="008863BF"/>
    <w:rsid w:val="00886610"/>
    <w:rsid w:val="00886975"/>
    <w:rsid w:val="00886B4F"/>
    <w:rsid w:val="008875A2"/>
    <w:rsid w:val="00887FAC"/>
    <w:rsid w:val="0089093F"/>
    <w:rsid w:val="00890B94"/>
    <w:rsid w:val="00890FE6"/>
    <w:rsid w:val="00891889"/>
    <w:rsid w:val="0089214E"/>
    <w:rsid w:val="008927C1"/>
    <w:rsid w:val="00893811"/>
    <w:rsid w:val="00893A3B"/>
    <w:rsid w:val="008950E0"/>
    <w:rsid w:val="00895EBA"/>
    <w:rsid w:val="008960D6"/>
    <w:rsid w:val="00896DD8"/>
    <w:rsid w:val="008A05A6"/>
    <w:rsid w:val="008A1795"/>
    <w:rsid w:val="008A1B16"/>
    <w:rsid w:val="008A20F2"/>
    <w:rsid w:val="008A28C8"/>
    <w:rsid w:val="008A2A47"/>
    <w:rsid w:val="008A4931"/>
    <w:rsid w:val="008A4B99"/>
    <w:rsid w:val="008A4C05"/>
    <w:rsid w:val="008A5DAB"/>
    <w:rsid w:val="008A6085"/>
    <w:rsid w:val="008A69CF"/>
    <w:rsid w:val="008A7408"/>
    <w:rsid w:val="008A7482"/>
    <w:rsid w:val="008A753B"/>
    <w:rsid w:val="008A7AFD"/>
    <w:rsid w:val="008B13D2"/>
    <w:rsid w:val="008B1913"/>
    <w:rsid w:val="008B45E0"/>
    <w:rsid w:val="008B4C5C"/>
    <w:rsid w:val="008B6A55"/>
    <w:rsid w:val="008B7003"/>
    <w:rsid w:val="008B714E"/>
    <w:rsid w:val="008B739A"/>
    <w:rsid w:val="008C01B2"/>
    <w:rsid w:val="008C0650"/>
    <w:rsid w:val="008C09EA"/>
    <w:rsid w:val="008C0A5C"/>
    <w:rsid w:val="008C1951"/>
    <w:rsid w:val="008C1BDC"/>
    <w:rsid w:val="008C29E5"/>
    <w:rsid w:val="008C32CE"/>
    <w:rsid w:val="008C4266"/>
    <w:rsid w:val="008C498B"/>
    <w:rsid w:val="008C4BB0"/>
    <w:rsid w:val="008C4F4E"/>
    <w:rsid w:val="008C5EC9"/>
    <w:rsid w:val="008C630E"/>
    <w:rsid w:val="008C6CE2"/>
    <w:rsid w:val="008C768B"/>
    <w:rsid w:val="008C7A95"/>
    <w:rsid w:val="008C7C17"/>
    <w:rsid w:val="008C7C7E"/>
    <w:rsid w:val="008C7E5B"/>
    <w:rsid w:val="008D1786"/>
    <w:rsid w:val="008D1F87"/>
    <w:rsid w:val="008D258C"/>
    <w:rsid w:val="008D2FE5"/>
    <w:rsid w:val="008D4BC6"/>
    <w:rsid w:val="008D6284"/>
    <w:rsid w:val="008D67BC"/>
    <w:rsid w:val="008D6FBE"/>
    <w:rsid w:val="008D71CF"/>
    <w:rsid w:val="008E0CB6"/>
    <w:rsid w:val="008E29E9"/>
    <w:rsid w:val="008E34D3"/>
    <w:rsid w:val="008E4069"/>
    <w:rsid w:val="008E4A11"/>
    <w:rsid w:val="008E4BD3"/>
    <w:rsid w:val="008E4C67"/>
    <w:rsid w:val="008E5DF5"/>
    <w:rsid w:val="008E6D07"/>
    <w:rsid w:val="008E6E0A"/>
    <w:rsid w:val="008E734A"/>
    <w:rsid w:val="008F00EE"/>
    <w:rsid w:val="008F1EE1"/>
    <w:rsid w:val="008F208F"/>
    <w:rsid w:val="008F237D"/>
    <w:rsid w:val="008F3A43"/>
    <w:rsid w:val="008F3E10"/>
    <w:rsid w:val="008F5027"/>
    <w:rsid w:val="008F5E85"/>
    <w:rsid w:val="008F6639"/>
    <w:rsid w:val="008F752E"/>
    <w:rsid w:val="008F780F"/>
    <w:rsid w:val="008F7994"/>
    <w:rsid w:val="008F7A3E"/>
    <w:rsid w:val="00900BE2"/>
    <w:rsid w:val="009010F0"/>
    <w:rsid w:val="00901C72"/>
    <w:rsid w:val="0090320B"/>
    <w:rsid w:val="0090329C"/>
    <w:rsid w:val="0090424D"/>
    <w:rsid w:val="00904D5E"/>
    <w:rsid w:val="00904DF8"/>
    <w:rsid w:val="0090529C"/>
    <w:rsid w:val="00905DCB"/>
    <w:rsid w:val="00905E98"/>
    <w:rsid w:val="009061F1"/>
    <w:rsid w:val="009070D3"/>
    <w:rsid w:val="009070F7"/>
    <w:rsid w:val="00907596"/>
    <w:rsid w:val="00907699"/>
    <w:rsid w:val="00911415"/>
    <w:rsid w:val="009114AD"/>
    <w:rsid w:val="00911F80"/>
    <w:rsid w:val="0091238D"/>
    <w:rsid w:val="00913E43"/>
    <w:rsid w:val="009148A2"/>
    <w:rsid w:val="009158CB"/>
    <w:rsid w:val="00916797"/>
    <w:rsid w:val="009174D5"/>
    <w:rsid w:val="009175F0"/>
    <w:rsid w:val="00917778"/>
    <w:rsid w:val="0091778F"/>
    <w:rsid w:val="0091791B"/>
    <w:rsid w:val="00920147"/>
    <w:rsid w:val="0092092D"/>
    <w:rsid w:val="00921680"/>
    <w:rsid w:val="00921C98"/>
    <w:rsid w:val="00921CF4"/>
    <w:rsid w:val="00921CF7"/>
    <w:rsid w:val="00922201"/>
    <w:rsid w:val="00922504"/>
    <w:rsid w:val="00924745"/>
    <w:rsid w:val="00926B45"/>
    <w:rsid w:val="00927370"/>
    <w:rsid w:val="00927950"/>
    <w:rsid w:val="00927DDE"/>
    <w:rsid w:val="00930377"/>
    <w:rsid w:val="00931401"/>
    <w:rsid w:val="0093165C"/>
    <w:rsid w:val="00931E76"/>
    <w:rsid w:val="009325DE"/>
    <w:rsid w:val="0093281D"/>
    <w:rsid w:val="009349EC"/>
    <w:rsid w:val="00937074"/>
    <w:rsid w:val="009371BF"/>
    <w:rsid w:val="00941373"/>
    <w:rsid w:val="0094177F"/>
    <w:rsid w:val="00942162"/>
    <w:rsid w:val="0094310C"/>
    <w:rsid w:val="00943194"/>
    <w:rsid w:val="00943412"/>
    <w:rsid w:val="00943C7F"/>
    <w:rsid w:val="00944C91"/>
    <w:rsid w:val="00944EA0"/>
    <w:rsid w:val="00946876"/>
    <w:rsid w:val="00950B8A"/>
    <w:rsid w:val="00951104"/>
    <w:rsid w:val="00951403"/>
    <w:rsid w:val="00951601"/>
    <w:rsid w:val="00951C0A"/>
    <w:rsid w:val="00952A2C"/>
    <w:rsid w:val="00954520"/>
    <w:rsid w:val="00956641"/>
    <w:rsid w:val="00957CFC"/>
    <w:rsid w:val="0096094A"/>
    <w:rsid w:val="00960A47"/>
    <w:rsid w:val="00961101"/>
    <w:rsid w:val="00961253"/>
    <w:rsid w:val="00961766"/>
    <w:rsid w:val="00961B55"/>
    <w:rsid w:val="00962EB0"/>
    <w:rsid w:val="009634F2"/>
    <w:rsid w:val="00963656"/>
    <w:rsid w:val="00963983"/>
    <w:rsid w:val="00963CFD"/>
    <w:rsid w:val="0096456E"/>
    <w:rsid w:val="00964DDF"/>
    <w:rsid w:val="00965096"/>
    <w:rsid w:val="00965172"/>
    <w:rsid w:val="00966104"/>
    <w:rsid w:val="009665E7"/>
    <w:rsid w:val="00967FB4"/>
    <w:rsid w:val="0097033D"/>
    <w:rsid w:val="009705E5"/>
    <w:rsid w:val="0097087E"/>
    <w:rsid w:val="00971564"/>
    <w:rsid w:val="0097177F"/>
    <w:rsid w:val="0097179B"/>
    <w:rsid w:val="0097190B"/>
    <w:rsid w:val="00971D84"/>
    <w:rsid w:val="00972130"/>
    <w:rsid w:val="00972AF1"/>
    <w:rsid w:val="0097332C"/>
    <w:rsid w:val="00973CB0"/>
    <w:rsid w:val="00975988"/>
    <w:rsid w:val="00980AD3"/>
    <w:rsid w:val="00980E4B"/>
    <w:rsid w:val="00980E98"/>
    <w:rsid w:val="00982E11"/>
    <w:rsid w:val="00983203"/>
    <w:rsid w:val="00983B09"/>
    <w:rsid w:val="0098411A"/>
    <w:rsid w:val="00984A90"/>
    <w:rsid w:val="009854BB"/>
    <w:rsid w:val="00985BAF"/>
    <w:rsid w:val="0098725B"/>
    <w:rsid w:val="0099074F"/>
    <w:rsid w:val="00990805"/>
    <w:rsid w:val="00990C46"/>
    <w:rsid w:val="00990D2F"/>
    <w:rsid w:val="00990D5C"/>
    <w:rsid w:val="00991710"/>
    <w:rsid w:val="00991719"/>
    <w:rsid w:val="0099202B"/>
    <w:rsid w:val="00993061"/>
    <w:rsid w:val="00993C38"/>
    <w:rsid w:val="0099441B"/>
    <w:rsid w:val="0099653B"/>
    <w:rsid w:val="009966A9"/>
    <w:rsid w:val="00996875"/>
    <w:rsid w:val="009978C3"/>
    <w:rsid w:val="009A02E1"/>
    <w:rsid w:val="009A20E8"/>
    <w:rsid w:val="009A3197"/>
    <w:rsid w:val="009A3C43"/>
    <w:rsid w:val="009A4037"/>
    <w:rsid w:val="009A5DF6"/>
    <w:rsid w:val="009A659F"/>
    <w:rsid w:val="009A7405"/>
    <w:rsid w:val="009A76D9"/>
    <w:rsid w:val="009A7BBD"/>
    <w:rsid w:val="009B121D"/>
    <w:rsid w:val="009B2333"/>
    <w:rsid w:val="009B29E8"/>
    <w:rsid w:val="009B2C1C"/>
    <w:rsid w:val="009B2E04"/>
    <w:rsid w:val="009B39AF"/>
    <w:rsid w:val="009B4080"/>
    <w:rsid w:val="009B411D"/>
    <w:rsid w:val="009B428A"/>
    <w:rsid w:val="009B5E07"/>
    <w:rsid w:val="009B7C15"/>
    <w:rsid w:val="009B7DC3"/>
    <w:rsid w:val="009C1B21"/>
    <w:rsid w:val="009C3E48"/>
    <w:rsid w:val="009C480D"/>
    <w:rsid w:val="009C4B0E"/>
    <w:rsid w:val="009C50C0"/>
    <w:rsid w:val="009C5C9A"/>
    <w:rsid w:val="009C5F3A"/>
    <w:rsid w:val="009D1675"/>
    <w:rsid w:val="009D1D44"/>
    <w:rsid w:val="009D2A34"/>
    <w:rsid w:val="009D2CE7"/>
    <w:rsid w:val="009D4376"/>
    <w:rsid w:val="009D4869"/>
    <w:rsid w:val="009D4FC2"/>
    <w:rsid w:val="009E1533"/>
    <w:rsid w:val="009E1974"/>
    <w:rsid w:val="009E21B2"/>
    <w:rsid w:val="009E22E2"/>
    <w:rsid w:val="009E361F"/>
    <w:rsid w:val="009E36BA"/>
    <w:rsid w:val="009E3F6C"/>
    <w:rsid w:val="009E3F73"/>
    <w:rsid w:val="009E4460"/>
    <w:rsid w:val="009E7103"/>
    <w:rsid w:val="009E7358"/>
    <w:rsid w:val="009F088B"/>
    <w:rsid w:val="009F10CD"/>
    <w:rsid w:val="009F2B06"/>
    <w:rsid w:val="009F2D0C"/>
    <w:rsid w:val="009F2D42"/>
    <w:rsid w:val="009F2E49"/>
    <w:rsid w:val="009F32E8"/>
    <w:rsid w:val="009F3A44"/>
    <w:rsid w:val="009F4A62"/>
    <w:rsid w:val="009F4AE6"/>
    <w:rsid w:val="009F4EE7"/>
    <w:rsid w:val="009F6091"/>
    <w:rsid w:val="009F616C"/>
    <w:rsid w:val="009F6B93"/>
    <w:rsid w:val="009F7B0C"/>
    <w:rsid w:val="00A01C14"/>
    <w:rsid w:val="00A01EB0"/>
    <w:rsid w:val="00A0237E"/>
    <w:rsid w:val="00A03926"/>
    <w:rsid w:val="00A053DB"/>
    <w:rsid w:val="00A05EEA"/>
    <w:rsid w:val="00A0664D"/>
    <w:rsid w:val="00A06809"/>
    <w:rsid w:val="00A0681C"/>
    <w:rsid w:val="00A06879"/>
    <w:rsid w:val="00A074C9"/>
    <w:rsid w:val="00A10BEA"/>
    <w:rsid w:val="00A116AA"/>
    <w:rsid w:val="00A11736"/>
    <w:rsid w:val="00A11952"/>
    <w:rsid w:val="00A1252F"/>
    <w:rsid w:val="00A13171"/>
    <w:rsid w:val="00A13E26"/>
    <w:rsid w:val="00A14627"/>
    <w:rsid w:val="00A1476C"/>
    <w:rsid w:val="00A14899"/>
    <w:rsid w:val="00A14BBC"/>
    <w:rsid w:val="00A151DF"/>
    <w:rsid w:val="00A152B4"/>
    <w:rsid w:val="00A16326"/>
    <w:rsid w:val="00A1690F"/>
    <w:rsid w:val="00A169A9"/>
    <w:rsid w:val="00A16BD3"/>
    <w:rsid w:val="00A16BDB"/>
    <w:rsid w:val="00A16E0B"/>
    <w:rsid w:val="00A20013"/>
    <w:rsid w:val="00A20276"/>
    <w:rsid w:val="00A20ADC"/>
    <w:rsid w:val="00A20BDE"/>
    <w:rsid w:val="00A21633"/>
    <w:rsid w:val="00A228D9"/>
    <w:rsid w:val="00A22FB9"/>
    <w:rsid w:val="00A22FC9"/>
    <w:rsid w:val="00A234AB"/>
    <w:rsid w:val="00A242F8"/>
    <w:rsid w:val="00A2456C"/>
    <w:rsid w:val="00A24AE6"/>
    <w:rsid w:val="00A26860"/>
    <w:rsid w:val="00A26895"/>
    <w:rsid w:val="00A268FB"/>
    <w:rsid w:val="00A26C62"/>
    <w:rsid w:val="00A3001D"/>
    <w:rsid w:val="00A3057A"/>
    <w:rsid w:val="00A30C34"/>
    <w:rsid w:val="00A3185B"/>
    <w:rsid w:val="00A32401"/>
    <w:rsid w:val="00A32C76"/>
    <w:rsid w:val="00A334D8"/>
    <w:rsid w:val="00A3370C"/>
    <w:rsid w:val="00A3449B"/>
    <w:rsid w:val="00A34A9C"/>
    <w:rsid w:val="00A35AA9"/>
    <w:rsid w:val="00A364DC"/>
    <w:rsid w:val="00A37B4B"/>
    <w:rsid w:val="00A37CDE"/>
    <w:rsid w:val="00A41D82"/>
    <w:rsid w:val="00A42F64"/>
    <w:rsid w:val="00A433FB"/>
    <w:rsid w:val="00A43774"/>
    <w:rsid w:val="00A442CB"/>
    <w:rsid w:val="00A442D6"/>
    <w:rsid w:val="00A4447F"/>
    <w:rsid w:val="00A479D0"/>
    <w:rsid w:val="00A47B2C"/>
    <w:rsid w:val="00A507E3"/>
    <w:rsid w:val="00A50C2E"/>
    <w:rsid w:val="00A51FEB"/>
    <w:rsid w:val="00A52219"/>
    <w:rsid w:val="00A5307A"/>
    <w:rsid w:val="00A535AF"/>
    <w:rsid w:val="00A53E65"/>
    <w:rsid w:val="00A545ED"/>
    <w:rsid w:val="00A54BB0"/>
    <w:rsid w:val="00A54CD2"/>
    <w:rsid w:val="00A55568"/>
    <w:rsid w:val="00A55805"/>
    <w:rsid w:val="00A5630E"/>
    <w:rsid w:val="00A56558"/>
    <w:rsid w:val="00A56BE0"/>
    <w:rsid w:val="00A56C1B"/>
    <w:rsid w:val="00A5759C"/>
    <w:rsid w:val="00A61682"/>
    <w:rsid w:val="00A6173D"/>
    <w:rsid w:val="00A63B0D"/>
    <w:rsid w:val="00A63E5B"/>
    <w:rsid w:val="00A6411C"/>
    <w:rsid w:val="00A648C2"/>
    <w:rsid w:val="00A6491D"/>
    <w:rsid w:val="00A6508F"/>
    <w:rsid w:val="00A6679D"/>
    <w:rsid w:val="00A66A74"/>
    <w:rsid w:val="00A70972"/>
    <w:rsid w:val="00A71C5F"/>
    <w:rsid w:val="00A72774"/>
    <w:rsid w:val="00A743A9"/>
    <w:rsid w:val="00A74A31"/>
    <w:rsid w:val="00A75D26"/>
    <w:rsid w:val="00A75EDE"/>
    <w:rsid w:val="00A7698C"/>
    <w:rsid w:val="00A8049E"/>
    <w:rsid w:val="00A80C3B"/>
    <w:rsid w:val="00A80CD9"/>
    <w:rsid w:val="00A815DF"/>
    <w:rsid w:val="00A81A3B"/>
    <w:rsid w:val="00A82EE5"/>
    <w:rsid w:val="00A83610"/>
    <w:rsid w:val="00A8431D"/>
    <w:rsid w:val="00A845D5"/>
    <w:rsid w:val="00A84AF7"/>
    <w:rsid w:val="00A856A1"/>
    <w:rsid w:val="00A85945"/>
    <w:rsid w:val="00A8675F"/>
    <w:rsid w:val="00A90910"/>
    <w:rsid w:val="00A90CB4"/>
    <w:rsid w:val="00A90CF0"/>
    <w:rsid w:val="00A920DE"/>
    <w:rsid w:val="00A9244C"/>
    <w:rsid w:val="00A9482F"/>
    <w:rsid w:val="00A94B8B"/>
    <w:rsid w:val="00A9539F"/>
    <w:rsid w:val="00A9700E"/>
    <w:rsid w:val="00A9705D"/>
    <w:rsid w:val="00A97B64"/>
    <w:rsid w:val="00AA030B"/>
    <w:rsid w:val="00AA0A53"/>
    <w:rsid w:val="00AA0DE3"/>
    <w:rsid w:val="00AA16FF"/>
    <w:rsid w:val="00AA345E"/>
    <w:rsid w:val="00AA3479"/>
    <w:rsid w:val="00AA4DD0"/>
    <w:rsid w:val="00AA51DF"/>
    <w:rsid w:val="00AA60D0"/>
    <w:rsid w:val="00AA68C0"/>
    <w:rsid w:val="00AA6AD9"/>
    <w:rsid w:val="00AA7447"/>
    <w:rsid w:val="00AB0220"/>
    <w:rsid w:val="00AB0906"/>
    <w:rsid w:val="00AB0E95"/>
    <w:rsid w:val="00AB103B"/>
    <w:rsid w:val="00AB1D31"/>
    <w:rsid w:val="00AB1ED8"/>
    <w:rsid w:val="00AB2607"/>
    <w:rsid w:val="00AB2917"/>
    <w:rsid w:val="00AB35B0"/>
    <w:rsid w:val="00AB3CCB"/>
    <w:rsid w:val="00AB3FB9"/>
    <w:rsid w:val="00AB73FF"/>
    <w:rsid w:val="00AB74FF"/>
    <w:rsid w:val="00AB7F7E"/>
    <w:rsid w:val="00AC0D93"/>
    <w:rsid w:val="00AC1120"/>
    <w:rsid w:val="00AC2023"/>
    <w:rsid w:val="00AC29F3"/>
    <w:rsid w:val="00AC2FBF"/>
    <w:rsid w:val="00AC31F3"/>
    <w:rsid w:val="00AC3237"/>
    <w:rsid w:val="00AC35F1"/>
    <w:rsid w:val="00AC400D"/>
    <w:rsid w:val="00AC449B"/>
    <w:rsid w:val="00AC4D46"/>
    <w:rsid w:val="00AC5638"/>
    <w:rsid w:val="00AC6B87"/>
    <w:rsid w:val="00AC6C11"/>
    <w:rsid w:val="00AC744C"/>
    <w:rsid w:val="00AC7B02"/>
    <w:rsid w:val="00AD0C33"/>
    <w:rsid w:val="00AD0D28"/>
    <w:rsid w:val="00AD0E3E"/>
    <w:rsid w:val="00AD1A9E"/>
    <w:rsid w:val="00AD1C5B"/>
    <w:rsid w:val="00AD2CD3"/>
    <w:rsid w:val="00AD2D9F"/>
    <w:rsid w:val="00AD2FD9"/>
    <w:rsid w:val="00AD3C2D"/>
    <w:rsid w:val="00AD50AE"/>
    <w:rsid w:val="00AD5338"/>
    <w:rsid w:val="00AD6177"/>
    <w:rsid w:val="00AD6D35"/>
    <w:rsid w:val="00AE046A"/>
    <w:rsid w:val="00AE0E43"/>
    <w:rsid w:val="00AE1573"/>
    <w:rsid w:val="00AE25B7"/>
    <w:rsid w:val="00AE26E5"/>
    <w:rsid w:val="00AE3E61"/>
    <w:rsid w:val="00AE44BB"/>
    <w:rsid w:val="00AE5EB2"/>
    <w:rsid w:val="00AE6126"/>
    <w:rsid w:val="00AE6726"/>
    <w:rsid w:val="00AE6B28"/>
    <w:rsid w:val="00AE6C9A"/>
    <w:rsid w:val="00AF07B0"/>
    <w:rsid w:val="00AF1960"/>
    <w:rsid w:val="00AF398E"/>
    <w:rsid w:val="00AF3C00"/>
    <w:rsid w:val="00AF49FD"/>
    <w:rsid w:val="00AF539B"/>
    <w:rsid w:val="00AF6D86"/>
    <w:rsid w:val="00AF74CD"/>
    <w:rsid w:val="00AF7E3C"/>
    <w:rsid w:val="00B005FB"/>
    <w:rsid w:val="00B00AB1"/>
    <w:rsid w:val="00B00D55"/>
    <w:rsid w:val="00B01288"/>
    <w:rsid w:val="00B015F8"/>
    <w:rsid w:val="00B02BC6"/>
    <w:rsid w:val="00B02C7C"/>
    <w:rsid w:val="00B0325D"/>
    <w:rsid w:val="00B03F2A"/>
    <w:rsid w:val="00B049A6"/>
    <w:rsid w:val="00B04AD4"/>
    <w:rsid w:val="00B04C37"/>
    <w:rsid w:val="00B050B8"/>
    <w:rsid w:val="00B0560C"/>
    <w:rsid w:val="00B05F18"/>
    <w:rsid w:val="00B06B01"/>
    <w:rsid w:val="00B06C31"/>
    <w:rsid w:val="00B07805"/>
    <w:rsid w:val="00B10587"/>
    <w:rsid w:val="00B10A8C"/>
    <w:rsid w:val="00B10F65"/>
    <w:rsid w:val="00B117B8"/>
    <w:rsid w:val="00B1193D"/>
    <w:rsid w:val="00B12328"/>
    <w:rsid w:val="00B12AAE"/>
    <w:rsid w:val="00B135EE"/>
    <w:rsid w:val="00B14501"/>
    <w:rsid w:val="00B15D6D"/>
    <w:rsid w:val="00B15E56"/>
    <w:rsid w:val="00B17D09"/>
    <w:rsid w:val="00B17D49"/>
    <w:rsid w:val="00B2080D"/>
    <w:rsid w:val="00B20D00"/>
    <w:rsid w:val="00B21E8F"/>
    <w:rsid w:val="00B24BB7"/>
    <w:rsid w:val="00B24D97"/>
    <w:rsid w:val="00B25411"/>
    <w:rsid w:val="00B2620B"/>
    <w:rsid w:val="00B2681F"/>
    <w:rsid w:val="00B26E3B"/>
    <w:rsid w:val="00B27AB3"/>
    <w:rsid w:val="00B307E2"/>
    <w:rsid w:val="00B30B36"/>
    <w:rsid w:val="00B30C4B"/>
    <w:rsid w:val="00B31100"/>
    <w:rsid w:val="00B31C99"/>
    <w:rsid w:val="00B32356"/>
    <w:rsid w:val="00B3370F"/>
    <w:rsid w:val="00B338C1"/>
    <w:rsid w:val="00B33AF5"/>
    <w:rsid w:val="00B33DEF"/>
    <w:rsid w:val="00B34000"/>
    <w:rsid w:val="00B35271"/>
    <w:rsid w:val="00B3530B"/>
    <w:rsid w:val="00B35B42"/>
    <w:rsid w:val="00B3612B"/>
    <w:rsid w:val="00B36256"/>
    <w:rsid w:val="00B36E6E"/>
    <w:rsid w:val="00B36E91"/>
    <w:rsid w:val="00B37E90"/>
    <w:rsid w:val="00B404D7"/>
    <w:rsid w:val="00B41A75"/>
    <w:rsid w:val="00B43BCA"/>
    <w:rsid w:val="00B43D80"/>
    <w:rsid w:val="00B43E64"/>
    <w:rsid w:val="00B46C7F"/>
    <w:rsid w:val="00B50049"/>
    <w:rsid w:val="00B5084C"/>
    <w:rsid w:val="00B51A9D"/>
    <w:rsid w:val="00B51D44"/>
    <w:rsid w:val="00B53237"/>
    <w:rsid w:val="00B5323B"/>
    <w:rsid w:val="00B5368E"/>
    <w:rsid w:val="00B55316"/>
    <w:rsid w:val="00B55996"/>
    <w:rsid w:val="00B55FD9"/>
    <w:rsid w:val="00B568FE"/>
    <w:rsid w:val="00B5707E"/>
    <w:rsid w:val="00B5725E"/>
    <w:rsid w:val="00B5761D"/>
    <w:rsid w:val="00B57B9B"/>
    <w:rsid w:val="00B57F60"/>
    <w:rsid w:val="00B603EE"/>
    <w:rsid w:val="00B61158"/>
    <w:rsid w:val="00B61B44"/>
    <w:rsid w:val="00B62E3B"/>
    <w:rsid w:val="00B63917"/>
    <w:rsid w:val="00B64BC4"/>
    <w:rsid w:val="00B65A50"/>
    <w:rsid w:val="00B666CC"/>
    <w:rsid w:val="00B671C7"/>
    <w:rsid w:val="00B6784B"/>
    <w:rsid w:val="00B679B8"/>
    <w:rsid w:val="00B679E8"/>
    <w:rsid w:val="00B67F3F"/>
    <w:rsid w:val="00B71AAC"/>
    <w:rsid w:val="00B71E5E"/>
    <w:rsid w:val="00B720D5"/>
    <w:rsid w:val="00B73764"/>
    <w:rsid w:val="00B74903"/>
    <w:rsid w:val="00B74B47"/>
    <w:rsid w:val="00B75862"/>
    <w:rsid w:val="00B758D7"/>
    <w:rsid w:val="00B7605F"/>
    <w:rsid w:val="00B76E90"/>
    <w:rsid w:val="00B76E92"/>
    <w:rsid w:val="00B80253"/>
    <w:rsid w:val="00B817E3"/>
    <w:rsid w:val="00B81919"/>
    <w:rsid w:val="00B826BC"/>
    <w:rsid w:val="00B8275B"/>
    <w:rsid w:val="00B82C46"/>
    <w:rsid w:val="00B83FFA"/>
    <w:rsid w:val="00B84699"/>
    <w:rsid w:val="00B84E33"/>
    <w:rsid w:val="00B85B1A"/>
    <w:rsid w:val="00B85FFE"/>
    <w:rsid w:val="00B863F4"/>
    <w:rsid w:val="00B90D2C"/>
    <w:rsid w:val="00B92343"/>
    <w:rsid w:val="00B92557"/>
    <w:rsid w:val="00B9267A"/>
    <w:rsid w:val="00B92D73"/>
    <w:rsid w:val="00B93115"/>
    <w:rsid w:val="00B933B4"/>
    <w:rsid w:val="00B9381F"/>
    <w:rsid w:val="00B93FDB"/>
    <w:rsid w:val="00B945ED"/>
    <w:rsid w:val="00B94B0C"/>
    <w:rsid w:val="00B9560F"/>
    <w:rsid w:val="00B95ACC"/>
    <w:rsid w:val="00B9634B"/>
    <w:rsid w:val="00B96548"/>
    <w:rsid w:val="00B96842"/>
    <w:rsid w:val="00B970EC"/>
    <w:rsid w:val="00BA04D2"/>
    <w:rsid w:val="00BA0555"/>
    <w:rsid w:val="00BA0622"/>
    <w:rsid w:val="00BA0A2E"/>
    <w:rsid w:val="00BA0D81"/>
    <w:rsid w:val="00BA1F5F"/>
    <w:rsid w:val="00BA23BD"/>
    <w:rsid w:val="00BA4B39"/>
    <w:rsid w:val="00BA5BF0"/>
    <w:rsid w:val="00BA6128"/>
    <w:rsid w:val="00BA6818"/>
    <w:rsid w:val="00BA6A3B"/>
    <w:rsid w:val="00BB07DB"/>
    <w:rsid w:val="00BB2C97"/>
    <w:rsid w:val="00BB31A1"/>
    <w:rsid w:val="00BB4AFC"/>
    <w:rsid w:val="00BB52E5"/>
    <w:rsid w:val="00BB6197"/>
    <w:rsid w:val="00BB6852"/>
    <w:rsid w:val="00BB7408"/>
    <w:rsid w:val="00BC105B"/>
    <w:rsid w:val="00BC1060"/>
    <w:rsid w:val="00BC2A2F"/>
    <w:rsid w:val="00BC32F7"/>
    <w:rsid w:val="00BC3468"/>
    <w:rsid w:val="00BC4E15"/>
    <w:rsid w:val="00BC592C"/>
    <w:rsid w:val="00BC5B61"/>
    <w:rsid w:val="00BC5F2A"/>
    <w:rsid w:val="00BC6102"/>
    <w:rsid w:val="00BC7667"/>
    <w:rsid w:val="00BD0320"/>
    <w:rsid w:val="00BD30D7"/>
    <w:rsid w:val="00BD3268"/>
    <w:rsid w:val="00BD3BA9"/>
    <w:rsid w:val="00BD44D4"/>
    <w:rsid w:val="00BD4566"/>
    <w:rsid w:val="00BD4937"/>
    <w:rsid w:val="00BD6667"/>
    <w:rsid w:val="00BD6F72"/>
    <w:rsid w:val="00BD72E2"/>
    <w:rsid w:val="00BE1DD2"/>
    <w:rsid w:val="00BE42F2"/>
    <w:rsid w:val="00BE6300"/>
    <w:rsid w:val="00BF1C6E"/>
    <w:rsid w:val="00BF2F21"/>
    <w:rsid w:val="00BF31E0"/>
    <w:rsid w:val="00BF3744"/>
    <w:rsid w:val="00BF4243"/>
    <w:rsid w:val="00BF62D8"/>
    <w:rsid w:val="00C01270"/>
    <w:rsid w:val="00C03CA7"/>
    <w:rsid w:val="00C04A93"/>
    <w:rsid w:val="00C06327"/>
    <w:rsid w:val="00C06A89"/>
    <w:rsid w:val="00C075B6"/>
    <w:rsid w:val="00C07C80"/>
    <w:rsid w:val="00C1073B"/>
    <w:rsid w:val="00C10CDE"/>
    <w:rsid w:val="00C116FF"/>
    <w:rsid w:val="00C1268D"/>
    <w:rsid w:val="00C139B6"/>
    <w:rsid w:val="00C142AC"/>
    <w:rsid w:val="00C1477F"/>
    <w:rsid w:val="00C14A7F"/>
    <w:rsid w:val="00C15834"/>
    <w:rsid w:val="00C15D23"/>
    <w:rsid w:val="00C16552"/>
    <w:rsid w:val="00C1680F"/>
    <w:rsid w:val="00C17017"/>
    <w:rsid w:val="00C17558"/>
    <w:rsid w:val="00C2052E"/>
    <w:rsid w:val="00C211C1"/>
    <w:rsid w:val="00C2279F"/>
    <w:rsid w:val="00C23110"/>
    <w:rsid w:val="00C2436E"/>
    <w:rsid w:val="00C243BA"/>
    <w:rsid w:val="00C25883"/>
    <w:rsid w:val="00C26C5B"/>
    <w:rsid w:val="00C27A1D"/>
    <w:rsid w:val="00C30430"/>
    <w:rsid w:val="00C305F2"/>
    <w:rsid w:val="00C32DD7"/>
    <w:rsid w:val="00C32FF5"/>
    <w:rsid w:val="00C3389F"/>
    <w:rsid w:val="00C348CE"/>
    <w:rsid w:val="00C34E14"/>
    <w:rsid w:val="00C35F2D"/>
    <w:rsid w:val="00C36C50"/>
    <w:rsid w:val="00C37BBB"/>
    <w:rsid w:val="00C40747"/>
    <w:rsid w:val="00C40B2F"/>
    <w:rsid w:val="00C41437"/>
    <w:rsid w:val="00C422A5"/>
    <w:rsid w:val="00C428FF"/>
    <w:rsid w:val="00C4313E"/>
    <w:rsid w:val="00C44A8F"/>
    <w:rsid w:val="00C44B72"/>
    <w:rsid w:val="00C44DB3"/>
    <w:rsid w:val="00C44FD6"/>
    <w:rsid w:val="00C45CC6"/>
    <w:rsid w:val="00C476FD"/>
    <w:rsid w:val="00C47A2E"/>
    <w:rsid w:val="00C50136"/>
    <w:rsid w:val="00C50426"/>
    <w:rsid w:val="00C509C1"/>
    <w:rsid w:val="00C51273"/>
    <w:rsid w:val="00C520F0"/>
    <w:rsid w:val="00C522CF"/>
    <w:rsid w:val="00C52BB8"/>
    <w:rsid w:val="00C54342"/>
    <w:rsid w:val="00C54C74"/>
    <w:rsid w:val="00C54F66"/>
    <w:rsid w:val="00C55DB7"/>
    <w:rsid w:val="00C57CCD"/>
    <w:rsid w:val="00C60A00"/>
    <w:rsid w:val="00C61C95"/>
    <w:rsid w:val="00C61F64"/>
    <w:rsid w:val="00C627F0"/>
    <w:rsid w:val="00C64AE6"/>
    <w:rsid w:val="00C64BF0"/>
    <w:rsid w:val="00C64E01"/>
    <w:rsid w:val="00C66DA0"/>
    <w:rsid w:val="00C70C6B"/>
    <w:rsid w:val="00C72C85"/>
    <w:rsid w:val="00C74B02"/>
    <w:rsid w:val="00C74F56"/>
    <w:rsid w:val="00C75A07"/>
    <w:rsid w:val="00C75FC4"/>
    <w:rsid w:val="00C80063"/>
    <w:rsid w:val="00C83965"/>
    <w:rsid w:val="00C846B4"/>
    <w:rsid w:val="00C84C56"/>
    <w:rsid w:val="00C85026"/>
    <w:rsid w:val="00C8773B"/>
    <w:rsid w:val="00C87839"/>
    <w:rsid w:val="00C87A63"/>
    <w:rsid w:val="00C90512"/>
    <w:rsid w:val="00C906DA"/>
    <w:rsid w:val="00C90FCB"/>
    <w:rsid w:val="00C92085"/>
    <w:rsid w:val="00C9208F"/>
    <w:rsid w:val="00C926A6"/>
    <w:rsid w:val="00C93527"/>
    <w:rsid w:val="00C93C00"/>
    <w:rsid w:val="00C94386"/>
    <w:rsid w:val="00C94761"/>
    <w:rsid w:val="00C94AF5"/>
    <w:rsid w:val="00C94B92"/>
    <w:rsid w:val="00C94F2D"/>
    <w:rsid w:val="00C95037"/>
    <w:rsid w:val="00C9619D"/>
    <w:rsid w:val="00C971FE"/>
    <w:rsid w:val="00C97D31"/>
    <w:rsid w:val="00CA00B0"/>
    <w:rsid w:val="00CA028D"/>
    <w:rsid w:val="00CA1BA1"/>
    <w:rsid w:val="00CA1CF8"/>
    <w:rsid w:val="00CA1DE1"/>
    <w:rsid w:val="00CA2AC7"/>
    <w:rsid w:val="00CA51EB"/>
    <w:rsid w:val="00CA53DF"/>
    <w:rsid w:val="00CA58E4"/>
    <w:rsid w:val="00CA5D66"/>
    <w:rsid w:val="00CA75DB"/>
    <w:rsid w:val="00CB07F3"/>
    <w:rsid w:val="00CB1C3D"/>
    <w:rsid w:val="00CB2345"/>
    <w:rsid w:val="00CB2A32"/>
    <w:rsid w:val="00CB2D20"/>
    <w:rsid w:val="00CB31A8"/>
    <w:rsid w:val="00CB3202"/>
    <w:rsid w:val="00CB3DF9"/>
    <w:rsid w:val="00CB3EBD"/>
    <w:rsid w:val="00CB54BF"/>
    <w:rsid w:val="00CB5F17"/>
    <w:rsid w:val="00CB61D9"/>
    <w:rsid w:val="00CB6CE6"/>
    <w:rsid w:val="00CB7378"/>
    <w:rsid w:val="00CC013F"/>
    <w:rsid w:val="00CC1FC2"/>
    <w:rsid w:val="00CC21DD"/>
    <w:rsid w:val="00CC278D"/>
    <w:rsid w:val="00CC2E03"/>
    <w:rsid w:val="00CC3B61"/>
    <w:rsid w:val="00CC5446"/>
    <w:rsid w:val="00CC56D0"/>
    <w:rsid w:val="00CC5B8C"/>
    <w:rsid w:val="00CC61B6"/>
    <w:rsid w:val="00CC6BE8"/>
    <w:rsid w:val="00CC7621"/>
    <w:rsid w:val="00CC7BC2"/>
    <w:rsid w:val="00CD029E"/>
    <w:rsid w:val="00CD0D9B"/>
    <w:rsid w:val="00CD0E2B"/>
    <w:rsid w:val="00CD0F09"/>
    <w:rsid w:val="00CD1E46"/>
    <w:rsid w:val="00CD27F3"/>
    <w:rsid w:val="00CD29D4"/>
    <w:rsid w:val="00CD2FD3"/>
    <w:rsid w:val="00CD31E1"/>
    <w:rsid w:val="00CD4441"/>
    <w:rsid w:val="00CD589C"/>
    <w:rsid w:val="00CD6013"/>
    <w:rsid w:val="00CD65C2"/>
    <w:rsid w:val="00CD7546"/>
    <w:rsid w:val="00CD7787"/>
    <w:rsid w:val="00CD7CD5"/>
    <w:rsid w:val="00CD7D43"/>
    <w:rsid w:val="00CE02F3"/>
    <w:rsid w:val="00CE082D"/>
    <w:rsid w:val="00CE188E"/>
    <w:rsid w:val="00CE3D10"/>
    <w:rsid w:val="00CE5C31"/>
    <w:rsid w:val="00CE6078"/>
    <w:rsid w:val="00CE62E9"/>
    <w:rsid w:val="00CE7084"/>
    <w:rsid w:val="00CF09EE"/>
    <w:rsid w:val="00CF122C"/>
    <w:rsid w:val="00CF2112"/>
    <w:rsid w:val="00CF3139"/>
    <w:rsid w:val="00D01088"/>
    <w:rsid w:val="00D0147D"/>
    <w:rsid w:val="00D0230B"/>
    <w:rsid w:val="00D02CC3"/>
    <w:rsid w:val="00D031E9"/>
    <w:rsid w:val="00D04B4D"/>
    <w:rsid w:val="00D05025"/>
    <w:rsid w:val="00D05466"/>
    <w:rsid w:val="00D05B42"/>
    <w:rsid w:val="00D05B49"/>
    <w:rsid w:val="00D07121"/>
    <w:rsid w:val="00D07817"/>
    <w:rsid w:val="00D10195"/>
    <w:rsid w:val="00D10D72"/>
    <w:rsid w:val="00D10FA5"/>
    <w:rsid w:val="00D112DA"/>
    <w:rsid w:val="00D11AB7"/>
    <w:rsid w:val="00D12482"/>
    <w:rsid w:val="00D129AC"/>
    <w:rsid w:val="00D132DD"/>
    <w:rsid w:val="00D132F8"/>
    <w:rsid w:val="00D1480F"/>
    <w:rsid w:val="00D14F9E"/>
    <w:rsid w:val="00D15064"/>
    <w:rsid w:val="00D17514"/>
    <w:rsid w:val="00D20A7B"/>
    <w:rsid w:val="00D20C11"/>
    <w:rsid w:val="00D21922"/>
    <w:rsid w:val="00D21DD2"/>
    <w:rsid w:val="00D22100"/>
    <w:rsid w:val="00D22808"/>
    <w:rsid w:val="00D238A0"/>
    <w:rsid w:val="00D24150"/>
    <w:rsid w:val="00D24428"/>
    <w:rsid w:val="00D24B49"/>
    <w:rsid w:val="00D251B0"/>
    <w:rsid w:val="00D2549E"/>
    <w:rsid w:val="00D25DAA"/>
    <w:rsid w:val="00D25FBA"/>
    <w:rsid w:val="00D261CD"/>
    <w:rsid w:val="00D273DF"/>
    <w:rsid w:val="00D27775"/>
    <w:rsid w:val="00D30310"/>
    <w:rsid w:val="00D305B3"/>
    <w:rsid w:val="00D311F0"/>
    <w:rsid w:val="00D31C9B"/>
    <w:rsid w:val="00D31FE8"/>
    <w:rsid w:val="00D321B5"/>
    <w:rsid w:val="00D3252A"/>
    <w:rsid w:val="00D3261A"/>
    <w:rsid w:val="00D34767"/>
    <w:rsid w:val="00D35403"/>
    <w:rsid w:val="00D35F1F"/>
    <w:rsid w:val="00D3625C"/>
    <w:rsid w:val="00D36FA1"/>
    <w:rsid w:val="00D4001D"/>
    <w:rsid w:val="00D4243C"/>
    <w:rsid w:val="00D42BEE"/>
    <w:rsid w:val="00D4324E"/>
    <w:rsid w:val="00D43A15"/>
    <w:rsid w:val="00D43C6D"/>
    <w:rsid w:val="00D45F7C"/>
    <w:rsid w:val="00D46212"/>
    <w:rsid w:val="00D466B3"/>
    <w:rsid w:val="00D469B3"/>
    <w:rsid w:val="00D47254"/>
    <w:rsid w:val="00D47554"/>
    <w:rsid w:val="00D51980"/>
    <w:rsid w:val="00D52BE9"/>
    <w:rsid w:val="00D5347E"/>
    <w:rsid w:val="00D54B00"/>
    <w:rsid w:val="00D55694"/>
    <w:rsid w:val="00D567D1"/>
    <w:rsid w:val="00D5687F"/>
    <w:rsid w:val="00D56F68"/>
    <w:rsid w:val="00D57187"/>
    <w:rsid w:val="00D57CE3"/>
    <w:rsid w:val="00D57DD7"/>
    <w:rsid w:val="00D6165F"/>
    <w:rsid w:val="00D61D37"/>
    <w:rsid w:val="00D62C10"/>
    <w:rsid w:val="00D632EB"/>
    <w:rsid w:val="00D63786"/>
    <w:rsid w:val="00D6396C"/>
    <w:rsid w:val="00D63C22"/>
    <w:rsid w:val="00D65ABB"/>
    <w:rsid w:val="00D66540"/>
    <w:rsid w:val="00D670CE"/>
    <w:rsid w:val="00D67835"/>
    <w:rsid w:val="00D678AE"/>
    <w:rsid w:val="00D704A4"/>
    <w:rsid w:val="00D7106A"/>
    <w:rsid w:val="00D71EA4"/>
    <w:rsid w:val="00D723D8"/>
    <w:rsid w:val="00D7394B"/>
    <w:rsid w:val="00D740C8"/>
    <w:rsid w:val="00D74372"/>
    <w:rsid w:val="00D75DEB"/>
    <w:rsid w:val="00D768E2"/>
    <w:rsid w:val="00D80E46"/>
    <w:rsid w:val="00D82004"/>
    <w:rsid w:val="00D8271B"/>
    <w:rsid w:val="00D8473E"/>
    <w:rsid w:val="00D85180"/>
    <w:rsid w:val="00D85696"/>
    <w:rsid w:val="00D85E2A"/>
    <w:rsid w:val="00D865EE"/>
    <w:rsid w:val="00D9023F"/>
    <w:rsid w:val="00D92BB1"/>
    <w:rsid w:val="00D92DCA"/>
    <w:rsid w:val="00D9305F"/>
    <w:rsid w:val="00D943EC"/>
    <w:rsid w:val="00D95653"/>
    <w:rsid w:val="00D964EB"/>
    <w:rsid w:val="00D9736C"/>
    <w:rsid w:val="00D97B39"/>
    <w:rsid w:val="00DA067D"/>
    <w:rsid w:val="00DA13F0"/>
    <w:rsid w:val="00DA1521"/>
    <w:rsid w:val="00DA1C7D"/>
    <w:rsid w:val="00DA2AD5"/>
    <w:rsid w:val="00DA382C"/>
    <w:rsid w:val="00DA3A56"/>
    <w:rsid w:val="00DA5FCF"/>
    <w:rsid w:val="00DA67A5"/>
    <w:rsid w:val="00DA72F3"/>
    <w:rsid w:val="00DA7C44"/>
    <w:rsid w:val="00DB0848"/>
    <w:rsid w:val="00DB09FB"/>
    <w:rsid w:val="00DB1362"/>
    <w:rsid w:val="00DB2683"/>
    <w:rsid w:val="00DB4502"/>
    <w:rsid w:val="00DB4D8D"/>
    <w:rsid w:val="00DB52FC"/>
    <w:rsid w:val="00DB59C4"/>
    <w:rsid w:val="00DB5C8E"/>
    <w:rsid w:val="00DB60EF"/>
    <w:rsid w:val="00DB6B49"/>
    <w:rsid w:val="00DB7A4D"/>
    <w:rsid w:val="00DB7B91"/>
    <w:rsid w:val="00DB7F31"/>
    <w:rsid w:val="00DC0021"/>
    <w:rsid w:val="00DC2C26"/>
    <w:rsid w:val="00DC3BB2"/>
    <w:rsid w:val="00DC4CF0"/>
    <w:rsid w:val="00DC5867"/>
    <w:rsid w:val="00DC5A34"/>
    <w:rsid w:val="00DC5CE0"/>
    <w:rsid w:val="00DC72D0"/>
    <w:rsid w:val="00DD1633"/>
    <w:rsid w:val="00DD1B73"/>
    <w:rsid w:val="00DD210A"/>
    <w:rsid w:val="00DD2306"/>
    <w:rsid w:val="00DD2F45"/>
    <w:rsid w:val="00DD3100"/>
    <w:rsid w:val="00DD3729"/>
    <w:rsid w:val="00DD3807"/>
    <w:rsid w:val="00DD3840"/>
    <w:rsid w:val="00DD3C56"/>
    <w:rsid w:val="00DD4A76"/>
    <w:rsid w:val="00DD53EB"/>
    <w:rsid w:val="00DD752B"/>
    <w:rsid w:val="00DD75B4"/>
    <w:rsid w:val="00DD7C05"/>
    <w:rsid w:val="00DD7C73"/>
    <w:rsid w:val="00DE055B"/>
    <w:rsid w:val="00DE137E"/>
    <w:rsid w:val="00DE21DC"/>
    <w:rsid w:val="00DE2D66"/>
    <w:rsid w:val="00DE2DAF"/>
    <w:rsid w:val="00DE2E65"/>
    <w:rsid w:val="00DE32B0"/>
    <w:rsid w:val="00DE32D5"/>
    <w:rsid w:val="00DE38A1"/>
    <w:rsid w:val="00DE5024"/>
    <w:rsid w:val="00DE592A"/>
    <w:rsid w:val="00DE7831"/>
    <w:rsid w:val="00DF255B"/>
    <w:rsid w:val="00DF29D6"/>
    <w:rsid w:val="00DF2B76"/>
    <w:rsid w:val="00DF3336"/>
    <w:rsid w:val="00DF4CDD"/>
    <w:rsid w:val="00DF526E"/>
    <w:rsid w:val="00DF55C3"/>
    <w:rsid w:val="00DF5DED"/>
    <w:rsid w:val="00DF65F2"/>
    <w:rsid w:val="00DF67EE"/>
    <w:rsid w:val="00DF727D"/>
    <w:rsid w:val="00DF779E"/>
    <w:rsid w:val="00DF79E3"/>
    <w:rsid w:val="00E0098A"/>
    <w:rsid w:val="00E012E9"/>
    <w:rsid w:val="00E0144D"/>
    <w:rsid w:val="00E030AB"/>
    <w:rsid w:val="00E05452"/>
    <w:rsid w:val="00E05B37"/>
    <w:rsid w:val="00E05FC5"/>
    <w:rsid w:val="00E0718E"/>
    <w:rsid w:val="00E071AC"/>
    <w:rsid w:val="00E07F96"/>
    <w:rsid w:val="00E11B55"/>
    <w:rsid w:val="00E12186"/>
    <w:rsid w:val="00E12AB3"/>
    <w:rsid w:val="00E1471E"/>
    <w:rsid w:val="00E14A9E"/>
    <w:rsid w:val="00E14DF4"/>
    <w:rsid w:val="00E16C66"/>
    <w:rsid w:val="00E178D1"/>
    <w:rsid w:val="00E20D6C"/>
    <w:rsid w:val="00E21DD8"/>
    <w:rsid w:val="00E22485"/>
    <w:rsid w:val="00E224E1"/>
    <w:rsid w:val="00E23C29"/>
    <w:rsid w:val="00E2458A"/>
    <w:rsid w:val="00E24BF5"/>
    <w:rsid w:val="00E24CA3"/>
    <w:rsid w:val="00E255E1"/>
    <w:rsid w:val="00E27987"/>
    <w:rsid w:val="00E30D23"/>
    <w:rsid w:val="00E31168"/>
    <w:rsid w:val="00E315FB"/>
    <w:rsid w:val="00E32B0A"/>
    <w:rsid w:val="00E33363"/>
    <w:rsid w:val="00E3393F"/>
    <w:rsid w:val="00E34426"/>
    <w:rsid w:val="00E35280"/>
    <w:rsid w:val="00E3551C"/>
    <w:rsid w:val="00E37B9B"/>
    <w:rsid w:val="00E40FC9"/>
    <w:rsid w:val="00E4128F"/>
    <w:rsid w:val="00E41513"/>
    <w:rsid w:val="00E42A2A"/>
    <w:rsid w:val="00E42CC9"/>
    <w:rsid w:val="00E458FC"/>
    <w:rsid w:val="00E45E32"/>
    <w:rsid w:val="00E46029"/>
    <w:rsid w:val="00E46039"/>
    <w:rsid w:val="00E46B0E"/>
    <w:rsid w:val="00E5020A"/>
    <w:rsid w:val="00E50D8C"/>
    <w:rsid w:val="00E511D8"/>
    <w:rsid w:val="00E511E2"/>
    <w:rsid w:val="00E51C0B"/>
    <w:rsid w:val="00E52804"/>
    <w:rsid w:val="00E533BC"/>
    <w:rsid w:val="00E53952"/>
    <w:rsid w:val="00E539FA"/>
    <w:rsid w:val="00E553B2"/>
    <w:rsid w:val="00E55A56"/>
    <w:rsid w:val="00E56BD4"/>
    <w:rsid w:val="00E605F2"/>
    <w:rsid w:val="00E60BDE"/>
    <w:rsid w:val="00E6206B"/>
    <w:rsid w:val="00E6498C"/>
    <w:rsid w:val="00E64C69"/>
    <w:rsid w:val="00E659F4"/>
    <w:rsid w:val="00E6606A"/>
    <w:rsid w:val="00E66188"/>
    <w:rsid w:val="00E66F8C"/>
    <w:rsid w:val="00E67387"/>
    <w:rsid w:val="00E7031E"/>
    <w:rsid w:val="00E706F6"/>
    <w:rsid w:val="00E70BE3"/>
    <w:rsid w:val="00E718E9"/>
    <w:rsid w:val="00E722CE"/>
    <w:rsid w:val="00E725C0"/>
    <w:rsid w:val="00E72635"/>
    <w:rsid w:val="00E72BB0"/>
    <w:rsid w:val="00E739DB"/>
    <w:rsid w:val="00E7495B"/>
    <w:rsid w:val="00E76A61"/>
    <w:rsid w:val="00E77C59"/>
    <w:rsid w:val="00E8005F"/>
    <w:rsid w:val="00E8020C"/>
    <w:rsid w:val="00E80738"/>
    <w:rsid w:val="00E808C0"/>
    <w:rsid w:val="00E80BB6"/>
    <w:rsid w:val="00E8102E"/>
    <w:rsid w:val="00E81337"/>
    <w:rsid w:val="00E814B9"/>
    <w:rsid w:val="00E820FE"/>
    <w:rsid w:val="00E8218D"/>
    <w:rsid w:val="00E83A3D"/>
    <w:rsid w:val="00E845F0"/>
    <w:rsid w:val="00E84FBE"/>
    <w:rsid w:val="00E86AE7"/>
    <w:rsid w:val="00E86B4B"/>
    <w:rsid w:val="00E86CA4"/>
    <w:rsid w:val="00E8763A"/>
    <w:rsid w:val="00E9015E"/>
    <w:rsid w:val="00E905BB"/>
    <w:rsid w:val="00E908A3"/>
    <w:rsid w:val="00E91392"/>
    <w:rsid w:val="00E91A3B"/>
    <w:rsid w:val="00E931A1"/>
    <w:rsid w:val="00E93226"/>
    <w:rsid w:val="00E93356"/>
    <w:rsid w:val="00E9371D"/>
    <w:rsid w:val="00E93915"/>
    <w:rsid w:val="00E9633A"/>
    <w:rsid w:val="00E96E01"/>
    <w:rsid w:val="00EA02A9"/>
    <w:rsid w:val="00EA0700"/>
    <w:rsid w:val="00EA1C9E"/>
    <w:rsid w:val="00EA1F0C"/>
    <w:rsid w:val="00EA1F0D"/>
    <w:rsid w:val="00EA20DB"/>
    <w:rsid w:val="00EA4CC3"/>
    <w:rsid w:val="00EA53C7"/>
    <w:rsid w:val="00EA55FB"/>
    <w:rsid w:val="00EA5880"/>
    <w:rsid w:val="00EA58AF"/>
    <w:rsid w:val="00EA592C"/>
    <w:rsid w:val="00EA6E56"/>
    <w:rsid w:val="00EA712D"/>
    <w:rsid w:val="00EB05E2"/>
    <w:rsid w:val="00EB1AC4"/>
    <w:rsid w:val="00EB214F"/>
    <w:rsid w:val="00EB41B2"/>
    <w:rsid w:val="00EB4B2B"/>
    <w:rsid w:val="00EB6FC8"/>
    <w:rsid w:val="00EB70F5"/>
    <w:rsid w:val="00EB714A"/>
    <w:rsid w:val="00EB77E8"/>
    <w:rsid w:val="00EB7985"/>
    <w:rsid w:val="00EC0338"/>
    <w:rsid w:val="00EC0A1D"/>
    <w:rsid w:val="00EC24B5"/>
    <w:rsid w:val="00EC2595"/>
    <w:rsid w:val="00EC277D"/>
    <w:rsid w:val="00EC2780"/>
    <w:rsid w:val="00EC2846"/>
    <w:rsid w:val="00EC328D"/>
    <w:rsid w:val="00EC44B6"/>
    <w:rsid w:val="00EC4D35"/>
    <w:rsid w:val="00EC5846"/>
    <w:rsid w:val="00EC6418"/>
    <w:rsid w:val="00EC70E0"/>
    <w:rsid w:val="00EC728F"/>
    <w:rsid w:val="00ED026F"/>
    <w:rsid w:val="00ED113A"/>
    <w:rsid w:val="00ED1529"/>
    <w:rsid w:val="00ED2DDC"/>
    <w:rsid w:val="00ED3DB0"/>
    <w:rsid w:val="00ED3EAE"/>
    <w:rsid w:val="00ED4762"/>
    <w:rsid w:val="00ED4F13"/>
    <w:rsid w:val="00ED61FC"/>
    <w:rsid w:val="00ED66F6"/>
    <w:rsid w:val="00ED788E"/>
    <w:rsid w:val="00ED78BA"/>
    <w:rsid w:val="00ED7965"/>
    <w:rsid w:val="00EE01F3"/>
    <w:rsid w:val="00EE10D6"/>
    <w:rsid w:val="00EE117E"/>
    <w:rsid w:val="00EE1186"/>
    <w:rsid w:val="00EE4B17"/>
    <w:rsid w:val="00EE4E02"/>
    <w:rsid w:val="00EE50F0"/>
    <w:rsid w:val="00EE5ABA"/>
    <w:rsid w:val="00EE5B94"/>
    <w:rsid w:val="00EE7045"/>
    <w:rsid w:val="00EE76D0"/>
    <w:rsid w:val="00EE7771"/>
    <w:rsid w:val="00EF051E"/>
    <w:rsid w:val="00EF0933"/>
    <w:rsid w:val="00EF1C27"/>
    <w:rsid w:val="00EF1FBD"/>
    <w:rsid w:val="00EF3C22"/>
    <w:rsid w:val="00EF532E"/>
    <w:rsid w:val="00EF56CC"/>
    <w:rsid w:val="00EF57F5"/>
    <w:rsid w:val="00EF6728"/>
    <w:rsid w:val="00EF6F2D"/>
    <w:rsid w:val="00EF78C4"/>
    <w:rsid w:val="00F0214F"/>
    <w:rsid w:val="00F02AB6"/>
    <w:rsid w:val="00F0328F"/>
    <w:rsid w:val="00F04DA2"/>
    <w:rsid w:val="00F06BF8"/>
    <w:rsid w:val="00F06DBC"/>
    <w:rsid w:val="00F07847"/>
    <w:rsid w:val="00F07BE6"/>
    <w:rsid w:val="00F07FEC"/>
    <w:rsid w:val="00F10413"/>
    <w:rsid w:val="00F10BD2"/>
    <w:rsid w:val="00F11C3F"/>
    <w:rsid w:val="00F13969"/>
    <w:rsid w:val="00F13DC9"/>
    <w:rsid w:val="00F15229"/>
    <w:rsid w:val="00F15E71"/>
    <w:rsid w:val="00F17171"/>
    <w:rsid w:val="00F202E4"/>
    <w:rsid w:val="00F20806"/>
    <w:rsid w:val="00F21B3A"/>
    <w:rsid w:val="00F223BF"/>
    <w:rsid w:val="00F22FA9"/>
    <w:rsid w:val="00F24317"/>
    <w:rsid w:val="00F245F4"/>
    <w:rsid w:val="00F2462C"/>
    <w:rsid w:val="00F24691"/>
    <w:rsid w:val="00F254F5"/>
    <w:rsid w:val="00F25847"/>
    <w:rsid w:val="00F25CC8"/>
    <w:rsid w:val="00F27E74"/>
    <w:rsid w:val="00F30222"/>
    <w:rsid w:val="00F309FD"/>
    <w:rsid w:val="00F30D1A"/>
    <w:rsid w:val="00F31607"/>
    <w:rsid w:val="00F328F2"/>
    <w:rsid w:val="00F33406"/>
    <w:rsid w:val="00F33830"/>
    <w:rsid w:val="00F33B73"/>
    <w:rsid w:val="00F33BB1"/>
    <w:rsid w:val="00F342C3"/>
    <w:rsid w:val="00F342F0"/>
    <w:rsid w:val="00F353FE"/>
    <w:rsid w:val="00F366B3"/>
    <w:rsid w:val="00F37C99"/>
    <w:rsid w:val="00F41EE8"/>
    <w:rsid w:val="00F4268E"/>
    <w:rsid w:val="00F4384B"/>
    <w:rsid w:val="00F4502C"/>
    <w:rsid w:val="00F45DA3"/>
    <w:rsid w:val="00F45DC8"/>
    <w:rsid w:val="00F46197"/>
    <w:rsid w:val="00F46265"/>
    <w:rsid w:val="00F46872"/>
    <w:rsid w:val="00F501C2"/>
    <w:rsid w:val="00F514E3"/>
    <w:rsid w:val="00F51539"/>
    <w:rsid w:val="00F52B15"/>
    <w:rsid w:val="00F52BC7"/>
    <w:rsid w:val="00F52EB7"/>
    <w:rsid w:val="00F5435D"/>
    <w:rsid w:val="00F545DB"/>
    <w:rsid w:val="00F552D5"/>
    <w:rsid w:val="00F56368"/>
    <w:rsid w:val="00F563B2"/>
    <w:rsid w:val="00F57BDA"/>
    <w:rsid w:val="00F60C8E"/>
    <w:rsid w:val="00F61270"/>
    <w:rsid w:val="00F617CC"/>
    <w:rsid w:val="00F61DD7"/>
    <w:rsid w:val="00F62ACF"/>
    <w:rsid w:val="00F63B02"/>
    <w:rsid w:val="00F63BE1"/>
    <w:rsid w:val="00F63F3C"/>
    <w:rsid w:val="00F6421C"/>
    <w:rsid w:val="00F65EBC"/>
    <w:rsid w:val="00F66D1A"/>
    <w:rsid w:val="00F66EB8"/>
    <w:rsid w:val="00F67464"/>
    <w:rsid w:val="00F677BB"/>
    <w:rsid w:val="00F70456"/>
    <w:rsid w:val="00F7100C"/>
    <w:rsid w:val="00F72092"/>
    <w:rsid w:val="00F7269F"/>
    <w:rsid w:val="00F72CB3"/>
    <w:rsid w:val="00F74135"/>
    <w:rsid w:val="00F75E5F"/>
    <w:rsid w:val="00F75F30"/>
    <w:rsid w:val="00F762AB"/>
    <w:rsid w:val="00F76729"/>
    <w:rsid w:val="00F776D7"/>
    <w:rsid w:val="00F77D6E"/>
    <w:rsid w:val="00F8099C"/>
    <w:rsid w:val="00F828A7"/>
    <w:rsid w:val="00F828BE"/>
    <w:rsid w:val="00F83048"/>
    <w:rsid w:val="00F83FD8"/>
    <w:rsid w:val="00F8424E"/>
    <w:rsid w:val="00F84FB1"/>
    <w:rsid w:val="00F8647E"/>
    <w:rsid w:val="00F865AD"/>
    <w:rsid w:val="00F8762E"/>
    <w:rsid w:val="00F9203C"/>
    <w:rsid w:val="00F920A2"/>
    <w:rsid w:val="00F92972"/>
    <w:rsid w:val="00F92A71"/>
    <w:rsid w:val="00F935BD"/>
    <w:rsid w:val="00F95A5C"/>
    <w:rsid w:val="00F95C04"/>
    <w:rsid w:val="00F96ACC"/>
    <w:rsid w:val="00F972B7"/>
    <w:rsid w:val="00FA1CCD"/>
    <w:rsid w:val="00FA29A6"/>
    <w:rsid w:val="00FA2A69"/>
    <w:rsid w:val="00FA3560"/>
    <w:rsid w:val="00FA3B6B"/>
    <w:rsid w:val="00FA4653"/>
    <w:rsid w:val="00FA4ECA"/>
    <w:rsid w:val="00FA4FC4"/>
    <w:rsid w:val="00FA52E4"/>
    <w:rsid w:val="00FA5D21"/>
    <w:rsid w:val="00FA62DF"/>
    <w:rsid w:val="00FA797B"/>
    <w:rsid w:val="00FB08AC"/>
    <w:rsid w:val="00FB0910"/>
    <w:rsid w:val="00FB0C6F"/>
    <w:rsid w:val="00FB37F8"/>
    <w:rsid w:val="00FB3A92"/>
    <w:rsid w:val="00FB3D3B"/>
    <w:rsid w:val="00FB4297"/>
    <w:rsid w:val="00FB45DD"/>
    <w:rsid w:val="00FB4B8D"/>
    <w:rsid w:val="00FB5182"/>
    <w:rsid w:val="00FB6292"/>
    <w:rsid w:val="00FB63E3"/>
    <w:rsid w:val="00FB70F8"/>
    <w:rsid w:val="00FB7B09"/>
    <w:rsid w:val="00FB7B91"/>
    <w:rsid w:val="00FB7EC4"/>
    <w:rsid w:val="00FC0265"/>
    <w:rsid w:val="00FC164B"/>
    <w:rsid w:val="00FC2A1F"/>
    <w:rsid w:val="00FC3C19"/>
    <w:rsid w:val="00FC43BB"/>
    <w:rsid w:val="00FC45E5"/>
    <w:rsid w:val="00FC537D"/>
    <w:rsid w:val="00FC56B5"/>
    <w:rsid w:val="00FC589B"/>
    <w:rsid w:val="00FC6101"/>
    <w:rsid w:val="00FC6F66"/>
    <w:rsid w:val="00FC73E4"/>
    <w:rsid w:val="00FD0B73"/>
    <w:rsid w:val="00FD3246"/>
    <w:rsid w:val="00FD3771"/>
    <w:rsid w:val="00FD41B3"/>
    <w:rsid w:val="00FD55F9"/>
    <w:rsid w:val="00FD5B0D"/>
    <w:rsid w:val="00FD771F"/>
    <w:rsid w:val="00FD791D"/>
    <w:rsid w:val="00FD7953"/>
    <w:rsid w:val="00FE0841"/>
    <w:rsid w:val="00FE122F"/>
    <w:rsid w:val="00FE196C"/>
    <w:rsid w:val="00FE2197"/>
    <w:rsid w:val="00FE26AF"/>
    <w:rsid w:val="00FE2922"/>
    <w:rsid w:val="00FE3740"/>
    <w:rsid w:val="00FE4BAF"/>
    <w:rsid w:val="00FE536B"/>
    <w:rsid w:val="00FE5941"/>
    <w:rsid w:val="00FE743F"/>
    <w:rsid w:val="00FE7E35"/>
    <w:rsid w:val="00FE7F57"/>
    <w:rsid w:val="00FF1D1D"/>
    <w:rsid w:val="00FF3C41"/>
    <w:rsid w:val="00FF441E"/>
    <w:rsid w:val="00FF4760"/>
    <w:rsid w:val="00FF4C06"/>
    <w:rsid w:val="00FF4D48"/>
    <w:rsid w:val="00FF4E41"/>
    <w:rsid w:val="00FF50EE"/>
    <w:rsid w:val="00FF519B"/>
    <w:rsid w:val="00FF67FA"/>
    <w:rsid w:val="00FF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4:docId w14:val="2D08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255C"/>
    <w:pPr>
      <w:spacing w:after="200" w:line="276" w:lineRule="auto"/>
    </w:pPr>
  </w:style>
  <w:style w:type="paragraph" w:styleId="Heading1">
    <w:name w:val="heading 1"/>
    <w:basedOn w:val="Normal"/>
    <w:next w:val="Normal"/>
    <w:link w:val="Heading1Char"/>
    <w:uiPriority w:val="99"/>
    <w:qFormat/>
    <w:rsid w:val="002A1CF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CFB"/>
    <w:rPr>
      <w:rFonts w:ascii="Cambria" w:hAnsi="Cambria" w:cs="Times New Roman"/>
      <w:b/>
      <w:bCs/>
      <w:color w:val="365F91"/>
      <w:sz w:val="28"/>
      <w:szCs w:val="28"/>
    </w:rPr>
  </w:style>
  <w:style w:type="paragraph" w:styleId="FootnoteText">
    <w:name w:val="footnote text"/>
    <w:basedOn w:val="Normal"/>
    <w:link w:val="FootnoteTextChar"/>
    <w:uiPriority w:val="99"/>
    <w:semiHidden/>
    <w:rsid w:val="00A228D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28D9"/>
    <w:rPr>
      <w:rFonts w:cs="Times New Roman"/>
      <w:sz w:val="20"/>
      <w:szCs w:val="20"/>
    </w:rPr>
  </w:style>
  <w:style w:type="character" w:styleId="FootnoteReference">
    <w:name w:val="footnote reference"/>
    <w:basedOn w:val="DefaultParagraphFont"/>
    <w:uiPriority w:val="99"/>
    <w:semiHidden/>
    <w:rsid w:val="00A228D9"/>
    <w:rPr>
      <w:rFonts w:cs="Times New Roman"/>
      <w:vertAlign w:val="superscript"/>
    </w:rPr>
  </w:style>
  <w:style w:type="character" w:styleId="Hyperlink">
    <w:name w:val="Hyperlink"/>
    <w:basedOn w:val="DefaultParagraphFont"/>
    <w:uiPriority w:val="99"/>
    <w:rsid w:val="00A228D9"/>
    <w:rPr>
      <w:rFonts w:cs="Times New Roman"/>
      <w:color w:val="0000FF"/>
      <w:u w:val="single"/>
    </w:rPr>
  </w:style>
  <w:style w:type="paragraph" w:styleId="ListParagraph">
    <w:name w:val="List Paragraph"/>
    <w:basedOn w:val="Normal"/>
    <w:uiPriority w:val="99"/>
    <w:qFormat/>
    <w:rsid w:val="00A22FC9"/>
    <w:pPr>
      <w:widowControl w:val="0"/>
      <w:spacing w:before="20" w:after="0" w:line="240" w:lineRule="auto"/>
      <w:ind w:left="720"/>
      <w:contextualSpacing/>
    </w:pPr>
    <w:rPr>
      <w:rFonts w:ascii="Bliss" w:hAnsi="Bliss"/>
      <w:sz w:val="24"/>
      <w:szCs w:val="20"/>
    </w:rPr>
  </w:style>
  <w:style w:type="character" w:styleId="CommentReference">
    <w:name w:val="annotation reference"/>
    <w:basedOn w:val="DefaultParagraphFont"/>
    <w:uiPriority w:val="99"/>
    <w:semiHidden/>
    <w:rsid w:val="00D85180"/>
    <w:rPr>
      <w:rFonts w:cs="Times New Roman"/>
      <w:sz w:val="16"/>
      <w:szCs w:val="16"/>
    </w:rPr>
  </w:style>
  <w:style w:type="paragraph" w:styleId="CommentText">
    <w:name w:val="annotation text"/>
    <w:basedOn w:val="Normal"/>
    <w:link w:val="CommentTextChar"/>
    <w:uiPriority w:val="99"/>
    <w:semiHidden/>
    <w:rsid w:val="00D851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5180"/>
    <w:rPr>
      <w:rFonts w:cs="Times New Roman"/>
      <w:sz w:val="20"/>
      <w:szCs w:val="20"/>
    </w:rPr>
  </w:style>
  <w:style w:type="paragraph" w:styleId="CommentSubject">
    <w:name w:val="annotation subject"/>
    <w:basedOn w:val="CommentText"/>
    <w:next w:val="CommentText"/>
    <w:link w:val="CommentSubjectChar"/>
    <w:uiPriority w:val="99"/>
    <w:semiHidden/>
    <w:rsid w:val="00D85180"/>
    <w:rPr>
      <w:b/>
      <w:bCs/>
    </w:rPr>
  </w:style>
  <w:style w:type="character" w:customStyle="1" w:styleId="CommentSubjectChar">
    <w:name w:val="Comment Subject Char"/>
    <w:basedOn w:val="CommentTextChar"/>
    <w:link w:val="CommentSubject"/>
    <w:uiPriority w:val="99"/>
    <w:semiHidden/>
    <w:locked/>
    <w:rsid w:val="00D85180"/>
    <w:rPr>
      <w:rFonts w:cs="Times New Roman"/>
      <w:b/>
      <w:bCs/>
      <w:sz w:val="20"/>
      <w:szCs w:val="20"/>
    </w:rPr>
  </w:style>
  <w:style w:type="paragraph" w:styleId="BalloonText">
    <w:name w:val="Balloon Text"/>
    <w:basedOn w:val="Normal"/>
    <w:link w:val="BalloonTextChar"/>
    <w:uiPriority w:val="99"/>
    <w:semiHidden/>
    <w:rsid w:val="00D8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180"/>
    <w:rPr>
      <w:rFonts w:ascii="Tahoma" w:hAnsi="Tahoma" w:cs="Tahoma"/>
      <w:sz w:val="16"/>
      <w:szCs w:val="16"/>
    </w:rPr>
  </w:style>
  <w:style w:type="paragraph" w:styleId="Header">
    <w:name w:val="header"/>
    <w:basedOn w:val="Normal"/>
    <w:link w:val="HeaderChar"/>
    <w:uiPriority w:val="99"/>
    <w:rsid w:val="006D18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D18E1"/>
    <w:rPr>
      <w:rFonts w:cs="Times New Roman"/>
    </w:rPr>
  </w:style>
  <w:style w:type="paragraph" w:styleId="Footer">
    <w:name w:val="footer"/>
    <w:basedOn w:val="Normal"/>
    <w:link w:val="FooterChar"/>
    <w:uiPriority w:val="99"/>
    <w:rsid w:val="006D18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D18E1"/>
    <w:rPr>
      <w:rFonts w:cs="Times New Roman"/>
    </w:rPr>
  </w:style>
  <w:style w:type="paragraph" w:customStyle="1" w:styleId="CoverDocumentTitle">
    <w:name w:val="Cover Document Title"/>
    <w:basedOn w:val="Normal"/>
    <w:uiPriority w:val="99"/>
    <w:rsid w:val="005C47A1"/>
    <w:pPr>
      <w:spacing w:after="360" w:line="240" w:lineRule="auto"/>
    </w:pPr>
    <w:rPr>
      <w:rFonts w:ascii="Arial" w:hAnsi="Arial"/>
      <w:sz w:val="56"/>
      <w:szCs w:val="24"/>
    </w:rPr>
  </w:style>
  <w:style w:type="paragraph" w:customStyle="1" w:styleId="CoverDate">
    <w:name w:val="Cover Date"/>
    <w:basedOn w:val="Normal"/>
    <w:uiPriority w:val="99"/>
    <w:rsid w:val="005C47A1"/>
    <w:pPr>
      <w:spacing w:before="120" w:after="0" w:line="240" w:lineRule="auto"/>
    </w:pPr>
    <w:rPr>
      <w:rFonts w:ascii="Arial" w:hAnsi="Arial"/>
      <w:sz w:val="24"/>
      <w:szCs w:val="24"/>
    </w:rPr>
  </w:style>
  <w:style w:type="paragraph" w:styleId="TOCHeading">
    <w:name w:val="TOC Heading"/>
    <w:basedOn w:val="Heading1"/>
    <w:next w:val="Normal"/>
    <w:uiPriority w:val="99"/>
    <w:qFormat/>
    <w:rsid w:val="002A1CFB"/>
    <w:pPr>
      <w:outlineLvl w:val="9"/>
    </w:pPr>
    <w:rPr>
      <w:lang w:val="en-US" w:eastAsia="ja-JP"/>
    </w:rPr>
  </w:style>
  <w:style w:type="paragraph" w:styleId="TOC1">
    <w:name w:val="toc 1"/>
    <w:basedOn w:val="Normal"/>
    <w:next w:val="Normal"/>
    <w:autoRedefine/>
    <w:uiPriority w:val="99"/>
    <w:rsid w:val="002A1CFB"/>
    <w:pPr>
      <w:spacing w:after="100"/>
    </w:pPr>
  </w:style>
  <w:style w:type="paragraph" w:customStyle="1" w:styleId="Address">
    <w:name w:val="Address"/>
    <w:basedOn w:val="Normal"/>
    <w:uiPriority w:val="99"/>
    <w:rsid w:val="00983B09"/>
    <w:pPr>
      <w:spacing w:after="60" w:line="240" w:lineRule="auto"/>
    </w:pPr>
    <w:rPr>
      <w:rFonts w:ascii="Arial" w:hAnsi="Arial"/>
      <w:szCs w:val="24"/>
    </w:rPr>
  </w:style>
  <w:style w:type="paragraph" w:customStyle="1" w:styleId="WebAddress">
    <w:name w:val="Web Address"/>
    <w:basedOn w:val="Address"/>
    <w:uiPriority w:val="99"/>
    <w:rsid w:val="00983B09"/>
    <w:rPr>
      <w:b/>
    </w:rPr>
  </w:style>
  <w:style w:type="paragraph" w:customStyle="1" w:styleId="Default">
    <w:name w:val="Default"/>
    <w:uiPriority w:val="99"/>
    <w:rsid w:val="00622D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7740">
      <w:marLeft w:val="0"/>
      <w:marRight w:val="0"/>
      <w:marTop w:val="0"/>
      <w:marBottom w:val="0"/>
      <w:divBdr>
        <w:top w:val="none" w:sz="0" w:space="0" w:color="auto"/>
        <w:left w:val="none" w:sz="0" w:space="0" w:color="auto"/>
        <w:bottom w:val="none" w:sz="0" w:space="0" w:color="auto"/>
        <w:right w:val="none" w:sz="0" w:space="0" w:color="auto"/>
      </w:divBdr>
    </w:div>
    <w:div w:id="2124617741">
      <w:marLeft w:val="0"/>
      <w:marRight w:val="0"/>
      <w:marTop w:val="0"/>
      <w:marBottom w:val="0"/>
      <w:divBdr>
        <w:top w:val="none" w:sz="0" w:space="0" w:color="auto"/>
        <w:left w:val="none" w:sz="0" w:space="0" w:color="auto"/>
        <w:bottom w:val="none" w:sz="0" w:space="0" w:color="auto"/>
        <w:right w:val="none" w:sz="0" w:space="0" w:color="auto"/>
      </w:divBdr>
    </w:div>
    <w:div w:id="2124617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ulture.gov.uk/consultations/944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The Government Response to the public consultation on the draft Legal Deposit Libraries (Non-print works) Regulations 2013.</vt:lpstr>
    </vt:vector>
  </TitlesOfParts>
  <Company>DCMS</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Response to the public consultation on the draft Legal Deposit Libraries (Non-print works) Regulations 2013.</dc:title>
  <dc:creator>DCMS</dc:creator>
  <cp:keywords>Legal deposit, publishers, libraries, archive</cp:keywords>
  <cp:lastModifiedBy>BARRETT KATHRYN</cp:lastModifiedBy>
  <cp:revision>2</cp:revision>
  <cp:lastPrinted>2012-10-09T13:53:00Z</cp:lastPrinted>
  <dcterms:created xsi:type="dcterms:W3CDTF">2013-02-20T16:15:00Z</dcterms:created>
  <dcterms:modified xsi:type="dcterms:W3CDTF">2013-02-20T16:15:00Z</dcterms:modified>
</cp:coreProperties>
</file>