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8" Type="http://schemas.openxmlformats.org/officeDocument/2006/relationships/custom-properties" Target="docProps/custom.xml"/><Relationship Id="rId7" Type="http://schemas.openxmlformats.org/officeDocument/2006/relationships/extended-properties" Target="docProps/app.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package/2006/relationships/metadata/core-properties" Target="docProps/core.xml"/><Relationship Id="rId5" Type="http://schemas.microsoft.com/office/2007/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ABD9F" w14:textId="2C32D497" w:rsidR="00985933" w:rsidRPr="00985933" w:rsidRDefault="00985933" w:rsidP="00985933">
      <w:r w:rsidRPr="00985933">
        <w:rPr>
          <w:noProof/>
        </w:rPr>
        <w:drawing>
          <wp:inline distT="0" distB="0" distL="0" distR="0" wp14:anchorId="0004E345" wp14:editId="7615BD77">
            <wp:extent cx="3419475" cy="359623"/>
            <wp:effectExtent l="0" t="0" r="0" b="254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r w:rsidR="00707C53">
        <w:br/>
      </w:r>
    </w:p>
    <w:p w14:paraId="49993D6D" w14:textId="77777777" w:rsidR="00985933" w:rsidRPr="00985933" w:rsidRDefault="00985933" w:rsidP="00985933"/>
    <w:tbl>
      <w:tblPr>
        <w:tblW w:w="0" w:type="auto"/>
        <w:tblBorders>
          <w:top w:val="single" w:sz="4" w:space="0" w:color="auto"/>
          <w:bottom w:val="single" w:sz="4" w:space="0" w:color="auto"/>
        </w:tblBorders>
        <w:tblLayout w:type="fixed"/>
        <w:tblLook w:val="0000" w:firstRow="0" w:lastRow="0" w:firstColumn="0" w:lastColumn="0" w:noHBand="0" w:noVBand="0"/>
      </w:tblPr>
      <w:tblGrid>
        <w:gridCol w:w="9356"/>
      </w:tblGrid>
      <w:tr w:rsidR="00985933" w:rsidRPr="00502395" w14:paraId="36A44287" w14:textId="77777777" w:rsidTr="00214CD4">
        <w:trPr>
          <w:cantSplit/>
          <w:trHeight w:val="23"/>
        </w:trPr>
        <w:tc>
          <w:tcPr>
            <w:tcW w:w="9356" w:type="dxa"/>
            <w:shd w:val="clear" w:color="auto" w:fill="auto"/>
          </w:tcPr>
          <w:p w14:paraId="16D64F13" w14:textId="560273CA" w:rsidR="00985933" w:rsidRPr="009121FF" w:rsidRDefault="00985933" w:rsidP="009121FF">
            <w:pPr>
              <w:spacing w:before="120"/>
              <w:ind w:left="-108" w:right="34"/>
              <w:rPr>
                <w:rFonts w:ascii="Arial" w:hAnsi="Arial" w:cs="Arial"/>
                <w:color w:val="000000"/>
                <w:sz w:val="44"/>
                <w:szCs w:val="44"/>
              </w:rPr>
            </w:pPr>
            <w:r w:rsidRPr="00502395">
              <w:rPr>
                <w:rFonts w:ascii="Arial" w:hAnsi="Arial" w:cs="Arial"/>
                <w:b/>
                <w:color w:val="000000"/>
                <w:sz w:val="44"/>
                <w:szCs w:val="44"/>
              </w:rPr>
              <w:t xml:space="preserve">Appeal Decision </w:t>
            </w:r>
          </w:p>
        </w:tc>
      </w:tr>
      <w:tr w:rsidR="00985933" w:rsidRPr="00502395" w14:paraId="45814C71" w14:textId="77777777" w:rsidTr="00214CD4">
        <w:trPr>
          <w:cantSplit/>
          <w:trHeight w:val="23"/>
        </w:trPr>
        <w:tc>
          <w:tcPr>
            <w:tcW w:w="9356" w:type="dxa"/>
            <w:shd w:val="clear" w:color="auto" w:fill="auto"/>
          </w:tcPr>
          <w:p w14:paraId="5698F87A" w14:textId="65ED10A4" w:rsidR="00985933" w:rsidRPr="00502395" w:rsidRDefault="00985933" w:rsidP="00985933">
            <w:pPr>
              <w:spacing w:before="180"/>
              <w:ind w:left="-108" w:right="34"/>
              <w:rPr>
                <w:rFonts w:ascii="Arial" w:hAnsi="Arial" w:cs="Arial"/>
                <w:b/>
                <w:color w:val="000000"/>
                <w:sz w:val="24"/>
                <w:szCs w:val="24"/>
              </w:rPr>
            </w:pPr>
            <w:r w:rsidRPr="00502395">
              <w:rPr>
                <w:rFonts w:ascii="Arial" w:hAnsi="Arial" w:cs="Arial"/>
                <w:b/>
                <w:color w:val="000000"/>
                <w:sz w:val="24"/>
                <w:szCs w:val="24"/>
              </w:rPr>
              <w:t xml:space="preserve">by </w:t>
            </w:r>
            <w:r w:rsidR="0096041A" w:rsidRPr="00502395">
              <w:rPr>
                <w:rFonts w:ascii="Arial" w:hAnsi="Arial" w:cs="Arial"/>
                <w:b/>
                <w:color w:val="000000"/>
                <w:sz w:val="24"/>
                <w:szCs w:val="24"/>
              </w:rPr>
              <w:t>Ian Radcliffe BSc(Hons) MRTPI MCIEH DMS</w:t>
            </w:r>
          </w:p>
        </w:tc>
      </w:tr>
      <w:tr w:rsidR="00985933" w:rsidRPr="00502395" w14:paraId="1CEF6964" w14:textId="77777777" w:rsidTr="00214CD4">
        <w:trPr>
          <w:cantSplit/>
          <w:trHeight w:val="23"/>
        </w:trPr>
        <w:tc>
          <w:tcPr>
            <w:tcW w:w="9356" w:type="dxa"/>
            <w:shd w:val="clear" w:color="auto" w:fill="auto"/>
          </w:tcPr>
          <w:p w14:paraId="0C5E6904" w14:textId="65E60764" w:rsidR="00985933" w:rsidRPr="00502395" w:rsidRDefault="00985933" w:rsidP="00985933">
            <w:pPr>
              <w:spacing w:before="120"/>
              <w:ind w:left="-108" w:right="34"/>
              <w:rPr>
                <w:rFonts w:ascii="Arial" w:hAnsi="Arial" w:cs="Arial"/>
                <w:b/>
                <w:color w:val="000000"/>
                <w:sz w:val="20"/>
              </w:rPr>
            </w:pPr>
            <w:r w:rsidRPr="00502395">
              <w:rPr>
                <w:rFonts w:ascii="Arial" w:hAnsi="Arial" w:cs="Arial"/>
                <w:b/>
                <w:color w:val="000000"/>
                <w:sz w:val="20"/>
              </w:rPr>
              <w:t xml:space="preserve">an Inspector appointed by the Secretary of State </w:t>
            </w:r>
            <w:r w:rsidR="0096041A" w:rsidRPr="00502395">
              <w:rPr>
                <w:rFonts w:ascii="Arial" w:hAnsi="Arial" w:cs="Arial"/>
                <w:b/>
                <w:color w:val="000000"/>
                <w:sz w:val="20"/>
              </w:rPr>
              <w:t>for Environment, Food and Rural Affairs</w:t>
            </w:r>
          </w:p>
        </w:tc>
      </w:tr>
      <w:tr w:rsidR="00985933" w:rsidRPr="00502395" w14:paraId="60288F34" w14:textId="77777777" w:rsidTr="00214CD4">
        <w:trPr>
          <w:cantSplit/>
          <w:trHeight w:val="23"/>
        </w:trPr>
        <w:tc>
          <w:tcPr>
            <w:tcW w:w="9356" w:type="dxa"/>
            <w:shd w:val="clear" w:color="auto" w:fill="auto"/>
          </w:tcPr>
          <w:p w14:paraId="27AAD7E1" w14:textId="226370DF" w:rsidR="00985933" w:rsidRPr="00502395" w:rsidRDefault="00985933" w:rsidP="00985933">
            <w:pPr>
              <w:spacing w:before="120"/>
              <w:ind w:left="-108" w:right="176"/>
              <w:rPr>
                <w:rFonts w:ascii="Arial" w:hAnsi="Arial" w:cs="Arial"/>
                <w:b/>
                <w:color w:val="000000"/>
                <w:sz w:val="20"/>
              </w:rPr>
            </w:pPr>
            <w:r w:rsidRPr="00502395">
              <w:rPr>
                <w:rFonts w:ascii="Arial" w:hAnsi="Arial" w:cs="Arial"/>
                <w:b/>
                <w:color w:val="000000"/>
                <w:sz w:val="20"/>
              </w:rPr>
              <w:t xml:space="preserve">Decision date: </w:t>
            </w:r>
            <w:r w:rsidR="0098741A">
              <w:rPr>
                <w:rFonts w:ascii="Arial" w:hAnsi="Arial" w:cs="Arial"/>
                <w:b/>
                <w:color w:val="000000"/>
                <w:sz w:val="20"/>
              </w:rPr>
              <w:t>12 May 2023</w:t>
            </w:r>
          </w:p>
        </w:tc>
      </w:tr>
    </w:tbl>
    <w:p w14:paraId="38D7A319" w14:textId="32DF6455" w:rsidR="0096041A" w:rsidRPr="0086184C" w:rsidRDefault="0096041A" w:rsidP="00AD2607">
      <w:pPr>
        <w:spacing w:before="120"/>
        <w:rPr>
          <w:rFonts w:ascii="Arial" w:hAnsi="Arial" w:cs="Arial"/>
          <w:b/>
          <w:bCs/>
          <w:sz w:val="24"/>
          <w:szCs w:val="24"/>
        </w:rPr>
      </w:pPr>
      <w:r w:rsidRPr="00502395">
        <w:rPr>
          <w:rFonts w:ascii="Arial" w:hAnsi="Arial" w:cs="Arial"/>
          <w:b/>
          <w:bCs/>
          <w:sz w:val="24"/>
          <w:szCs w:val="24"/>
        </w:rPr>
        <w:t xml:space="preserve">Appeal Ref: </w:t>
      </w:r>
      <w:r w:rsidR="00E4478B" w:rsidRPr="00ED753E">
        <w:rPr>
          <w:b/>
          <w:bCs/>
        </w:rPr>
        <w:t>FPS/D0840/14A/3</w:t>
      </w:r>
    </w:p>
    <w:p w14:paraId="6362F398" w14:textId="27C8CA92" w:rsidR="0096041A" w:rsidRPr="00043812" w:rsidRDefault="0096041A" w:rsidP="00AD2607">
      <w:pPr>
        <w:pStyle w:val="TBullet"/>
        <w:spacing w:before="120"/>
        <w:rPr>
          <w:rFonts w:ascii="Arial" w:hAnsi="Arial" w:cs="Arial"/>
          <w:sz w:val="24"/>
          <w:szCs w:val="24"/>
        </w:rPr>
      </w:pPr>
      <w:r w:rsidRPr="00043812">
        <w:rPr>
          <w:rFonts w:ascii="Arial" w:hAnsi="Arial" w:cs="Arial"/>
          <w:sz w:val="24"/>
          <w:szCs w:val="24"/>
        </w:rPr>
        <w:t xml:space="preserve">This Appeal is made under Section 53 (5) and Paragraph 4 (1) of Schedule 14 of the </w:t>
      </w:r>
    </w:p>
    <w:p w14:paraId="28FA9FB4" w14:textId="7F5EA906" w:rsidR="0096041A" w:rsidRPr="00043812" w:rsidRDefault="0096041A" w:rsidP="00AD2607">
      <w:pPr>
        <w:pStyle w:val="TBullet"/>
        <w:numPr>
          <w:ilvl w:val="0"/>
          <w:numId w:val="0"/>
        </w:numPr>
        <w:ind w:left="360"/>
        <w:rPr>
          <w:rFonts w:ascii="Arial" w:hAnsi="Arial" w:cs="Arial"/>
          <w:sz w:val="24"/>
          <w:szCs w:val="24"/>
        </w:rPr>
      </w:pPr>
      <w:r w:rsidRPr="00043812">
        <w:rPr>
          <w:rFonts w:ascii="Arial" w:hAnsi="Arial" w:cs="Arial"/>
          <w:sz w:val="24"/>
          <w:szCs w:val="24"/>
        </w:rPr>
        <w:t xml:space="preserve">Wildlife and Countryside Act 1981 against the decision of </w:t>
      </w:r>
      <w:r w:rsidR="00C778B4" w:rsidRPr="00043812">
        <w:rPr>
          <w:rFonts w:ascii="Arial" w:hAnsi="Arial" w:cs="Arial"/>
          <w:sz w:val="24"/>
          <w:szCs w:val="24"/>
        </w:rPr>
        <w:t xml:space="preserve">Cornwall </w:t>
      </w:r>
      <w:r w:rsidRPr="00043812">
        <w:rPr>
          <w:rFonts w:ascii="Arial" w:hAnsi="Arial" w:cs="Arial"/>
          <w:sz w:val="24"/>
          <w:szCs w:val="24"/>
        </w:rPr>
        <w:t>Council (‘the Council’) not to make an Order under section 53 (2) of that Act.</w:t>
      </w:r>
    </w:p>
    <w:p w14:paraId="31CD7B1B" w14:textId="127301A4" w:rsidR="0096041A" w:rsidRPr="00043812" w:rsidRDefault="0096041A" w:rsidP="009121FF">
      <w:pPr>
        <w:pStyle w:val="TBullet"/>
        <w:rPr>
          <w:rFonts w:ascii="Arial" w:hAnsi="Arial" w:cs="Arial"/>
          <w:color w:val="auto"/>
          <w:sz w:val="24"/>
          <w:szCs w:val="24"/>
        </w:rPr>
      </w:pPr>
      <w:r w:rsidRPr="00043812">
        <w:rPr>
          <w:rFonts w:ascii="Arial" w:hAnsi="Arial" w:cs="Arial"/>
          <w:color w:val="auto"/>
          <w:sz w:val="24"/>
          <w:szCs w:val="24"/>
        </w:rPr>
        <w:t xml:space="preserve">The application dated </w:t>
      </w:r>
      <w:r w:rsidR="002B1FCC" w:rsidRPr="00043812">
        <w:rPr>
          <w:rFonts w:ascii="Arial" w:hAnsi="Arial" w:cs="Arial"/>
          <w:color w:val="auto"/>
          <w:sz w:val="24"/>
          <w:szCs w:val="24"/>
        </w:rPr>
        <w:t>13 August</w:t>
      </w:r>
      <w:r w:rsidRPr="00043812">
        <w:rPr>
          <w:rFonts w:ascii="Arial" w:hAnsi="Arial" w:cs="Arial"/>
          <w:color w:val="auto"/>
          <w:sz w:val="24"/>
          <w:szCs w:val="24"/>
        </w:rPr>
        <w:t xml:space="preserve"> 201</w:t>
      </w:r>
      <w:r w:rsidR="002B1FCC" w:rsidRPr="00043812">
        <w:rPr>
          <w:rFonts w:ascii="Arial" w:hAnsi="Arial" w:cs="Arial"/>
          <w:color w:val="auto"/>
          <w:sz w:val="24"/>
          <w:szCs w:val="24"/>
        </w:rPr>
        <w:t>0</w:t>
      </w:r>
      <w:r w:rsidRPr="00043812">
        <w:rPr>
          <w:rFonts w:ascii="Arial" w:hAnsi="Arial" w:cs="Arial"/>
          <w:color w:val="auto"/>
          <w:sz w:val="24"/>
          <w:szCs w:val="24"/>
        </w:rPr>
        <w:t xml:space="preserve"> was refused by the Council on </w:t>
      </w:r>
      <w:r w:rsidR="00B57563" w:rsidRPr="00043812">
        <w:rPr>
          <w:rFonts w:ascii="Arial" w:hAnsi="Arial" w:cs="Arial"/>
          <w:color w:val="auto"/>
          <w:sz w:val="24"/>
          <w:szCs w:val="24"/>
        </w:rPr>
        <w:t xml:space="preserve">13 </w:t>
      </w:r>
      <w:r w:rsidR="00833E9F" w:rsidRPr="00043812">
        <w:rPr>
          <w:rFonts w:ascii="Arial" w:hAnsi="Arial" w:cs="Arial"/>
          <w:color w:val="auto"/>
          <w:sz w:val="24"/>
          <w:szCs w:val="24"/>
        </w:rPr>
        <w:t>April</w:t>
      </w:r>
      <w:r w:rsidRPr="00043812">
        <w:rPr>
          <w:rFonts w:ascii="Arial" w:hAnsi="Arial" w:cs="Arial"/>
          <w:color w:val="auto"/>
          <w:sz w:val="24"/>
          <w:szCs w:val="24"/>
        </w:rPr>
        <w:t xml:space="preserve"> 202</w:t>
      </w:r>
      <w:r w:rsidR="00833E9F" w:rsidRPr="00043812">
        <w:rPr>
          <w:rFonts w:ascii="Arial" w:hAnsi="Arial" w:cs="Arial"/>
          <w:color w:val="auto"/>
          <w:sz w:val="24"/>
          <w:szCs w:val="24"/>
        </w:rPr>
        <w:t>2</w:t>
      </w:r>
      <w:r w:rsidRPr="00043812">
        <w:rPr>
          <w:rFonts w:ascii="Arial" w:hAnsi="Arial" w:cs="Arial"/>
          <w:color w:val="auto"/>
          <w:sz w:val="24"/>
          <w:szCs w:val="24"/>
        </w:rPr>
        <w:t>.</w:t>
      </w:r>
    </w:p>
    <w:p w14:paraId="32F895EC" w14:textId="046C07F3" w:rsidR="0096041A" w:rsidRPr="00043812" w:rsidRDefault="0096041A" w:rsidP="009121FF">
      <w:pPr>
        <w:pStyle w:val="TBullet"/>
        <w:rPr>
          <w:rFonts w:ascii="Arial" w:hAnsi="Arial" w:cs="Arial"/>
          <w:color w:val="auto"/>
          <w:sz w:val="24"/>
          <w:szCs w:val="24"/>
        </w:rPr>
      </w:pPr>
      <w:r w:rsidRPr="00043812">
        <w:rPr>
          <w:rFonts w:ascii="Arial" w:hAnsi="Arial" w:cs="Arial"/>
          <w:color w:val="auto"/>
          <w:sz w:val="24"/>
          <w:szCs w:val="24"/>
        </w:rPr>
        <w:t xml:space="preserve">The Appellant claims that the definitive map and statement of public rights of way </w:t>
      </w:r>
    </w:p>
    <w:p w14:paraId="0324B925" w14:textId="285DE243" w:rsidR="009121FF" w:rsidRPr="00043812" w:rsidRDefault="0096041A" w:rsidP="009121FF">
      <w:pPr>
        <w:pStyle w:val="TBullet"/>
        <w:numPr>
          <w:ilvl w:val="0"/>
          <w:numId w:val="0"/>
        </w:numPr>
        <w:ind w:left="360"/>
        <w:rPr>
          <w:rFonts w:ascii="Arial" w:hAnsi="Arial" w:cs="Arial"/>
          <w:color w:val="auto"/>
          <w:sz w:val="24"/>
          <w:szCs w:val="24"/>
        </w:rPr>
      </w:pPr>
      <w:r w:rsidRPr="00043812">
        <w:rPr>
          <w:rFonts w:ascii="Arial" w:hAnsi="Arial" w:cs="Arial"/>
          <w:color w:val="auto"/>
          <w:sz w:val="24"/>
          <w:szCs w:val="24"/>
        </w:rPr>
        <w:t>should be modified by adding</w:t>
      </w:r>
      <w:r w:rsidR="0053241C" w:rsidRPr="00043812">
        <w:rPr>
          <w:rFonts w:ascii="Arial" w:hAnsi="Arial" w:cs="Arial"/>
          <w:color w:val="auto"/>
          <w:sz w:val="24"/>
          <w:szCs w:val="24"/>
        </w:rPr>
        <w:t xml:space="preserve"> </w:t>
      </w:r>
      <w:r w:rsidR="007D3422" w:rsidRPr="00043812">
        <w:rPr>
          <w:rFonts w:ascii="Arial" w:hAnsi="Arial" w:cs="Arial"/>
          <w:color w:val="auto"/>
          <w:sz w:val="24"/>
          <w:szCs w:val="24"/>
        </w:rPr>
        <w:t xml:space="preserve">a footpath as shown </w:t>
      </w:r>
      <w:r w:rsidR="00F07E5F" w:rsidRPr="00043812">
        <w:rPr>
          <w:rFonts w:ascii="Arial" w:hAnsi="Arial" w:cs="Arial"/>
          <w:color w:val="auto"/>
          <w:sz w:val="24"/>
          <w:szCs w:val="24"/>
        </w:rPr>
        <w:t xml:space="preserve">on the plan appended </w:t>
      </w:r>
      <w:r w:rsidR="00BA0162" w:rsidRPr="00043812">
        <w:rPr>
          <w:rFonts w:ascii="Arial" w:hAnsi="Arial" w:cs="Arial"/>
          <w:color w:val="auto"/>
          <w:sz w:val="24"/>
          <w:szCs w:val="24"/>
        </w:rPr>
        <w:t xml:space="preserve">as Appendix A </w:t>
      </w:r>
      <w:r w:rsidR="00F07E5F" w:rsidRPr="00043812">
        <w:rPr>
          <w:rFonts w:ascii="Arial" w:hAnsi="Arial" w:cs="Arial"/>
          <w:color w:val="auto"/>
          <w:sz w:val="24"/>
          <w:szCs w:val="24"/>
        </w:rPr>
        <w:t xml:space="preserve">to this decision; that is, from point A (GR </w:t>
      </w:r>
      <w:r w:rsidR="0025371A" w:rsidRPr="00043812">
        <w:rPr>
          <w:rFonts w:ascii="Arial" w:hAnsi="Arial" w:cs="Arial"/>
          <w:color w:val="auto"/>
          <w:sz w:val="24"/>
          <w:szCs w:val="24"/>
        </w:rPr>
        <w:t>SW 4224</w:t>
      </w:r>
      <w:r w:rsidR="00A8749D" w:rsidRPr="00043812">
        <w:rPr>
          <w:rFonts w:ascii="Arial" w:hAnsi="Arial" w:cs="Arial"/>
          <w:color w:val="auto"/>
          <w:sz w:val="24"/>
          <w:szCs w:val="24"/>
        </w:rPr>
        <w:t>/2464) to an unrecorded trac</w:t>
      </w:r>
      <w:r w:rsidR="00D0384F" w:rsidRPr="00043812">
        <w:rPr>
          <w:rFonts w:ascii="Arial" w:hAnsi="Arial" w:cs="Arial"/>
          <w:color w:val="auto"/>
          <w:sz w:val="24"/>
          <w:szCs w:val="24"/>
        </w:rPr>
        <w:t>k</w:t>
      </w:r>
      <w:r w:rsidR="00A8749D" w:rsidRPr="00043812">
        <w:rPr>
          <w:rFonts w:ascii="Arial" w:hAnsi="Arial" w:cs="Arial"/>
          <w:color w:val="auto"/>
          <w:sz w:val="24"/>
          <w:szCs w:val="24"/>
        </w:rPr>
        <w:t xml:space="preserve"> south-south-west of Choone Farm</w:t>
      </w:r>
      <w:r w:rsidR="00F54DD8" w:rsidRPr="00043812">
        <w:rPr>
          <w:rFonts w:ascii="Arial" w:hAnsi="Arial" w:cs="Arial"/>
          <w:color w:val="auto"/>
          <w:sz w:val="24"/>
          <w:szCs w:val="24"/>
        </w:rPr>
        <w:t xml:space="preserve"> </w:t>
      </w:r>
      <w:r w:rsidR="00516A43" w:rsidRPr="00043812">
        <w:rPr>
          <w:rFonts w:ascii="Arial" w:hAnsi="Arial" w:cs="Arial"/>
          <w:color w:val="auto"/>
          <w:sz w:val="24"/>
          <w:szCs w:val="24"/>
        </w:rPr>
        <w:t>GR SW 4241/246</w:t>
      </w:r>
      <w:r w:rsidR="00AD33D1" w:rsidRPr="00043812">
        <w:rPr>
          <w:rFonts w:ascii="Arial" w:hAnsi="Arial" w:cs="Arial"/>
          <w:color w:val="auto"/>
          <w:sz w:val="24"/>
          <w:szCs w:val="24"/>
        </w:rPr>
        <w:t>1</w:t>
      </w:r>
      <w:r w:rsidR="00F54DD8" w:rsidRPr="00043812">
        <w:rPr>
          <w:rFonts w:ascii="Arial" w:hAnsi="Arial" w:cs="Arial"/>
          <w:color w:val="auto"/>
          <w:sz w:val="24"/>
          <w:szCs w:val="24"/>
        </w:rPr>
        <w:t xml:space="preserve"> (point B</w:t>
      </w:r>
      <w:r w:rsidR="00F07E5F" w:rsidRPr="00043812">
        <w:rPr>
          <w:rFonts w:ascii="Arial" w:hAnsi="Arial" w:cs="Arial"/>
          <w:color w:val="auto"/>
          <w:sz w:val="24"/>
          <w:szCs w:val="24"/>
        </w:rPr>
        <w:t>)</w:t>
      </w:r>
      <w:r w:rsidR="00F54DD8" w:rsidRPr="00043812">
        <w:rPr>
          <w:rFonts w:ascii="Arial" w:hAnsi="Arial" w:cs="Arial"/>
          <w:color w:val="auto"/>
          <w:sz w:val="24"/>
          <w:szCs w:val="24"/>
        </w:rPr>
        <w:t>;</w:t>
      </w:r>
      <w:r w:rsidR="00F07E5F" w:rsidRPr="00043812">
        <w:rPr>
          <w:rFonts w:ascii="Arial" w:hAnsi="Arial" w:cs="Arial"/>
          <w:color w:val="auto"/>
          <w:sz w:val="24"/>
          <w:szCs w:val="24"/>
        </w:rPr>
        <w:t xml:space="preserve"> </w:t>
      </w:r>
      <w:r w:rsidR="005C4AFA" w:rsidRPr="00043812">
        <w:rPr>
          <w:rFonts w:ascii="Arial" w:hAnsi="Arial" w:cs="Arial"/>
          <w:color w:val="auto"/>
          <w:sz w:val="24"/>
          <w:szCs w:val="24"/>
        </w:rPr>
        <w:t xml:space="preserve">from point B </w:t>
      </w:r>
      <w:r w:rsidR="00F07E5F" w:rsidRPr="00043812">
        <w:rPr>
          <w:rFonts w:ascii="Arial" w:hAnsi="Arial" w:cs="Arial"/>
          <w:color w:val="auto"/>
          <w:sz w:val="24"/>
          <w:szCs w:val="24"/>
        </w:rPr>
        <w:t xml:space="preserve">to </w:t>
      </w:r>
      <w:r w:rsidR="00535389" w:rsidRPr="00043812">
        <w:rPr>
          <w:rFonts w:ascii="Arial" w:hAnsi="Arial" w:cs="Arial"/>
          <w:color w:val="auto"/>
          <w:sz w:val="24"/>
          <w:szCs w:val="24"/>
        </w:rPr>
        <w:t xml:space="preserve">footpath 52 St Buryan </w:t>
      </w:r>
      <w:r w:rsidR="002707B7" w:rsidRPr="00043812">
        <w:rPr>
          <w:rFonts w:ascii="Arial" w:hAnsi="Arial" w:cs="Arial"/>
          <w:color w:val="auto"/>
          <w:sz w:val="24"/>
          <w:szCs w:val="24"/>
        </w:rPr>
        <w:t>GR 4314/2448 (point C)</w:t>
      </w:r>
      <w:r w:rsidR="008D4728" w:rsidRPr="00043812">
        <w:rPr>
          <w:rFonts w:ascii="Arial" w:hAnsi="Arial" w:cs="Arial"/>
          <w:color w:val="auto"/>
          <w:sz w:val="24"/>
          <w:szCs w:val="24"/>
        </w:rPr>
        <w:t>.</w:t>
      </w:r>
    </w:p>
    <w:p w14:paraId="30382581" w14:textId="633C7F40" w:rsidR="0096041A" w:rsidRPr="00424964" w:rsidRDefault="0096041A" w:rsidP="00AD2607">
      <w:pPr>
        <w:pStyle w:val="TBullet"/>
        <w:numPr>
          <w:ilvl w:val="0"/>
          <w:numId w:val="0"/>
        </w:numPr>
        <w:spacing w:before="120"/>
        <w:rPr>
          <w:rFonts w:ascii="Arial" w:hAnsi="Arial" w:cs="Arial"/>
          <w:b/>
          <w:bCs/>
          <w:sz w:val="24"/>
          <w:szCs w:val="24"/>
        </w:rPr>
      </w:pPr>
      <w:r w:rsidRPr="00424964">
        <w:rPr>
          <w:rFonts w:ascii="Arial" w:hAnsi="Arial" w:cs="Arial"/>
          <w:b/>
          <w:bCs/>
          <w:sz w:val="24"/>
          <w:szCs w:val="24"/>
        </w:rPr>
        <w:t xml:space="preserve">Summary of Decision: The Appeal </w:t>
      </w:r>
      <w:r w:rsidRPr="00424964">
        <w:rPr>
          <w:rFonts w:ascii="Arial" w:hAnsi="Arial" w:cs="Arial"/>
          <w:b/>
          <w:bCs/>
          <w:color w:val="auto"/>
          <w:sz w:val="24"/>
          <w:szCs w:val="24"/>
        </w:rPr>
        <w:t>is</w:t>
      </w:r>
      <w:r w:rsidR="003A07C5" w:rsidRPr="00424964">
        <w:rPr>
          <w:rFonts w:ascii="Arial" w:hAnsi="Arial" w:cs="Arial"/>
          <w:b/>
          <w:bCs/>
          <w:color w:val="auto"/>
          <w:sz w:val="24"/>
          <w:szCs w:val="24"/>
        </w:rPr>
        <w:t xml:space="preserve"> allowed</w:t>
      </w:r>
      <w:r w:rsidR="00550272" w:rsidRPr="00424964">
        <w:rPr>
          <w:rFonts w:ascii="Arial" w:hAnsi="Arial" w:cs="Arial"/>
          <w:b/>
          <w:bCs/>
          <w:color w:val="auto"/>
          <w:sz w:val="24"/>
          <w:szCs w:val="24"/>
        </w:rPr>
        <w:t>.</w:t>
      </w:r>
    </w:p>
    <w:tbl>
      <w:tblPr>
        <w:tblW w:w="5024" w:type="pct"/>
        <w:tblBorders>
          <w:top w:val="single" w:sz="4" w:space="0" w:color="auto"/>
        </w:tblBorders>
        <w:tblLayout w:type="fixed"/>
        <w:tblCellMar>
          <w:left w:w="0" w:type="dxa"/>
          <w:right w:w="0" w:type="dxa"/>
        </w:tblCellMar>
        <w:tblLook w:val="04A0" w:firstRow="1" w:lastRow="0" w:firstColumn="1" w:lastColumn="0" w:noHBand="0" w:noVBand="1"/>
      </w:tblPr>
      <w:tblGrid>
        <w:gridCol w:w="9349"/>
      </w:tblGrid>
      <w:tr w:rsidR="00985933" w:rsidRPr="00985933" w14:paraId="152EF6E2" w14:textId="77777777" w:rsidTr="00704B39">
        <w:tc>
          <w:tcPr>
            <w:tcW w:w="9364" w:type="dxa"/>
            <w:vAlign w:val="center"/>
            <w:hideMark/>
          </w:tcPr>
          <w:p w14:paraId="1EED6B02" w14:textId="35AB45BB" w:rsidR="00704B39" w:rsidRPr="00985933" w:rsidRDefault="00704B39" w:rsidP="00985933">
            <w:bookmarkStart w:id="0" w:name="bmk_Decisions"/>
            <w:bookmarkStart w:id="1" w:name="bmk_Conditions"/>
          </w:p>
        </w:tc>
      </w:tr>
    </w:tbl>
    <w:bookmarkEnd w:id="0"/>
    <w:bookmarkEnd w:id="1"/>
    <w:p w14:paraId="588737B0" w14:textId="2BD46588" w:rsidR="00985933" w:rsidRPr="003709C7" w:rsidRDefault="00985933" w:rsidP="00AD2607">
      <w:pPr>
        <w:pStyle w:val="Heading6blackfont"/>
        <w:spacing w:before="120"/>
        <w:rPr>
          <w:rFonts w:ascii="Arial" w:hAnsi="Arial" w:cs="Arial"/>
          <w:sz w:val="24"/>
          <w:szCs w:val="24"/>
        </w:rPr>
      </w:pPr>
      <w:r w:rsidRPr="003709C7">
        <w:rPr>
          <w:rFonts w:ascii="Arial" w:hAnsi="Arial" w:cs="Arial"/>
          <w:sz w:val="24"/>
          <w:szCs w:val="24"/>
        </w:rPr>
        <w:t>Preliminary Matters</w:t>
      </w:r>
    </w:p>
    <w:p w14:paraId="51C6125B" w14:textId="61C87D72" w:rsidR="0096041A" w:rsidRPr="003709C7" w:rsidRDefault="0096041A" w:rsidP="00AD2607">
      <w:pPr>
        <w:pStyle w:val="Style1"/>
        <w:spacing w:before="120"/>
        <w:rPr>
          <w:rFonts w:ascii="Arial" w:hAnsi="Arial" w:cs="Arial"/>
          <w:sz w:val="24"/>
          <w:szCs w:val="24"/>
        </w:rPr>
      </w:pPr>
      <w:r w:rsidRPr="003709C7">
        <w:rPr>
          <w:rFonts w:ascii="Arial" w:hAnsi="Arial" w:cs="Arial"/>
          <w:sz w:val="24"/>
          <w:szCs w:val="24"/>
        </w:rPr>
        <w:t>I have been directed by the Secretary of State for Environment, Food and Rural Affairs to determine this appeal under Section 53(5) and Paragraph 4(1) of Schedule 14 of the Wildlife and Countryside Act 1981 (</w:t>
      </w:r>
      <w:r w:rsidR="00E24501" w:rsidRPr="003709C7">
        <w:rPr>
          <w:rFonts w:ascii="Arial" w:hAnsi="Arial" w:cs="Arial"/>
          <w:sz w:val="24"/>
          <w:szCs w:val="24"/>
        </w:rPr>
        <w:t>‘</w:t>
      </w:r>
      <w:r w:rsidRPr="003709C7">
        <w:rPr>
          <w:rFonts w:ascii="Arial" w:hAnsi="Arial" w:cs="Arial"/>
          <w:sz w:val="24"/>
          <w:szCs w:val="24"/>
        </w:rPr>
        <w:t>the 1981 Act</w:t>
      </w:r>
      <w:r w:rsidR="00E24501" w:rsidRPr="003709C7">
        <w:rPr>
          <w:rFonts w:ascii="Arial" w:hAnsi="Arial" w:cs="Arial"/>
          <w:sz w:val="24"/>
          <w:szCs w:val="24"/>
        </w:rPr>
        <w:t>’</w:t>
      </w:r>
      <w:r w:rsidRPr="003709C7">
        <w:rPr>
          <w:rFonts w:ascii="Arial" w:hAnsi="Arial" w:cs="Arial"/>
          <w:sz w:val="24"/>
          <w:szCs w:val="24"/>
        </w:rPr>
        <w:t>) on the basis of the papers submitted with this case.</w:t>
      </w:r>
    </w:p>
    <w:p w14:paraId="206360E4" w14:textId="1E40BF5D" w:rsidR="0096041A" w:rsidRPr="003A07C5" w:rsidRDefault="0096041A" w:rsidP="00AD2607">
      <w:pPr>
        <w:pStyle w:val="Style1"/>
        <w:spacing w:before="120"/>
        <w:rPr>
          <w:rFonts w:ascii="Arial" w:hAnsi="Arial" w:cs="Arial"/>
          <w:color w:val="auto"/>
          <w:sz w:val="24"/>
          <w:szCs w:val="24"/>
        </w:rPr>
      </w:pPr>
      <w:r w:rsidRPr="003A07C5">
        <w:rPr>
          <w:rFonts w:ascii="Arial" w:hAnsi="Arial" w:cs="Arial"/>
          <w:color w:val="auto"/>
          <w:sz w:val="24"/>
          <w:szCs w:val="24"/>
        </w:rPr>
        <w:t>The appeal concerns an application made by</w:t>
      </w:r>
      <w:r w:rsidR="00E30C27" w:rsidRPr="003A07C5">
        <w:rPr>
          <w:rFonts w:ascii="Arial" w:hAnsi="Arial" w:cs="Arial"/>
          <w:color w:val="auto"/>
          <w:sz w:val="24"/>
          <w:szCs w:val="24"/>
        </w:rPr>
        <w:t xml:space="preserve"> A</w:t>
      </w:r>
      <w:r w:rsidR="00DE1ABE" w:rsidRPr="003A07C5">
        <w:rPr>
          <w:rFonts w:ascii="Arial" w:hAnsi="Arial" w:cs="Arial"/>
          <w:color w:val="auto"/>
          <w:sz w:val="24"/>
          <w:szCs w:val="24"/>
        </w:rPr>
        <w:t>driana McClary and Michelle McClary</w:t>
      </w:r>
      <w:r w:rsidRPr="003A07C5">
        <w:rPr>
          <w:rFonts w:ascii="Arial" w:hAnsi="Arial" w:cs="Arial"/>
          <w:color w:val="auto"/>
          <w:sz w:val="24"/>
          <w:szCs w:val="24"/>
        </w:rPr>
        <w:t xml:space="preserve"> </w:t>
      </w:r>
      <w:r w:rsidR="00E24501" w:rsidRPr="003A07C5">
        <w:rPr>
          <w:rFonts w:ascii="Arial" w:hAnsi="Arial" w:cs="Arial"/>
          <w:color w:val="auto"/>
          <w:sz w:val="24"/>
          <w:szCs w:val="24"/>
        </w:rPr>
        <w:t xml:space="preserve">(‘the </w:t>
      </w:r>
      <w:r w:rsidR="00DE1ABE" w:rsidRPr="003A07C5">
        <w:rPr>
          <w:rFonts w:ascii="Arial" w:hAnsi="Arial" w:cs="Arial"/>
          <w:color w:val="auto"/>
          <w:sz w:val="24"/>
          <w:szCs w:val="24"/>
        </w:rPr>
        <w:t>a</w:t>
      </w:r>
      <w:r w:rsidR="00E24501" w:rsidRPr="003A07C5">
        <w:rPr>
          <w:rFonts w:ascii="Arial" w:hAnsi="Arial" w:cs="Arial"/>
          <w:color w:val="auto"/>
          <w:sz w:val="24"/>
          <w:szCs w:val="24"/>
        </w:rPr>
        <w:t>ppellant</w:t>
      </w:r>
      <w:r w:rsidR="00E30C27" w:rsidRPr="003A07C5">
        <w:rPr>
          <w:rFonts w:ascii="Arial" w:hAnsi="Arial" w:cs="Arial"/>
          <w:color w:val="auto"/>
          <w:sz w:val="24"/>
          <w:szCs w:val="24"/>
        </w:rPr>
        <w:t>s</w:t>
      </w:r>
      <w:r w:rsidR="00E24501" w:rsidRPr="003A07C5">
        <w:rPr>
          <w:rFonts w:ascii="Arial" w:hAnsi="Arial" w:cs="Arial"/>
          <w:color w:val="auto"/>
          <w:sz w:val="24"/>
          <w:szCs w:val="24"/>
        </w:rPr>
        <w:t xml:space="preserve">’) </w:t>
      </w:r>
      <w:r w:rsidRPr="003A07C5">
        <w:rPr>
          <w:rFonts w:ascii="Arial" w:hAnsi="Arial" w:cs="Arial"/>
          <w:color w:val="auto"/>
          <w:sz w:val="24"/>
          <w:szCs w:val="24"/>
        </w:rPr>
        <w:t>to add a public footpath.</w:t>
      </w:r>
      <w:r w:rsidR="00DE1ABE" w:rsidRPr="003A07C5">
        <w:rPr>
          <w:rFonts w:ascii="Arial" w:hAnsi="Arial" w:cs="Arial"/>
          <w:color w:val="auto"/>
          <w:sz w:val="24"/>
          <w:szCs w:val="24"/>
        </w:rPr>
        <w:t xml:space="preserve"> </w:t>
      </w:r>
      <w:r w:rsidRPr="003A07C5">
        <w:rPr>
          <w:rFonts w:ascii="Arial" w:hAnsi="Arial" w:cs="Arial"/>
          <w:color w:val="auto"/>
          <w:sz w:val="24"/>
          <w:szCs w:val="24"/>
        </w:rPr>
        <w:t xml:space="preserve">In reaching my decision I have taken into account the submissions from the </w:t>
      </w:r>
      <w:r w:rsidR="00F9654E" w:rsidRPr="003A07C5">
        <w:rPr>
          <w:rFonts w:ascii="Arial" w:hAnsi="Arial" w:cs="Arial"/>
          <w:color w:val="auto"/>
          <w:sz w:val="24"/>
          <w:szCs w:val="24"/>
        </w:rPr>
        <w:t>a</w:t>
      </w:r>
      <w:r w:rsidRPr="003A07C5">
        <w:rPr>
          <w:rFonts w:ascii="Arial" w:hAnsi="Arial" w:cs="Arial"/>
          <w:color w:val="auto"/>
          <w:sz w:val="24"/>
          <w:szCs w:val="24"/>
        </w:rPr>
        <w:t>ppellant</w:t>
      </w:r>
      <w:r w:rsidR="00515938" w:rsidRPr="003A07C5">
        <w:rPr>
          <w:rFonts w:ascii="Arial" w:hAnsi="Arial" w:cs="Arial"/>
          <w:color w:val="auto"/>
          <w:sz w:val="24"/>
          <w:szCs w:val="24"/>
        </w:rPr>
        <w:t>s</w:t>
      </w:r>
      <w:r w:rsidRPr="003A07C5">
        <w:rPr>
          <w:rFonts w:ascii="Arial" w:hAnsi="Arial" w:cs="Arial"/>
          <w:color w:val="auto"/>
          <w:sz w:val="24"/>
          <w:szCs w:val="24"/>
        </w:rPr>
        <w:t>, the Council</w:t>
      </w:r>
      <w:r w:rsidR="00954254" w:rsidRPr="003A07C5">
        <w:rPr>
          <w:rFonts w:ascii="Arial" w:hAnsi="Arial" w:cs="Arial"/>
          <w:color w:val="auto"/>
          <w:sz w:val="24"/>
          <w:szCs w:val="24"/>
        </w:rPr>
        <w:t xml:space="preserve">, </w:t>
      </w:r>
      <w:r w:rsidR="00BC0A38" w:rsidRPr="003A07C5">
        <w:rPr>
          <w:rFonts w:ascii="Arial" w:hAnsi="Arial" w:cs="Arial"/>
          <w:color w:val="auto"/>
          <w:sz w:val="24"/>
          <w:szCs w:val="24"/>
        </w:rPr>
        <w:t>Cornwall Ramblers</w:t>
      </w:r>
      <w:r w:rsidR="00954254" w:rsidRPr="003A07C5">
        <w:rPr>
          <w:rFonts w:ascii="Arial" w:hAnsi="Arial" w:cs="Arial"/>
          <w:color w:val="auto"/>
          <w:sz w:val="24"/>
          <w:szCs w:val="24"/>
        </w:rPr>
        <w:t xml:space="preserve"> and </w:t>
      </w:r>
      <w:r w:rsidR="008D760A" w:rsidRPr="003A07C5">
        <w:rPr>
          <w:rFonts w:ascii="Arial" w:hAnsi="Arial" w:cs="Arial"/>
          <w:color w:val="auto"/>
          <w:sz w:val="24"/>
          <w:szCs w:val="24"/>
        </w:rPr>
        <w:t>the owners of the land across which the claimed footpath passes.</w:t>
      </w:r>
    </w:p>
    <w:p w14:paraId="2EBF5E07" w14:textId="36BB0699" w:rsidR="00F67D35" w:rsidRPr="003709C7" w:rsidRDefault="00985933" w:rsidP="00AD2607">
      <w:pPr>
        <w:pStyle w:val="Heading6blackfont"/>
        <w:spacing w:before="120"/>
        <w:rPr>
          <w:rFonts w:ascii="Arial" w:hAnsi="Arial" w:cs="Arial"/>
          <w:sz w:val="24"/>
          <w:szCs w:val="24"/>
        </w:rPr>
      </w:pPr>
      <w:r w:rsidRPr="003709C7">
        <w:rPr>
          <w:rFonts w:ascii="Arial" w:hAnsi="Arial" w:cs="Arial"/>
          <w:sz w:val="24"/>
          <w:szCs w:val="24"/>
        </w:rPr>
        <w:t>Main Issue</w:t>
      </w:r>
    </w:p>
    <w:p w14:paraId="3FF8F7BF" w14:textId="135557EA" w:rsidR="0096041A" w:rsidRPr="003709C7" w:rsidRDefault="00E24501" w:rsidP="00AD2607">
      <w:pPr>
        <w:pStyle w:val="Style1"/>
        <w:spacing w:before="120"/>
        <w:rPr>
          <w:rFonts w:ascii="Arial" w:hAnsi="Arial" w:cs="Arial"/>
          <w:sz w:val="24"/>
          <w:szCs w:val="24"/>
        </w:rPr>
      </w:pPr>
      <w:r w:rsidRPr="003709C7">
        <w:rPr>
          <w:rFonts w:ascii="Arial" w:hAnsi="Arial" w:cs="Arial"/>
          <w:sz w:val="24"/>
          <w:szCs w:val="24"/>
        </w:rPr>
        <w:t xml:space="preserve">The main issue in this appeal is whether there has been </w:t>
      </w:r>
      <w:r w:rsidR="00B607CE">
        <w:rPr>
          <w:rFonts w:ascii="Arial" w:hAnsi="Arial" w:cs="Arial"/>
          <w:sz w:val="24"/>
          <w:szCs w:val="24"/>
        </w:rPr>
        <w:t xml:space="preserve">a </w:t>
      </w:r>
      <w:r w:rsidRPr="003709C7">
        <w:rPr>
          <w:rFonts w:ascii="Arial" w:hAnsi="Arial" w:cs="Arial"/>
          <w:sz w:val="24"/>
          <w:szCs w:val="24"/>
        </w:rPr>
        <w:t>discovery of evidence sufficient to engage the terms of section 53(3) of the 1981 Act.</w:t>
      </w:r>
    </w:p>
    <w:p w14:paraId="2D3D5E95" w14:textId="670FDE34" w:rsidR="00985933" w:rsidRPr="003709C7" w:rsidRDefault="0096041A" w:rsidP="00AD2607">
      <w:pPr>
        <w:pStyle w:val="Heading6blackfont"/>
        <w:spacing w:before="120"/>
        <w:rPr>
          <w:rFonts w:ascii="Arial" w:hAnsi="Arial" w:cs="Arial"/>
          <w:sz w:val="24"/>
          <w:szCs w:val="24"/>
        </w:rPr>
      </w:pPr>
      <w:r w:rsidRPr="003709C7">
        <w:rPr>
          <w:rFonts w:ascii="Arial" w:hAnsi="Arial" w:cs="Arial"/>
          <w:sz w:val="24"/>
          <w:szCs w:val="24"/>
        </w:rPr>
        <w:t>Legal Framework</w:t>
      </w:r>
    </w:p>
    <w:p w14:paraId="76C1B901" w14:textId="34C42633" w:rsidR="00E24501" w:rsidRPr="003709C7" w:rsidRDefault="00E24501" w:rsidP="00AD2607">
      <w:pPr>
        <w:pStyle w:val="Style1"/>
        <w:spacing w:before="120"/>
        <w:rPr>
          <w:rFonts w:ascii="Arial" w:hAnsi="Arial" w:cs="Arial"/>
          <w:sz w:val="24"/>
          <w:szCs w:val="24"/>
        </w:rPr>
      </w:pPr>
      <w:r w:rsidRPr="003709C7">
        <w:rPr>
          <w:rFonts w:ascii="Arial" w:hAnsi="Arial" w:cs="Arial"/>
          <w:sz w:val="24"/>
          <w:szCs w:val="24"/>
        </w:rPr>
        <w:t>The application was made under Section 53(2) of the 1981 Act which requires the surveying authority to keep their Definitive Map and Statement (‘DMS’) under continuous review, and to modify them upon the occurrence of specific events cited in section 53(3).</w:t>
      </w:r>
    </w:p>
    <w:p w14:paraId="4C1DECE5" w14:textId="4AAB3E0C" w:rsidR="0096041A" w:rsidRPr="003709C7" w:rsidRDefault="00E24501" w:rsidP="00AD2607">
      <w:pPr>
        <w:pStyle w:val="Style1"/>
        <w:spacing w:before="120"/>
        <w:rPr>
          <w:rFonts w:ascii="Arial" w:hAnsi="Arial" w:cs="Arial"/>
          <w:sz w:val="24"/>
          <w:szCs w:val="24"/>
        </w:rPr>
      </w:pPr>
      <w:r w:rsidRPr="003709C7">
        <w:rPr>
          <w:rFonts w:ascii="Arial" w:hAnsi="Arial" w:cs="Arial"/>
          <w:sz w:val="24"/>
          <w:szCs w:val="24"/>
        </w:rPr>
        <w:t xml:space="preserve">Section 53(3)(c)(i) of the 1981 Act specifies that an order should be made on the discovery of evidence which, when considered with all other relevant evidence available, shows </w:t>
      </w:r>
      <w:r w:rsidRPr="003709C7">
        <w:rPr>
          <w:rFonts w:ascii="Arial" w:hAnsi="Arial" w:cs="Arial"/>
          <w:kern w:val="0"/>
          <w:sz w:val="24"/>
          <w:szCs w:val="24"/>
          <w:shd w:val="clear" w:color="auto" w:fill="FFFFFF"/>
        </w:rPr>
        <w:t>that a right of way which is not shown in the map and statement subsists or is reasonably alleged to subsist over land in the area to which the map relates</w:t>
      </w:r>
      <w:r w:rsidR="00ED2851" w:rsidRPr="003709C7">
        <w:rPr>
          <w:rFonts w:ascii="Arial" w:hAnsi="Arial" w:cs="Arial"/>
          <w:kern w:val="0"/>
          <w:sz w:val="24"/>
          <w:szCs w:val="24"/>
          <w:shd w:val="clear" w:color="auto" w:fill="FFFFFF"/>
        </w:rPr>
        <w:t>. The DMS</w:t>
      </w:r>
      <w:r w:rsidR="0014664E">
        <w:rPr>
          <w:rFonts w:ascii="Arial" w:hAnsi="Arial" w:cs="Arial"/>
          <w:kern w:val="0"/>
          <w:sz w:val="24"/>
          <w:szCs w:val="24"/>
          <w:shd w:val="clear" w:color="auto" w:fill="FFFFFF"/>
        </w:rPr>
        <w:t xml:space="preserve"> is a minimum record of public rights and does not preclude the existence of other rights</w:t>
      </w:r>
      <w:r w:rsidR="00347063">
        <w:rPr>
          <w:rFonts w:ascii="Arial" w:hAnsi="Arial" w:cs="Arial"/>
          <w:kern w:val="0"/>
          <w:sz w:val="24"/>
          <w:szCs w:val="24"/>
          <w:shd w:val="clear" w:color="auto" w:fill="FFFFFF"/>
        </w:rPr>
        <w:t xml:space="preserve"> that are currently unrecorded</w:t>
      </w:r>
      <w:r w:rsidR="00ED2851" w:rsidRPr="003709C7">
        <w:rPr>
          <w:rFonts w:ascii="Arial" w:hAnsi="Arial" w:cs="Arial"/>
          <w:kern w:val="0"/>
          <w:sz w:val="24"/>
          <w:szCs w:val="24"/>
          <w:shd w:val="clear" w:color="auto" w:fill="FFFFFF"/>
        </w:rPr>
        <w:t xml:space="preserve">. </w:t>
      </w:r>
    </w:p>
    <w:p w14:paraId="534C8B0A" w14:textId="14FB93D9" w:rsidR="00ED2851" w:rsidRPr="003709C7" w:rsidRDefault="00ED2851" w:rsidP="00AD2607">
      <w:pPr>
        <w:pStyle w:val="Style1"/>
        <w:spacing w:before="120"/>
        <w:rPr>
          <w:rFonts w:ascii="Arial" w:hAnsi="Arial" w:cs="Arial"/>
          <w:sz w:val="24"/>
          <w:szCs w:val="24"/>
        </w:rPr>
      </w:pPr>
      <w:r w:rsidRPr="003709C7">
        <w:rPr>
          <w:rFonts w:ascii="Arial" w:hAnsi="Arial" w:cs="Arial"/>
          <w:sz w:val="24"/>
          <w:szCs w:val="24"/>
        </w:rPr>
        <w:t xml:space="preserve">It is the discovery of evidence by the surveying authority which engages the provisions of section 53 (3) of the 1981 Act and the ‘events’ specified in section 53 </w:t>
      </w:r>
      <w:r w:rsidRPr="003709C7">
        <w:rPr>
          <w:rFonts w:ascii="Arial" w:hAnsi="Arial" w:cs="Arial"/>
          <w:sz w:val="24"/>
          <w:szCs w:val="24"/>
        </w:rPr>
        <w:lastRenderedPageBreak/>
        <w:t xml:space="preserve">(3) (c) of the Act. Evidence can be discovered by the surveying authority or that evidence can be discovered by a third party (such as the </w:t>
      </w:r>
      <w:r w:rsidR="00DE1ABE" w:rsidRPr="003709C7">
        <w:rPr>
          <w:rFonts w:ascii="Arial" w:hAnsi="Arial" w:cs="Arial"/>
          <w:sz w:val="24"/>
          <w:szCs w:val="24"/>
        </w:rPr>
        <w:t>a</w:t>
      </w:r>
      <w:r w:rsidRPr="003709C7">
        <w:rPr>
          <w:rFonts w:ascii="Arial" w:hAnsi="Arial" w:cs="Arial"/>
          <w:sz w:val="24"/>
          <w:szCs w:val="24"/>
        </w:rPr>
        <w:t>ppellant</w:t>
      </w:r>
      <w:r w:rsidR="00DE1ABE" w:rsidRPr="003709C7">
        <w:rPr>
          <w:rFonts w:ascii="Arial" w:hAnsi="Arial" w:cs="Arial"/>
          <w:sz w:val="24"/>
          <w:szCs w:val="24"/>
        </w:rPr>
        <w:t>s</w:t>
      </w:r>
      <w:r w:rsidRPr="003709C7">
        <w:rPr>
          <w:rFonts w:ascii="Arial" w:hAnsi="Arial" w:cs="Arial"/>
          <w:sz w:val="24"/>
          <w:szCs w:val="24"/>
        </w:rPr>
        <w:t xml:space="preserve">) and provided to the surveying authority for its consideration. In </w:t>
      </w:r>
      <w:r w:rsidR="0014753E" w:rsidRPr="005232E8">
        <w:rPr>
          <w:rFonts w:ascii="Arial" w:hAnsi="Arial" w:cs="Arial"/>
          <w:i/>
          <w:iCs/>
          <w:sz w:val="24"/>
          <w:szCs w:val="24"/>
        </w:rPr>
        <w:t>R v SSE ex parte</w:t>
      </w:r>
      <w:r w:rsidR="00F941BF" w:rsidRPr="005232E8">
        <w:rPr>
          <w:rFonts w:ascii="Arial" w:hAnsi="Arial" w:cs="Arial"/>
          <w:sz w:val="24"/>
          <w:szCs w:val="24"/>
        </w:rPr>
        <w:t xml:space="preserve"> </w:t>
      </w:r>
      <w:r w:rsidRPr="005232E8">
        <w:rPr>
          <w:rFonts w:ascii="Arial" w:hAnsi="Arial" w:cs="Arial"/>
          <w:i/>
          <w:iCs/>
          <w:sz w:val="24"/>
          <w:szCs w:val="24"/>
        </w:rPr>
        <w:t>Simms and Burrows</w:t>
      </w:r>
      <w:r w:rsidR="00B52158" w:rsidRPr="005232E8">
        <w:rPr>
          <w:rFonts w:ascii="Arial" w:hAnsi="Arial" w:cs="Arial"/>
          <w:i/>
          <w:iCs/>
          <w:sz w:val="24"/>
          <w:szCs w:val="24"/>
        </w:rPr>
        <w:t xml:space="preserve"> </w:t>
      </w:r>
      <w:r w:rsidR="00B52158" w:rsidRPr="005232E8">
        <w:rPr>
          <w:rFonts w:ascii="Arial" w:hAnsi="Arial" w:cs="Arial"/>
          <w:sz w:val="24"/>
          <w:szCs w:val="24"/>
        </w:rPr>
        <w:t>[1990]</w:t>
      </w:r>
      <w:r w:rsidRPr="005232E8">
        <w:rPr>
          <w:rFonts w:ascii="Arial" w:hAnsi="Arial" w:cs="Arial"/>
          <w:i/>
          <w:iCs/>
          <w:sz w:val="24"/>
          <w:szCs w:val="24"/>
        </w:rPr>
        <w:t>, Mayhew</w:t>
      </w:r>
      <w:r w:rsidR="00960B00" w:rsidRPr="005232E8">
        <w:rPr>
          <w:rFonts w:ascii="Arial" w:hAnsi="Arial" w:cs="Arial"/>
          <w:i/>
          <w:iCs/>
          <w:sz w:val="24"/>
          <w:szCs w:val="24"/>
        </w:rPr>
        <w:t xml:space="preserve"> v SSE </w:t>
      </w:r>
      <w:r w:rsidR="00960B00" w:rsidRPr="005232E8">
        <w:rPr>
          <w:rFonts w:ascii="Arial" w:hAnsi="Arial" w:cs="Arial"/>
          <w:sz w:val="24"/>
          <w:szCs w:val="24"/>
        </w:rPr>
        <w:t>[1992]</w:t>
      </w:r>
      <w:r w:rsidR="004B2C5C" w:rsidRPr="005232E8">
        <w:rPr>
          <w:rFonts w:ascii="Arial" w:hAnsi="Arial" w:cs="Arial"/>
          <w:sz w:val="24"/>
          <w:szCs w:val="24"/>
        </w:rPr>
        <w:t xml:space="preserve"> [1993]</w:t>
      </w:r>
      <w:r w:rsidRPr="005232E8">
        <w:rPr>
          <w:rFonts w:ascii="Arial" w:hAnsi="Arial" w:cs="Arial"/>
          <w:i/>
          <w:iCs/>
          <w:sz w:val="24"/>
          <w:szCs w:val="24"/>
        </w:rPr>
        <w:t xml:space="preserve">, Kotarski </w:t>
      </w:r>
      <w:r w:rsidR="001554ED" w:rsidRPr="005232E8">
        <w:rPr>
          <w:rFonts w:ascii="Arial" w:hAnsi="Arial" w:cs="Arial"/>
          <w:i/>
          <w:iCs/>
          <w:sz w:val="24"/>
          <w:szCs w:val="24"/>
        </w:rPr>
        <w:t xml:space="preserve">v SSEFRA &amp; Devon CC </w:t>
      </w:r>
      <w:r w:rsidR="001554ED" w:rsidRPr="005232E8">
        <w:rPr>
          <w:rFonts w:ascii="Arial" w:hAnsi="Arial" w:cs="Arial"/>
          <w:sz w:val="24"/>
          <w:szCs w:val="24"/>
        </w:rPr>
        <w:t>[2010</w:t>
      </w:r>
      <w:r w:rsidR="00367092" w:rsidRPr="005232E8">
        <w:rPr>
          <w:rFonts w:ascii="Arial" w:hAnsi="Arial" w:cs="Arial"/>
          <w:sz w:val="24"/>
          <w:szCs w:val="24"/>
        </w:rPr>
        <w:t xml:space="preserve">] </w:t>
      </w:r>
      <w:r w:rsidRPr="005232E8">
        <w:rPr>
          <w:rFonts w:ascii="Arial" w:hAnsi="Arial" w:cs="Arial"/>
          <w:i/>
          <w:iCs/>
          <w:sz w:val="24"/>
          <w:szCs w:val="24"/>
        </w:rPr>
        <w:t>and Roxlena</w:t>
      </w:r>
      <w:r w:rsidR="005918CA" w:rsidRPr="005232E8">
        <w:rPr>
          <w:rFonts w:ascii="Arial" w:hAnsi="Arial" w:cs="Arial"/>
          <w:i/>
          <w:iCs/>
          <w:sz w:val="24"/>
          <w:szCs w:val="24"/>
        </w:rPr>
        <w:t xml:space="preserve"> Ltd, </w:t>
      </w:r>
      <w:r w:rsidR="002D0DD1" w:rsidRPr="005232E8">
        <w:rPr>
          <w:rFonts w:ascii="Arial" w:hAnsi="Arial" w:cs="Arial"/>
          <w:i/>
          <w:iCs/>
          <w:sz w:val="24"/>
          <w:szCs w:val="24"/>
        </w:rPr>
        <w:t xml:space="preserve">R(On the Application </w:t>
      </w:r>
      <w:r w:rsidR="00F87DBE" w:rsidRPr="005232E8">
        <w:rPr>
          <w:rFonts w:ascii="Arial" w:hAnsi="Arial" w:cs="Arial"/>
          <w:i/>
          <w:iCs/>
          <w:sz w:val="24"/>
          <w:szCs w:val="24"/>
        </w:rPr>
        <w:t xml:space="preserve">Of) v Cumbria County Council </w:t>
      </w:r>
      <w:r w:rsidR="00F87DBE" w:rsidRPr="005232E8">
        <w:rPr>
          <w:rFonts w:ascii="Arial" w:hAnsi="Arial" w:cs="Arial"/>
          <w:sz w:val="24"/>
          <w:szCs w:val="24"/>
        </w:rPr>
        <w:t>[2019]</w:t>
      </w:r>
      <w:r w:rsidRPr="005232E8">
        <w:rPr>
          <w:rFonts w:ascii="Arial" w:hAnsi="Arial" w:cs="Arial"/>
          <w:i/>
          <w:iCs/>
          <w:sz w:val="24"/>
          <w:szCs w:val="24"/>
        </w:rPr>
        <w:t>,</w:t>
      </w:r>
      <w:r w:rsidRPr="003709C7">
        <w:rPr>
          <w:rFonts w:ascii="Arial" w:hAnsi="Arial" w:cs="Arial"/>
          <w:b/>
          <w:bCs/>
          <w:sz w:val="24"/>
          <w:szCs w:val="24"/>
        </w:rPr>
        <w:t xml:space="preserve"> </w:t>
      </w:r>
      <w:r w:rsidRPr="003709C7">
        <w:rPr>
          <w:rFonts w:ascii="Arial" w:hAnsi="Arial" w:cs="Arial"/>
          <w:sz w:val="24"/>
          <w:szCs w:val="24"/>
        </w:rPr>
        <w:t xml:space="preserve">the Courts have examined what the ‘discovery of evidence’ entails. </w:t>
      </w:r>
    </w:p>
    <w:p w14:paraId="70691E6E" w14:textId="77777777" w:rsidR="00ED2851" w:rsidRPr="003709C7" w:rsidRDefault="00ED2851" w:rsidP="00AD2607">
      <w:pPr>
        <w:pStyle w:val="Style1"/>
        <w:spacing w:before="120"/>
        <w:rPr>
          <w:rFonts w:ascii="Arial" w:hAnsi="Arial" w:cs="Arial"/>
          <w:sz w:val="24"/>
          <w:szCs w:val="24"/>
        </w:rPr>
      </w:pPr>
      <w:r w:rsidRPr="003709C7">
        <w:rPr>
          <w:rFonts w:ascii="Arial" w:hAnsi="Arial" w:cs="Arial"/>
          <w:sz w:val="24"/>
          <w:szCs w:val="24"/>
        </w:rPr>
        <w:t xml:space="preserve">If the surveying authority have ‘discovered’ evidence, then the question arises as to whether it can be concluded that a public right of way subsists or can be reasonably alleged to subsist. </w:t>
      </w:r>
    </w:p>
    <w:p w14:paraId="106A8A6D" w14:textId="08D409D9" w:rsidR="00ED2851" w:rsidRPr="003709C7" w:rsidRDefault="00ED2851" w:rsidP="00AD2607">
      <w:pPr>
        <w:pStyle w:val="Style1"/>
        <w:spacing w:before="120"/>
        <w:rPr>
          <w:rFonts w:ascii="Arial" w:hAnsi="Arial" w:cs="Arial"/>
          <w:sz w:val="24"/>
          <w:szCs w:val="24"/>
        </w:rPr>
      </w:pPr>
      <w:r w:rsidRPr="003709C7">
        <w:rPr>
          <w:rFonts w:ascii="Arial" w:hAnsi="Arial" w:cs="Arial"/>
          <w:sz w:val="24"/>
          <w:szCs w:val="24"/>
        </w:rPr>
        <w:t xml:space="preserve">As made clear by the High Court in </w:t>
      </w:r>
      <w:r w:rsidR="00822099" w:rsidRPr="00396536">
        <w:rPr>
          <w:rFonts w:ascii="Arial" w:hAnsi="Arial" w:cs="Arial"/>
          <w:i/>
          <w:iCs/>
          <w:sz w:val="24"/>
          <w:szCs w:val="24"/>
        </w:rPr>
        <w:t xml:space="preserve">R v SSE ex parte </w:t>
      </w:r>
      <w:r w:rsidRPr="00396536">
        <w:rPr>
          <w:rFonts w:ascii="Arial" w:hAnsi="Arial" w:cs="Arial"/>
          <w:i/>
          <w:iCs/>
          <w:sz w:val="24"/>
          <w:szCs w:val="24"/>
        </w:rPr>
        <w:t>Bagshaw and Norton</w:t>
      </w:r>
      <w:r w:rsidR="00822099" w:rsidRPr="00396536">
        <w:rPr>
          <w:rFonts w:ascii="Arial" w:hAnsi="Arial" w:cs="Arial"/>
          <w:i/>
          <w:iCs/>
          <w:sz w:val="24"/>
          <w:szCs w:val="24"/>
        </w:rPr>
        <w:t xml:space="preserve"> </w:t>
      </w:r>
      <w:r w:rsidR="00822099" w:rsidRPr="00396536">
        <w:rPr>
          <w:rFonts w:ascii="Arial" w:hAnsi="Arial" w:cs="Arial"/>
          <w:sz w:val="24"/>
          <w:szCs w:val="24"/>
        </w:rPr>
        <w:t>[1994]</w:t>
      </w:r>
      <w:r w:rsidR="00B607CE">
        <w:rPr>
          <w:rFonts w:ascii="Arial" w:hAnsi="Arial" w:cs="Arial"/>
          <w:sz w:val="24"/>
          <w:szCs w:val="24"/>
        </w:rPr>
        <w:t xml:space="preserve"> (‘Bagshaw and Norton’)</w:t>
      </w:r>
      <w:r w:rsidRPr="00396536">
        <w:rPr>
          <w:rFonts w:ascii="Arial" w:hAnsi="Arial" w:cs="Arial"/>
          <w:sz w:val="24"/>
          <w:szCs w:val="24"/>
        </w:rPr>
        <w:t xml:space="preserve">, </w:t>
      </w:r>
      <w:r w:rsidRPr="003709C7">
        <w:rPr>
          <w:rFonts w:ascii="Arial" w:hAnsi="Arial" w:cs="Arial"/>
          <w:sz w:val="24"/>
          <w:szCs w:val="24"/>
        </w:rPr>
        <w:t xml:space="preserve">this involves two tests: </w:t>
      </w:r>
    </w:p>
    <w:p w14:paraId="457769B4" w14:textId="77777777" w:rsidR="00ED2851" w:rsidRPr="003709C7" w:rsidRDefault="00ED2851" w:rsidP="00AD2607">
      <w:pPr>
        <w:pStyle w:val="Style1"/>
        <w:numPr>
          <w:ilvl w:val="0"/>
          <w:numId w:val="0"/>
        </w:numPr>
        <w:spacing w:before="120"/>
        <w:ind w:left="431"/>
        <w:rPr>
          <w:rFonts w:ascii="Arial" w:hAnsi="Arial" w:cs="Arial"/>
          <w:sz w:val="24"/>
          <w:szCs w:val="24"/>
        </w:rPr>
      </w:pPr>
      <w:r w:rsidRPr="0022120B">
        <w:rPr>
          <w:rFonts w:ascii="Arial" w:hAnsi="Arial" w:cs="Arial"/>
          <w:sz w:val="24"/>
          <w:szCs w:val="24"/>
        </w:rPr>
        <w:t>Test A</w:t>
      </w:r>
      <w:r w:rsidRPr="003709C7">
        <w:rPr>
          <w:rFonts w:ascii="Arial" w:hAnsi="Arial" w:cs="Arial"/>
          <w:sz w:val="24"/>
          <w:szCs w:val="24"/>
        </w:rPr>
        <w:t xml:space="preserve"> - Does a right of way subsist on the balance of probabilities? </w:t>
      </w:r>
    </w:p>
    <w:p w14:paraId="608CB9D2" w14:textId="41A4CBEE" w:rsidR="00ED2851" w:rsidRPr="003709C7" w:rsidRDefault="00ED2851" w:rsidP="00AD2607">
      <w:pPr>
        <w:pStyle w:val="Style1"/>
        <w:numPr>
          <w:ilvl w:val="0"/>
          <w:numId w:val="0"/>
        </w:numPr>
        <w:spacing w:before="120"/>
        <w:ind w:left="431"/>
        <w:rPr>
          <w:rFonts w:ascii="Arial" w:hAnsi="Arial" w:cs="Arial"/>
          <w:sz w:val="24"/>
          <w:szCs w:val="24"/>
        </w:rPr>
      </w:pPr>
      <w:r w:rsidRPr="0022120B">
        <w:rPr>
          <w:rFonts w:ascii="Arial" w:hAnsi="Arial" w:cs="Arial"/>
          <w:sz w:val="24"/>
          <w:szCs w:val="24"/>
        </w:rPr>
        <w:t>Test B</w:t>
      </w:r>
      <w:r w:rsidRPr="003709C7">
        <w:rPr>
          <w:rFonts w:ascii="Arial" w:hAnsi="Arial" w:cs="Arial"/>
          <w:sz w:val="24"/>
          <w:szCs w:val="24"/>
        </w:rPr>
        <w:t xml:space="preserve"> - Is </w:t>
      </w:r>
      <w:bookmarkStart w:id="2" w:name="_Hlk122442284"/>
      <w:r w:rsidRPr="003709C7">
        <w:rPr>
          <w:rFonts w:ascii="Arial" w:hAnsi="Arial" w:cs="Arial"/>
          <w:sz w:val="24"/>
          <w:szCs w:val="24"/>
        </w:rPr>
        <w:t>it reasonable to allege that a right of way subsists</w:t>
      </w:r>
      <w:bookmarkEnd w:id="2"/>
      <w:r w:rsidRPr="003709C7">
        <w:rPr>
          <w:rFonts w:ascii="Arial" w:hAnsi="Arial" w:cs="Arial"/>
          <w:sz w:val="24"/>
          <w:szCs w:val="24"/>
        </w:rPr>
        <w:t xml:space="preserve">? For this possibility to exist, it will be necessary to show that a reasonable person, having considered all the relevant evidence available, could reasonably allege that a right of way subsists. </w:t>
      </w:r>
    </w:p>
    <w:p w14:paraId="546F3D3F" w14:textId="205E0EB3" w:rsidR="00057464" w:rsidRPr="003709C7" w:rsidRDefault="00057464" w:rsidP="00AD2607">
      <w:pPr>
        <w:pStyle w:val="Style1"/>
        <w:spacing w:before="120"/>
        <w:rPr>
          <w:rFonts w:ascii="Arial" w:hAnsi="Arial" w:cs="Arial"/>
          <w:sz w:val="24"/>
          <w:szCs w:val="24"/>
        </w:rPr>
      </w:pPr>
      <w:r w:rsidRPr="003709C7">
        <w:rPr>
          <w:rFonts w:ascii="Arial" w:hAnsi="Arial" w:cs="Arial"/>
          <w:sz w:val="24"/>
          <w:szCs w:val="24"/>
        </w:rPr>
        <w:t>If either</w:t>
      </w:r>
      <w:r w:rsidR="00644991" w:rsidRPr="003709C7">
        <w:rPr>
          <w:rFonts w:ascii="Arial" w:hAnsi="Arial" w:cs="Arial"/>
          <w:sz w:val="24"/>
          <w:szCs w:val="24"/>
        </w:rPr>
        <w:t xml:space="preserve"> of the</w:t>
      </w:r>
      <w:r w:rsidRPr="003709C7">
        <w:rPr>
          <w:rFonts w:ascii="Arial" w:hAnsi="Arial" w:cs="Arial"/>
          <w:sz w:val="24"/>
          <w:szCs w:val="24"/>
        </w:rPr>
        <w:t xml:space="preserve"> </w:t>
      </w:r>
      <w:r w:rsidR="002E1A83" w:rsidRPr="003709C7">
        <w:rPr>
          <w:rFonts w:ascii="Arial" w:hAnsi="Arial" w:cs="Arial"/>
          <w:sz w:val="24"/>
          <w:szCs w:val="24"/>
        </w:rPr>
        <w:t>test</w:t>
      </w:r>
      <w:r w:rsidR="00644991" w:rsidRPr="003709C7">
        <w:rPr>
          <w:rFonts w:ascii="Arial" w:hAnsi="Arial" w:cs="Arial"/>
          <w:sz w:val="24"/>
          <w:szCs w:val="24"/>
        </w:rPr>
        <w:t>s</w:t>
      </w:r>
      <w:r w:rsidR="002E1A83" w:rsidRPr="003709C7">
        <w:rPr>
          <w:rFonts w:ascii="Arial" w:hAnsi="Arial" w:cs="Arial"/>
          <w:sz w:val="24"/>
          <w:szCs w:val="24"/>
        </w:rPr>
        <w:t xml:space="preserve"> is</w:t>
      </w:r>
      <w:r w:rsidR="004C08A6" w:rsidRPr="003709C7">
        <w:rPr>
          <w:rFonts w:ascii="Arial" w:hAnsi="Arial" w:cs="Arial"/>
          <w:sz w:val="24"/>
          <w:szCs w:val="24"/>
        </w:rPr>
        <w:t xml:space="preserve"> </w:t>
      </w:r>
      <w:r w:rsidR="002E1A83" w:rsidRPr="003709C7">
        <w:rPr>
          <w:rFonts w:ascii="Arial" w:hAnsi="Arial" w:cs="Arial"/>
          <w:sz w:val="24"/>
          <w:szCs w:val="24"/>
        </w:rPr>
        <w:t xml:space="preserve">met </w:t>
      </w:r>
      <w:r w:rsidR="00F60968" w:rsidRPr="003709C7">
        <w:rPr>
          <w:rFonts w:ascii="Arial" w:hAnsi="Arial" w:cs="Arial"/>
          <w:sz w:val="24"/>
          <w:szCs w:val="24"/>
        </w:rPr>
        <w:t>Bagshaw and Norton h</w:t>
      </w:r>
      <w:r w:rsidR="00F63871" w:rsidRPr="003709C7">
        <w:rPr>
          <w:rFonts w:ascii="Arial" w:hAnsi="Arial" w:cs="Arial"/>
          <w:sz w:val="24"/>
          <w:szCs w:val="24"/>
        </w:rPr>
        <w:t xml:space="preserve">eld </w:t>
      </w:r>
      <w:r w:rsidR="00D32F47" w:rsidRPr="003709C7">
        <w:rPr>
          <w:rFonts w:ascii="Arial" w:hAnsi="Arial" w:cs="Arial"/>
          <w:sz w:val="24"/>
          <w:szCs w:val="24"/>
        </w:rPr>
        <w:t>t</w:t>
      </w:r>
      <w:r w:rsidR="00F63871" w:rsidRPr="003709C7">
        <w:rPr>
          <w:rFonts w:ascii="Arial" w:hAnsi="Arial" w:cs="Arial"/>
          <w:sz w:val="24"/>
          <w:szCs w:val="24"/>
        </w:rPr>
        <w:t>hat</w:t>
      </w:r>
      <w:r w:rsidR="00D32F47" w:rsidRPr="003709C7">
        <w:rPr>
          <w:rFonts w:ascii="Arial" w:hAnsi="Arial" w:cs="Arial"/>
          <w:sz w:val="24"/>
          <w:szCs w:val="24"/>
        </w:rPr>
        <w:t xml:space="preserve"> </w:t>
      </w:r>
      <w:r w:rsidR="004C08A6" w:rsidRPr="003709C7">
        <w:rPr>
          <w:rFonts w:ascii="Arial" w:hAnsi="Arial" w:cs="Arial"/>
          <w:sz w:val="24"/>
          <w:szCs w:val="24"/>
        </w:rPr>
        <w:t xml:space="preserve">a </w:t>
      </w:r>
      <w:r w:rsidR="00EF7C74">
        <w:rPr>
          <w:rFonts w:ascii="Arial" w:hAnsi="Arial" w:cs="Arial"/>
          <w:sz w:val="24"/>
          <w:szCs w:val="24"/>
        </w:rPr>
        <w:t>Definitive Map Modification Order (</w:t>
      </w:r>
      <w:r w:rsidR="004C08A6" w:rsidRPr="003709C7">
        <w:rPr>
          <w:rFonts w:ascii="Arial" w:hAnsi="Arial" w:cs="Arial"/>
          <w:sz w:val="24"/>
          <w:szCs w:val="24"/>
        </w:rPr>
        <w:t>DMMO</w:t>
      </w:r>
      <w:r w:rsidR="00EF7C74">
        <w:rPr>
          <w:rFonts w:ascii="Arial" w:hAnsi="Arial" w:cs="Arial"/>
          <w:sz w:val="24"/>
          <w:szCs w:val="24"/>
        </w:rPr>
        <w:t>)</w:t>
      </w:r>
      <w:r w:rsidR="004C08A6" w:rsidRPr="003709C7">
        <w:rPr>
          <w:rFonts w:ascii="Arial" w:hAnsi="Arial" w:cs="Arial"/>
          <w:sz w:val="24"/>
          <w:szCs w:val="24"/>
        </w:rPr>
        <w:t xml:space="preserve"> should be made.</w:t>
      </w:r>
    </w:p>
    <w:p w14:paraId="197E2409" w14:textId="5F3AD504" w:rsidR="00ED2851" w:rsidRPr="003709C7" w:rsidRDefault="00ED2851" w:rsidP="00AD2607">
      <w:pPr>
        <w:pStyle w:val="Style1"/>
        <w:spacing w:before="120"/>
        <w:rPr>
          <w:rFonts w:ascii="Arial" w:hAnsi="Arial" w:cs="Arial"/>
          <w:sz w:val="24"/>
          <w:szCs w:val="24"/>
        </w:rPr>
      </w:pPr>
      <w:bookmarkStart w:id="3" w:name="_Hlk122443363"/>
      <w:r w:rsidRPr="00A26727">
        <w:rPr>
          <w:rFonts w:ascii="Arial" w:hAnsi="Arial" w:cs="Arial"/>
          <w:sz w:val="24"/>
          <w:szCs w:val="24"/>
        </w:rPr>
        <w:t xml:space="preserve">In relation to Test B, the Court of Appeal recognised in the </w:t>
      </w:r>
      <w:r w:rsidR="000A0A15" w:rsidRPr="00A26727">
        <w:rPr>
          <w:rFonts w:ascii="Arial" w:hAnsi="Arial" w:cs="Arial"/>
          <w:sz w:val="24"/>
          <w:szCs w:val="24"/>
        </w:rPr>
        <w:t>case of</w:t>
      </w:r>
      <w:r w:rsidR="000A0A15" w:rsidRPr="00A26727">
        <w:rPr>
          <w:rFonts w:ascii="Arial" w:hAnsi="Arial" w:cs="Arial"/>
          <w:i/>
          <w:iCs/>
          <w:sz w:val="24"/>
          <w:szCs w:val="24"/>
        </w:rPr>
        <w:t xml:space="preserve"> </w:t>
      </w:r>
      <w:r w:rsidR="000911A0" w:rsidRPr="00A26727">
        <w:rPr>
          <w:rFonts w:ascii="Arial" w:hAnsi="Arial" w:cs="Arial"/>
          <w:i/>
          <w:iCs/>
          <w:sz w:val="24"/>
          <w:szCs w:val="24"/>
        </w:rPr>
        <w:t xml:space="preserve">R v SSW ex parte </w:t>
      </w:r>
      <w:r w:rsidRPr="00A26727">
        <w:rPr>
          <w:rFonts w:ascii="Arial" w:hAnsi="Arial" w:cs="Arial"/>
          <w:i/>
          <w:iCs/>
          <w:sz w:val="24"/>
          <w:szCs w:val="24"/>
        </w:rPr>
        <w:t>Emery</w:t>
      </w:r>
      <w:r w:rsidRPr="00A26727">
        <w:rPr>
          <w:rFonts w:ascii="Arial" w:hAnsi="Arial" w:cs="Arial"/>
          <w:sz w:val="24"/>
          <w:szCs w:val="24"/>
        </w:rPr>
        <w:t xml:space="preserve"> </w:t>
      </w:r>
      <w:r w:rsidR="005232E8">
        <w:rPr>
          <w:rFonts w:ascii="Arial" w:hAnsi="Arial" w:cs="Arial"/>
          <w:sz w:val="24"/>
          <w:szCs w:val="24"/>
        </w:rPr>
        <w:t xml:space="preserve">[1996,1998] </w:t>
      </w:r>
      <w:r w:rsidR="00F12B21">
        <w:rPr>
          <w:rFonts w:ascii="Arial" w:hAnsi="Arial" w:cs="Arial"/>
          <w:sz w:val="24"/>
          <w:szCs w:val="24"/>
        </w:rPr>
        <w:t xml:space="preserve">(‘Emery’) </w:t>
      </w:r>
      <w:r w:rsidRPr="00A26727">
        <w:rPr>
          <w:rFonts w:ascii="Arial" w:hAnsi="Arial" w:cs="Arial"/>
          <w:sz w:val="24"/>
          <w:szCs w:val="24"/>
        </w:rPr>
        <w:t>that</w:t>
      </w:r>
      <w:r w:rsidRPr="003709C7">
        <w:rPr>
          <w:rFonts w:ascii="Arial" w:hAnsi="Arial" w:cs="Arial"/>
          <w:sz w:val="24"/>
          <w:szCs w:val="24"/>
        </w:rPr>
        <w:t xml:space="preserve"> there may be instances where conflicting evidence was presented at the schedule 14 stage. In Emery, Roche L</w:t>
      </w:r>
      <w:r w:rsidR="003D5A52" w:rsidRPr="003709C7">
        <w:rPr>
          <w:rFonts w:ascii="Arial" w:hAnsi="Arial" w:cs="Arial"/>
          <w:sz w:val="24"/>
          <w:szCs w:val="24"/>
        </w:rPr>
        <w:t xml:space="preserve"> </w:t>
      </w:r>
      <w:r w:rsidRPr="003709C7">
        <w:rPr>
          <w:rFonts w:ascii="Arial" w:hAnsi="Arial" w:cs="Arial"/>
          <w:sz w:val="24"/>
          <w:szCs w:val="24"/>
        </w:rPr>
        <w:t>J held that "…</w:t>
      </w:r>
      <w:r w:rsidRPr="003709C7">
        <w:rPr>
          <w:rFonts w:ascii="Arial" w:hAnsi="Arial" w:cs="Arial"/>
          <w:i/>
          <w:iCs/>
          <w:sz w:val="24"/>
          <w:szCs w:val="24"/>
        </w:rPr>
        <w:t>The problem arises where there is conflicting evidence…In approaching such cases, the authority and the Secretary of State must bear in mind that an order…made following a Schedule 14 procedure still leaves both the applicant and objectors with the ability to object to the order under Schedule 15 when conflicting evidence can be heard and those issues determined following a public inquiry</w:t>
      </w:r>
      <w:r w:rsidRPr="003709C7">
        <w:rPr>
          <w:rFonts w:ascii="Arial" w:hAnsi="Arial" w:cs="Arial"/>
          <w:sz w:val="24"/>
          <w:szCs w:val="24"/>
        </w:rPr>
        <w:t>."</w:t>
      </w:r>
    </w:p>
    <w:bookmarkEnd w:id="3"/>
    <w:p w14:paraId="5B8771A5" w14:textId="04AB4600" w:rsidR="00ED2851" w:rsidRPr="003709C7" w:rsidRDefault="00773194" w:rsidP="00AD2607">
      <w:pPr>
        <w:pStyle w:val="Style1"/>
        <w:spacing w:before="120"/>
        <w:rPr>
          <w:rFonts w:ascii="Arial" w:hAnsi="Arial" w:cs="Arial"/>
          <w:sz w:val="24"/>
          <w:szCs w:val="24"/>
        </w:rPr>
      </w:pPr>
      <w:r w:rsidRPr="003709C7">
        <w:rPr>
          <w:rFonts w:ascii="Arial" w:hAnsi="Arial" w:cs="Arial"/>
          <w:kern w:val="0"/>
          <w:sz w:val="24"/>
          <w:szCs w:val="24"/>
          <w:shd w:val="clear" w:color="auto" w:fill="FFFFFF"/>
        </w:rPr>
        <w:t>Limited d</w:t>
      </w:r>
      <w:r w:rsidR="00ED2851" w:rsidRPr="003709C7">
        <w:rPr>
          <w:rFonts w:ascii="Arial" w:hAnsi="Arial" w:cs="Arial"/>
          <w:kern w:val="0"/>
          <w:sz w:val="24"/>
          <w:szCs w:val="24"/>
          <w:shd w:val="clear" w:color="auto" w:fill="FFFFFF"/>
        </w:rPr>
        <w:t>ocumentary evidence has been submitted</w:t>
      </w:r>
      <w:r w:rsidRPr="003709C7">
        <w:rPr>
          <w:rFonts w:ascii="Arial" w:hAnsi="Arial" w:cs="Arial"/>
          <w:kern w:val="0"/>
          <w:sz w:val="24"/>
          <w:szCs w:val="24"/>
          <w:shd w:val="clear" w:color="auto" w:fill="FFFFFF"/>
        </w:rPr>
        <w:t xml:space="preserve"> by </w:t>
      </w:r>
      <w:r w:rsidR="000F4135" w:rsidRPr="003709C7">
        <w:rPr>
          <w:rFonts w:ascii="Arial" w:hAnsi="Arial" w:cs="Arial"/>
          <w:kern w:val="0"/>
          <w:sz w:val="24"/>
          <w:szCs w:val="24"/>
          <w:shd w:val="clear" w:color="auto" w:fill="FFFFFF"/>
        </w:rPr>
        <w:t>Cornwall Ramblers</w:t>
      </w:r>
      <w:r w:rsidR="00ED2851" w:rsidRPr="003709C7">
        <w:rPr>
          <w:rFonts w:ascii="Arial" w:hAnsi="Arial" w:cs="Arial"/>
          <w:kern w:val="0"/>
          <w:sz w:val="24"/>
          <w:szCs w:val="24"/>
          <w:shd w:val="clear" w:color="auto" w:fill="FFFFFF"/>
        </w:rPr>
        <w:t xml:space="preserve"> in support of the </w:t>
      </w:r>
      <w:r w:rsidR="003D5A52" w:rsidRPr="003709C7">
        <w:rPr>
          <w:rFonts w:ascii="Arial" w:hAnsi="Arial" w:cs="Arial"/>
          <w:kern w:val="0"/>
          <w:sz w:val="24"/>
          <w:szCs w:val="24"/>
          <w:shd w:val="clear" w:color="auto" w:fill="FFFFFF"/>
        </w:rPr>
        <w:t>a</w:t>
      </w:r>
      <w:r w:rsidR="00ED2851" w:rsidRPr="003709C7">
        <w:rPr>
          <w:rFonts w:ascii="Arial" w:hAnsi="Arial" w:cs="Arial"/>
          <w:kern w:val="0"/>
          <w:sz w:val="24"/>
          <w:szCs w:val="24"/>
          <w:shd w:val="clear" w:color="auto" w:fill="FFFFFF"/>
        </w:rPr>
        <w:t>ppellant</w:t>
      </w:r>
      <w:r w:rsidR="003D5A52" w:rsidRPr="003709C7">
        <w:rPr>
          <w:rFonts w:ascii="Arial" w:hAnsi="Arial" w:cs="Arial"/>
          <w:kern w:val="0"/>
          <w:sz w:val="24"/>
          <w:szCs w:val="24"/>
          <w:shd w:val="clear" w:color="auto" w:fill="FFFFFF"/>
        </w:rPr>
        <w:t>s’</w:t>
      </w:r>
      <w:r w:rsidR="00ED2851" w:rsidRPr="003709C7">
        <w:rPr>
          <w:rFonts w:ascii="Arial" w:hAnsi="Arial" w:cs="Arial"/>
          <w:kern w:val="0"/>
          <w:sz w:val="24"/>
          <w:szCs w:val="24"/>
          <w:shd w:val="clear" w:color="auto" w:fill="FFFFFF"/>
        </w:rPr>
        <w:t xml:space="preserve"> contention of the existence of the claimed public right of way which </w:t>
      </w:r>
      <w:r w:rsidR="00BB1250" w:rsidRPr="003709C7">
        <w:rPr>
          <w:rFonts w:ascii="Arial" w:hAnsi="Arial" w:cs="Arial"/>
          <w:kern w:val="0"/>
          <w:sz w:val="24"/>
          <w:szCs w:val="24"/>
          <w:shd w:val="clear" w:color="auto" w:fill="FFFFFF"/>
        </w:rPr>
        <w:t>is</w:t>
      </w:r>
      <w:r w:rsidR="00ED2851" w:rsidRPr="003709C7">
        <w:rPr>
          <w:rFonts w:ascii="Arial" w:hAnsi="Arial" w:cs="Arial"/>
          <w:kern w:val="0"/>
          <w:sz w:val="24"/>
          <w:szCs w:val="24"/>
          <w:shd w:val="clear" w:color="auto" w:fill="FFFFFF"/>
        </w:rPr>
        <w:t xml:space="preserve"> the subject of this appeal. The evidence in this case </w:t>
      </w:r>
      <w:r w:rsidR="000F4135" w:rsidRPr="003709C7">
        <w:rPr>
          <w:rFonts w:ascii="Arial" w:hAnsi="Arial" w:cs="Arial"/>
          <w:kern w:val="0"/>
          <w:sz w:val="24"/>
          <w:szCs w:val="24"/>
          <w:shd w:val="clear" w:color="auto" w:fill="FFFFFF"/>
        </w:rPr>
        <w:t xml:space="preserve">primarily </w:t>
      </w:r>
      <w:r w:rsidR="00293D5A" w:rsidRPr="003709C7">
        <w:rPr>
          <w:rFonts w:ascii="Arial" w:hAnsi="Arial" w:cs="Arial"/>
          <w:kern w:val="0"/>
          <w:sz w:val="24"/>
          <w:szCs w:val="24"/>
          <w:shd w:val="clear" w:color="auto" w:fill="FFFFFF"/>
        </w:rPr>
        <w:t>relates to</w:t>
      </w:r>
      <w:r w:rsidR="00ED2851" w:rsidRPr="003709C7">
        <w:rPr>
          <w:rFonts w:ascii="Arial" w:hAnsi="Arial" w:cs="Arial"/>
          <w:kern w:val="0"/>
          <w:sz w:val="24"/>
          <w:szCs w:val="24"/>
          <w:shd w:val="clear" w:color="auto" w:fill="FFFFFF"/>
        </w:rPr>
        <w:t xml:space="preserve"> use.</w:t>
      </w:r>
    </w:p>
    <w:p w14:paraId="26624522" w14:textId="2BF6537E" w:rsidR="00985933" w:rsidRPr="003709C7" w:rsidRDefault="0096041A" w:rsidP="00AD2607">
      <w:pPr>
        <w:pStyle w:val="Heading6blackfont"/>
        <w:spacing w:before="120"/>
        <w:rPr>
          <w:rFonts w:ascii="Arial" w:hAnsi="Arial" w:cs="Arial"/>
          <w:sz w:val="24"/>
          <w:szCs w:val="24"/>
        </w:rPr>
      </w:pPr>
      <w:r w:rsidRPr="003709C7">
        <w:rPr>
          <w:rFonts w:ascii="Arial" w:hAnsi="Arial" w:cs="Arial"/>
          <w:sz w:val="24"/>
          <w:szCs w:val="24"/>
        </w:rPr>
        <w:t>Reasons</w:t>
      </w:r>
    </w:p>
    <w:p w14:paraId="631E7AC9" w14:textId="69BE0313" w:rsidR="00CC46AB" w:rsidRPr="009C27F9" w:rsidRDefault="00BE13ED" w:rsidP="009C27F9">
      <w:pPr>
        <w:pStyle w:val="Style1"/>
        <w:tabs>
          <w:tab w:val="clear" w:pos="720"/>
        </w:tabs>
        <w:spacing w:before="120"/>
        <w:rPr>
          <w:rFonts w:ascii="Arial" w:hAnsi="Arial" w:cs="Arial"/>
          <w:sz w:val="24"/>
          <w:szCs w:val="24"/>
        </w:rPr>
      </w:pPr>
      <w:r w:rsidRPr="00F12B21">
        <w:rPr>
          <w:rFonts w:ascii="Arial" w:hAnsi="Arial" w:cs="Arial"/>
          <w:sz w:val="24"/>
          <w:szCs w:val="24"/>
        </w:rPr>
        <w:t xml:space="preserve">The </w:t>
      </w:r>
      <w:r w:rsidR="00073B3E" w:rsidRPr="00F12B21">
        <w:rPr>
          <w:rFonts w:ascii="Arial" w:hAnsi="Arial" w:cs="Arial"/>
          <w:sz w:val="24"/>
          <w:szCs w:val="24"/>
        </w:rPr>
        <w:t xml:space="preserve">appeal concerns a </w:t>
      </w:r>
      <w:r w:rsidR="00910634" w:rsidRPr="00F12B21">
        <w:rPr>
          <w:rFonts w:ascii="Arial" w:hAnsi="Arial" w:cs="Arial"/>
          <w:sz w:val="24"/>
          <w:szCs w:val="24"/>
        </w:rPr>
        <w:t xml:space="preserve">claimed </w:t>
      </w:r>
      <w:r w:rsidR="00073B3E" w:rsidRPr="00F12B21">
        <w:rPr>
          <w:rFonts w:ascii="Arial" w:hAnsi="Arial" w:cs="Arial"/>
          <w:sz w:val="24"/>
          <w:szCs w:val="24"/>
        </w:rPr>
        <w:t xml:space="preserve">route </w:t>
      </w:r>
      <w:r w:rsidR="001E4236" w:rsidRPr="00F12B21">
        <w:rPr>
          <w:rFonts w:ascii="Arial" w:hAnsi="Arial" w:cs="Arial"/>
          <w:sz w:val="24"/>
          <w:szCs w:val="24"/>
        </w:rPr>
        <w:t>shown</w:t>
      </w:r>
      <w:r w:rsidR="00425B54" w:rsidRPr="00F12B21">
        <w:rPr>
          <w:rFonts w:ascii="Arial" w:hAnsi="Arial" w:cs="Arial"/>
          <w:sz w:val="24"/>
          <w:szCs w:val="24"/>
        </w:rPr>
        <w:t xml:space="preserve"> on the plan in Appendix </w:t>
      </w:r>
      <w:r w:rsidR="00F12B21" w:rsidRPr="00F12B21">
        <w:rPr>
          <w:rFonts w:ascii="Arial" w:hAnsi="Arial" w:cs="Arial"/>
          <w:sz w:val="24"/>
          <w:szCs w:val="24"/>
        </w:rPr>
        <w:t>A</w:t>
      </w:r>
      <w:r w:rsidR="00425B54" w:rsidRPr="00F12B21">
        <w:rPr>
          <w:rFonts w:ascii="Arial" w:hAnsi="Arial" w:cs="Arial"/>
          <w:sz w:val="24"/>
          <w:szCs w:val="24"/>
        </w:rPr>
        <w:t xml:space="preserve">. The route </w:t>
      </w:r>
      <w:r w:rsidR="00160A0E" w:rsidRPr="00F12B21">
        <w:rPr>
          <w:rFonts w:ascii="Arial" w:hAnsi="Arial" w:cs="Arial"/>
          <w:sz w:val="24"/>
          <w:szCs w:val="24"/>
        </w:rPr>
        <w:t xml:space="preserve">starts on </w:t>
      </w:r>
      <w:r w:rsidR="005A315A" w:rsidRPr="00F12B21">
        <w:rPr>
          <w:rFonts w:ascii="Arial" w:hAnsi="Arial" w:cs="Arial"/>
          <w:sz w:val="24"/>
          <w:szCs w:val="24"/>
        </w:rPr>
        <w:t xml:space="preserve">a classified road C157 </w:t>
      </w:r>
      <w:r w:rsidR="007A38A5" w:rsidRPr="00F12B21">
        <w:rPr>
          <w:rFonts w:ascii="Arial" w:hAnsi="Arial" w:cs="Arial"/>
          <w:sz w:val="24"/>
          <w:szCs w:val="24"/>
        </w:rPr>
        <w:t xml:space="preserve">(point A) </w:t>
      </w:r>
      <w:r w:rsidR="00E55DC6" w:rsidRPr="00F12B21">
        <w:rPr>
          <w:rFonts w:ascii="Arial" w:hAnsi="Arial" w:cs="Arial"/>
          <w:sz w:val="24"/>
          <w:szCs w:val="24"/>
        </w:rPr>
        <w:t xml:space="preserve">and </w:t>
      </w:r>
      <w:r w:rsidR="00073B3E" w:rsidRPr="00F12B21">
        <w:rPr>
          <w:rFonts w:ascii="Arial" w:hAnsi="Arial" w:cs="Arial"/>
          <w:sz w:val="24"/>
          <w:szCs w:val="24"/>
        </w:rPr>
        <w:t xml:space="preserve">crosses </w:t>
      </w:r>
      <w:r w:rsidR="009A7298" w:rsidRPr="00F12B21">
        <w:rPr>
          <w:rFonts w:ascii="Arial" w:hAnsi="Arial" w:cs="Arial"/>
          <w:sz w:val="24"/>
          <w:szCs w:val="24"/>
        </w:rPr>
        <w:t xml:space="preserve">agricultural land </w:t>
      </w:r>
      <w:r w:rsidR="00910634" w:rsidRPr="00F12B21">
        <w:rPr>
          <w:rFonts w:ascii="Arial" w:hAnsi="Arial" w:cs="Arial"/>
          <w:sz w:val="24"/>
          <w:szCs w:val="24"/>
        </w:rPr>
        <w:t>to</w:t>
      </w:r>
      <w:r w:rsidR="00910634" w:rsidRPr="003709C7">
        <w:rPr>
          <w:rFonts w:ascii="Arial" w:hAnsi="Arial" w:cs="Arial"/>
          <w:sz w:val="24"/>
          <w:szCs w:val="24"/>
        </w:rPr>
        <w:t xml:space="preserve"> the south of Choone Farm </w:t>
      </w:r>
      <w:r w:rsidR="005001AA">
        <w:rPr>
          <w:rFonts w:ascii="Arial" w:hAnsi="Arial" w:cs="Arial"/>
          <w:sz w:val="24"/>
          <w:szCs w:val="24"/>
        </w:rPr>
        <w:t>and its ve</w:t>
      </w:r>
      <w:r w:rsidR="00FA041A">
        <w:rPr>
          <w:rFonts w:ascii="Arial" w:hAnsi="Arial" w:cs="Arial"/>
          <w:sz w:val="24"/>
          <w:szCs w:val="24"/>
        </w:rPr>
        <w:t xml:space="preserve">hicular access (point B) </w:t>
      </w:r>
      <w:r w:rsidR="00A26A90" w:rsidRPr="003709C7">
        <w:rPr>
          <w:rFonts w:ascii="Arial" w:hAnsi="Arial" w:cs="Arial"/>
          <w:sz w:val="24"/>
          <w:szCs w:val="24"/>
        </w:rPr>
        <w:t>before</w:t>
      </w:r>
      <w:r w:rsidR="00E55DC6" w:rsidRPr="003709C7">
        <w:rPr>
          <w:rFonts w:ascii="Arial" w:hAnsi="Arial" w:cs="Arial"/>
          <w:sz w:val="24"/>
          <w:szCs w:val="24"/>
        </w:rPr>
        <w:t xml:space="preserve"> </w:t>
      </w:r>
      <w:r w:rsidR="006C20FF" w:rsidRPr="003709C7">
        <w:rPr>
          <w:rFonts w:ascii="Arial" w:hAnsi="Arial" w:cs="Arial"/>
          <w:sz w:val="24"/>
          <w:szCs w:val="24"/>
        </w:rPr>
        <w:t>join</w:t>
      </w:r>
      <w:r w:rsidR="00A26A90" w:rsidRPr="003709C7">
        <w:rPr>
          <w:rFonts w:ascii="Arial" w:hAnsi="Arial" w:cs="Arial"/>
          <w:sz w:val="24"/>
          <w:szCs w:val="24"/>
        </w:rPr>
        <w:t xml:space="preserve">ing </w:t>
      </w:r>
      <w:r w:rsidR="00855AC0">
        <w:rPr>
          <w:rFonts w:ascii="Arial" w:hAnsi="Arial" w:cs="Arial"/>
          <w:sz w:val="24"/>
          <w:szCs w:val="24"/>
        </w:rPr>
        <w:t xml:space="preserve">footpath </w:t>
      </w:r>
      <w:r w:rsidR="008456FF">
        <w:rPr>
          <w:rFonts w:ascii="Arial" w:hAnsi="Arial" w:cs="Arial"/>
          <w:sz w:val="24"/>
          <w:szCs w:val="24"/>
        </w:rPr>
        <w:t xml:space="preserve">52/1 St Buryan at its </w:t>
      </w:r>
      <w:r w:rsidR="005260AA">
        <w:rPr>
          <w:rFonts w:ascii="Arial" w:hAnsi="Arial" w:cs="Arial"/>
          <w:sz w:val="24"/>
          <w:szCs w:val="24"/>
        </w:rPr>
        <w:t xml:space="preserve">junction </w:t>
      </w:r>
      <w:r w:rsidR="008456FF">
        <w:rPr>
          <w:rFonts w:ascii="Arial" w:hAnsi="Arial" w:cs="Arial"/>
          <w:sz w:val="24"/>
          <w:szCs w:val="24"/>
        </w:rPr>
        <w:t xml:space="preserve">with </w:t>
      </w:r>
      <w:r w:rsidR="006C20FF" w:rsidRPr="003709C7">
        <w:rPr>
          <w:rFonts w:ascii="Arial" w:hAnsi="Arial" w:cs="Arial"/>
          <w:sz w:val="24"/>
          <w:szCs w:val="24"/>
        </w:rPr>
        <w:t>footpath</w:t>
      </w:r>
      <w:r w:rsidR="00F94F6D">
        <w:rPr>
          <w:rFonts w:ascii="Arial" w:hAnsi="Arial" w:cs="Arial"/>
          <w:sz w:val="24"/>
          <w:szCs w:val="24"/>
        </w:rPr>
        <w:t xml:space="preserve"> 52/2</w:t>
      </w:r>
      <w:r w:rsidR="006C20FF" w:rsidRPr="003709C7">
        <w:rPr>
          <w:rFonts w:ascii="Arial" w:hAnsi="Arial" w:cs="Arial"/>
          <w:sz w:val="24"/>
          <w:szCs w:val="24"/>
        </w:rPr>
        <w:t xml:space="preserve"> </w:t>
      </w:r>
      <w:r w:rsidR="0052311D" w:rsidRPr="009C27F9">
        <w:rPr>
          <w:rFonts w:ascii="Arial" w:hAnsi="Arial" w:cs="Arial"/>
          <w:sz w:val="24"/>
          <w:szCs w:val="24"/>
        </w:rPr>
        <w:t>(point C)</w:t>
      </w:r>
      <w:r w:rsidR="0017499B" w:rsidRPr="009C27F9">
        <w:rPr>
          <w:rFonts w:ascii="Arial" w:hAnsi="Arial" w:cs="Arial"/>
          <w:sz w:val="24"/>
          <w:szCs w:val="24"/>
        </w:rPr>
        <w:t xml:space="preserve"> </w:t>
      </w:r>
      <w:r w:rsidR="00FA041A" w:rsidRPr="009C27F9">
        <w:rPr>
          <w:rFonts w:ascii="Arial" w:hAnsi="Arial" w:cs="Arial"/>
          <w:sz w:val="24"/>
          <w:szCs w:val="24"/>
        </w:rPr>
        <w:t xml:space="preserve">some distance </w:t>
      </w:r>
      <w:r w:rsidR="0017499B" w:rsidRPr="009C27F9">
        <w:rPr>
          <w:rFonts w:ascii="Arial" w:hAnsi="Arial" w:cs="Arial"/>
          <w:sz w:val="24"/>
          <w:szCs w:val="24"/>
        </w:rPr>
        <w:t>further to the east</w:t>
      </w:r>
      <w:r w:rsidR="0052311D" w:rsidRPr="009C27F9">
        <w:rPr>
          <w:rFonts w:ascii="Arial" w:hAnsi="Arial" w:cs="Arial"/>
          <w:sz w:val="24"/>
          <w:szCs w:val="24"/>
        </w:rPr>
        <w:t xml:space="preserve">. </w:t>
      </w:r>
      <w:r w:rsidR="00CF2E22" w:rsidRPr="009C27F9">
        <w:rPr>
          <w:rFonts w:ascii="Arial" w:hAnsi="Arial" w:cs="Arial"/>
          <w:sz w:val="24"/>
          <w:szCs w:val="24"/>
        </w:rPr>
        <w:t xml:space="preserve">In so doing </w:t>
      </w:r>
      <w:r w:rsidR="00D95854" w:rsidRPr="009C27F9">
        <w:rPr>
          <w:rFonts w:ascii="Arial" w:hAnsi="Arial" w:cs="Arial"/>
          <w:sz w:val="24"/>
          <w:szCs w:val="24"/>
        </w:rPr>
        <w:t xml:space="preserve">the route crosses land owned by </w:t>
      </w:r>
      <w:r w:rsidR="0077475E" w:rsidRPr="009C27F9">
        <w:rPr>
          <w:rFonts w:ascii="Arial" w:hAnsi="Arial" w:cs="Arial"/>
          <w:sz w:val="24"/>
          <w:szCs w:val="24"/>
        </w:rPr>
        <w:t xml:space="preserve">Mr &amp; Mrs </w:t>
      </w:r>
      <w:r w:rsidR="00995B4C" w:rsidRPr="009C27F9">
        <w:rPr>
          <w:rFonts w:ascii="Arial" w:hAnsi="Arial" w:cs="Arial"/>
          <w:sz w:val="24"/>
          <w:szCs w:val="24"/>
        </w:rPr>
        <w:t xml:space="preserve">Care of </w:t>
      </w:r>
      <w:r w:rsidR="003835AC" w:rsidRPr="009C27F9">
        <w:rPr>
          <w:rFonts w:ascii="Arial" w:hAnsi="Arial" w:cs="Arial"/>
          <w:sz w:val="24"/>
          <w:szCs w:val="24"/>
        </w:rPr>
        <w:t>Choone Farm</w:t>
      </w:r>
      <w:r w:rsidR="00D95854" w:rsidRPr="009C27F9">
        <w:rPr>
          <w:rFonts w:ascii="Arial" w:hAnsi="Arial" w:cs="Arial"/>
          <w:sz w:val="24"/>
          <w:szCs w:val="24"/>
        </w:rPr>
        <w:t xml:space="preserve"> and </w:t>
      </w:r>
      <w:r w:rsidR="00C97D7F" w:rsidRPr="009C27F9">
        <w:rPr>
          <w:rFonts w:ascii="Arial" w:hAnsi="Arial" w:cs="Arial"/>
          <w:sz w:val="24"/>
          <w:szCs w:val="24"/>
        </w:rPr>
        <w:t>Treg</w:t>
      </w:r>
      <w:r w:rsidR="009024A9" w:rsidRPr="009C27F9">
        <w:rPr>
          <w:rFonts w:ascii="Arial" w:hAnsi="Arial" w:cs="Arial"/>
          <w:sz w:val="24"/>
          <w:szCs w:val="24"/>
        </w:rPr>
        <w:t>othnan Estate</w:t>
      </w:r>
      <w:r w:rsidR="00D95854" w:rsidRPr="009C27F9">
        <w:rPr>
          <w:rFonts w:ascii="Arial" w:hAnsi="Arial" w:cs="Arial"/>
          <w:sz w:val="24"/>
          <w:szCs w:val="24"/>
        </w:rPr>
        <w:t xml:space="preserve">. </w:t>
      </w:r>
      <w:r w:rsidR="00941251" w:rsidRPr="009C27F9">
        <w:rPr>
          <w:rFonts w:ascii="Arial" w:hAnsi="Arial" w:cs="Arial"/>
          <w:sz w:val="24"/>
          <w:szCs w:val="24"/>
        </w:rPr>
        <w:t xml:space="preserve">The owners of Choone Farm </w:t>
      </w:r>
      <w:r w:rsidR="0044034E" w:rsidRPr="009C27F9">
        <w:rPr>
          <w:rFonts w:ascii="Arial" w:hAnsi="Arial" w:cs="Arial"/>
          <w:sz w:val="24"/>
          <w:szCs w:val="24"/>
        </w:rPr>
        <w:t>objected to the application to add the footpath to the definitive map</w:t>
      </w:r>
      <w:r w:rsidR="00E47B25" w:rsidRPr="009C27F9">
        <w:rPr>
          <w:rFonts w:ascii="Arial" w:hAnsi="Arial" w:cs="Arial"/>
          <w:sz w:val="24"/>
          <w:szCs w:val="24"/>
        </w:rPr>
        <w:t xml:space="preserve"> whilst </w:t>
      </w:r>
      <w:r w:rsidR="00941251" w:rsidRPr="009C27F9">
        <w:rPr>
          <w:rFonts w:ascii="Arial" w:hAnsi="Arial" w:cs="Arial"/>
          <w:sz w:val="24"/>
          <w:szCs w:val="24"/>
        </w:rPr>
        <w:t>the</w:t>
      </w:r>
      <w:r w:rsidR="009024A9" w:rsidRPr="009C27F9">
        <w:rPr>
          <w:rFonts w:ascii="Arial" w:hAnsi="Arial" w:cs="Arial"/>
          <w:sz w:val="24"/>
          <w:szCs w:val="24"/>
        </w:rPr>
        <w:t xml:space="preserve"> Tregothnan Estate</w:t>
      </w:r>
      <w:r w:rsidR="00941251" w:rsidRPr="009C27F9">
        <w:rPr>
          <w:rFonts w:ascii="Arial" w:hAnsi="Arial" w:cs="Arial"/>
          <w:sz w:val="24"/>
          <w:szCs w:val="24"/>
        </w:rPr>
        <w:t xml:space="preserve"> </w:t>
      </w:r>
      <w:r w:rsidR="00E47B25" w:rsidRPr="009C27F9">
        <w:rPr>
          <w:rFonts w:ascii="Arial" w:hAnsi="Arial" w:cs="Arial"/>
          <w:sz w:val="24"/>
          <w:szCs w:val="24"/>
        </w:rPr>
        <w:t>did not.</w:t>
      </w:r>
    </w:p>
    <w:p w14:paraId="4F592C75" w14:textId="4DCEB8BD" w:rsidR="0044034E" w:rsidRPr="003709C7" w:rsidRDefault="0044034E" w:rsidP="00AD2607">
      <w:pPr>
        <w:pStyle w:val="Style1"/>
        <w:numPr>
          <w:ilvl w:val="0"/>
          <w:numId w:val="0"/>
        </w:numPr>
        <w:spacing w:before="120"/>
        <w:rPr>
          <w:rFonts w:ascii="Arial" w:hAnsi="Arial" w:cs="Arial"/>
          <w:i/>
          <w:iCs/>
          <w:sz w:val="24"/>
          <w:szCs w:val="24"/>
        </w:rPr>
      </w:pPr>
      <w:r w:rsidRPr="003709C7">
        <w:rPr>
          <w:rFonts w:ascii="Arial" w:hAnsi="Arial" w:cs="Arial"/>
          <w:i/>
          <w:iCs/>
          <w:sz w:val="24"/>
          <w:szCs w:val="24"/>
        </w:rPr>
        <w:t xml:space="preserve">Documentary evidence </w:t>
      </w:r>
    </w:p>
    <w:p w14:paraId="7B896CA9" w14:textId="000C96D4" w:rsidR="00A15807" w:rsidRPr="003709C7" w:rsidRDefault="0019404F" w:rsidP="00AD2607">
      <w:pPr>
        <w:pStyle w:val="Style1"/>
        <w:spacing w:before="120"/>
        <w:rPr>
          <w:rFonts w:ascii="Arial" w:hAnsi="Arial" w:cs="Arial"/>
          <w:sz w:val="24"/>
          <w:szCs w:val="24"/>
        </w:rPr>
      </w:pPr>
      <w:r w:rsidRPr="003709C7">
        <w:rPr>
          <w:rFonts w:ascii="Arial" w:hAnsi="Arial" w:cs="Arial"/>
          <w:sz w:val="24"/>
          <w:szCs w:val="24"/>
        </w:rPr>
        <w:t xml:space="preserve">St Buryan footpath 52 </w:t>
      </w:r>
      <w:r w:rsidR="009E57B3" w:rsidRPr="003709C7">
        <w:rPr>
          <w:rFonts w:ascii="Arial" w:hAnsi="Arial" w:cs="Arial"/>
          <w:sz w:val="24"/>
          <w:szCs w:val="24"/>
        </w:rPr>
        <w:t xml:space="preserve">starts at </w:t>
      </w:r>
      <w:r w:rsidR="00CB4B50" w:rsidRPr="003709C7">
        <w:rPr>
          <w:rFonts w:ascii="Arial" w:hAnsi="Arial" w:cs="Arial"/>
          <w:sz w:val="24"/>
          <w:szCs w:val="24"/>
        </w:rPr>
        <w:t>the classified road B</w:t>
      </w:r>
      <w:r w:rsidR="00FA14FA" w:rsidRPr="003709C7">
        <w:rPr>
          <w:rFonts w:ascii="Arial" w:hAnsi="Arial" w:cs="Arial"/>
          <w:sz w:val="24"/>
          <w:szCs w:val="24"/>
        </w:rPr>
        <w:t xml:space="preserve">3315 and </w:t>
      </w:r>
      <w:r w:rsidR="00E61C71" w:rsidRPr="003709C7">
        <w:rPr>
          <w:rFonts w:ascii="Arial" w:hAnsi="Arial" w:cs="Arial"/>
          <w:sz w:val="24"/>
          <w:szCs w:val="24"/>
        </w:rPr>
        <w:t xml:space="preserve">terminates </w:t>
      </w:r>
      <w:r w:rsidR="00F26F72">
        <w:rPr>
          <w:rFonts w:ascii="Arial" w:hAnsi="Arial" w:cs="Arial"/>
          <w:sz w:val="24"/>
          <w:szCs w:val="24"/>
        </w:rPr>
        <w:t xml:space="preserve">to the west </w:t>
      </w:r>
      <w:r w:rsidR="00E61C71" w:rsidRPr="003709C7">
        <w:rPr>
          <w:rFonts w:ascii="Arial" w:hAnsi="Arial" w:cs="Arial"/>
          <w:sz w:val="24"/>
          <w:szCs w:val="24"/>
        </w:rPr>
        <w:t xml:space="preserve">at </w:t>
      </w:r>
      <w:r w:rsidR="001861BA" w:rsidRPr="003709C7">
        <w:rPr>
          <w:rFonts w:ascii="Arial" w:hAnsi="Arial" w:cs="Arial"/>
          <w:sz w:val="24"/>
          <w:szCs w:val="24"/>
        </w:rPr>
        <w:t xml:space="preserve">Furnace Cottage by </w:t>
      </w:r>
      <w:r w:rsidR="005B0C25" w:rsidRPr="003709C7">
        <w:rPr>
          <w:rFonts w:ascii="Arial" w:hAnsi="Arial" w:cs="Arial"/>
          <w:sz w:val="24"/>
          <w:szCs w:val="24"/>
        </w:rPr>
        <w:t>Choone Farm</w:t>
      </w:r>
      <w:r w:rsidR="00FA14FA" w:rsidRPr="003709C7">
        <w:rPr>
          <w:rFonts w:ascii="Arial" w:hAnsi="Arial" w:cs="Arial"/>
          <w:sz w:val="24"/>
          <w:szCs w:val="24"/>
        </w:rPr>
        <w:t xml:space="preserve"> without </w:t>
      </w:r>
      <w:r w:rsidR="006317E9" w:rsidRPr="003709C7">
        <w:rPr>
          <w:rFonts w:ascii="Arial" w:hAnsi="Arial" w:cs="Arial"/>
          <w:sz w:val="24"/>
          <w:szCs w:val="24"/>
        </w:rPr>
        <w:t xml:space="preserve">providing any </w:t>
      </w:r>
      <w:r w:rsidR="00F37958" w:rsidRPr="003709C7">
        <w:rPr>
          <w:rFonts w:ascii="Arial" w:hAnsi="Arial" w:cs="Arial"/>
          <w:sz w:val="24"/>
          <w:szCs w:val="24"/>
        </w:rPr>
        <w:t xml:space="preserve">onward </w:t>
      </w:r>
      <w:r w:rsidR="006317E9" w:rsidRPr="003709C7">
        <w:rPr>
          <w:rFonts w:ascii="Arial" w:hAnsi="Arial" w:cs="Arial"/>
          <w:sz w:val="24"/>
          <w:szCs w:val="24"/>
        </w:rPr>
        <w:t xml:space="preserve">connection </w:t>
      </w:r>
      <w:r w:rsidR="00FA14FA" w:rsidRPr="003709C7">
        <w:rPr>
          <w:rFonts w:ascii="Arial" w:hAnsi="Arial" w:cs="Arial"/>
          <w:sz w:val="24"/>
          <w:szCs w:val="24"/>
        </w:rPr>
        <w:t xml:space="preserve">to the </w:t>
      </w:r>
      <w:r w:rsidR="006317E9" w:rsidRPr="003709C7">
        <w:rPr>
          <w:rFonts w:ascii="Arial" w:hAnsi="Arial" w:cs="Arial"/>
          <w:sz w:val="24"/>
          <w:szCs w:val="24"/>
        </w:rPr>
        <w:t>highway</w:t>
      </w:r>
      <w:r w:rsidR="00F37958" w:rsidRPr="003709C7">
        <w:rPr>
          <w:rFonts w:ascii="Arial" w:hAnsi="Arial" w:cs="Arial"/>
          <w:sz w:val="24"/>
          <w:szCs w:val="24"/>
        </w:rPr>
        <w:t>.</w:t>
      </w:r>
    </w:p>
    <w:p w14:paraId="76A95C37" w14:textId="2E2F69E4" w:rsidR="0059052B" w:rsidRPr="00B72D85" w:rsidRDefault="00B4786A" w:rsidP="00AD2607">
      <w:pPr>
        <w:pStyle w:val="Style1"/>
        <w:spacing w:before="120"/>
        <w:rPr>
          <w:rFonts w:ascii="Arial" w:hAnsi="Arial" w:cs="Arial"/>
          <w:sz w:val="24"/>
          <w:szCs w:val="24"/>
        </w:rPr>
      </w:pPr>
      <w:r w:rsidRPr="003709C7">
        <w:rPr>
          <w:rFonts w:ascii="Arial" w:hAnsi="Arial" w:cs="Arial"/>
          <w:sz w:val="24"/>
          <w:szCs w:val="24"/>
        </w:rPr>
        <w:t xml:space="preserve">The current access to Choone Farm </w:t>
      </w:r>
      <w:r w:rsidR="00F92518" w:rsidRPr="003709C7">
        <w:rPr>
          <w:rFonts w:ascii="Arial" w:hAnsi="Arial" w:cs="Arial"/>
          <w:sz w:val="24"/>
          <w:szCs w:val="24"/>
        </w:rPr>
        <w:t>connects the property t</w:t>
      </w:r>
      <w:r w:rsidR="002B0AD1" w:rsidRPr="003709C7">
        <w:rPr>
          <w:rFonts w:ascii="Arial" w:hAnsi="Arial" w:cs="Arial"/>
          <w:sz w:val="24"/>
          <w:szCs w:val="24"/>
        </w:rPr>
        <w:t xml:space="preserve">o </w:t>
      </w:r>
      <w:r w:rsidR="00F92518" w:rsidRPr="003709C7">
        <w:rPr>
          <w:rFonts w:ascii="Arial" w:hAnsi="Arial" w:cs="Arial"/>
          <w:sz w:val="24"/>
          <w:szCs w:val="24"/>
        </w:rPr>
        <w:t>the C157</w:t>
      </w:r>
      <w:r w:rsidR="00F26F72">
        <w:rPr>
          <w:rFonts w:ascii="Arial" w:hAnsi="Arial" w:cs="Arial"/>
          <w:sz w:val="24"/>
          <w:szCs w:val="24"/>
        </w:rPr>
        <w:t xml:space="preserve"> road</w:t>
      </w:r>
      <w:r w:rsidR="00F92518" w:rsidRPr="003709C7">
        <w:rPr>
          <w:rFonts w:ascii="Arial" w:hAnsi="Arial" w:cs="Arial"/>
          <w:sz w:val="24"/>
          <w:szCs w:val="24"/>
        </w:rPr>
        <w:t xml:space="preserve"> </w:t>
      </w:r>
      <w:r w:rsidR="002B0AD1" w:rsidRPr="003709C7">
        <w:rPr>
          <w:rFonts w:ascii="Arial" w:hAnsi="Arial" w:cs="Arial"/>
          <w:sz w:val="24"/>
          <w:szCs w:val="24"/>
        </w:rPr>
        <w:t>to the south</w:t>
      </w:r>
      <w:r w:rsidR="00B44EA9">
        <w:rPr>
          <w:rFonts w:ascii="Arial" w:hAnsi="Arial" w:cs="Arial"/>
          <w:sz w:val="24"/>
          <w:szCs w:val="24"/>
        </w:rPr>
        <w:t>-</w:t>
      </w:r>
      <w:r w:rsidR="00F26F72">
        <w:rPr>
          <w:rFonts w:ascii="Arial" w:hAnsi="Arial" w:cs="Arial"/>
          <w:sz w:val="24"/>
          <w:szCs w:val="24"/>
        </w:rPr>
        <w:t>west</w:t>
      </w:r>
      <w:r w:rsidR="002B0AD1" w:rsidRPr="003709C7">
        <w:rPr>
          <w:rFonts w:ascii="Arial" w:hAnsi="Arial" w:cs="Arial"/>
          <w:sz w:val="24"/>
          <w:szCs w:val="24"/>
        </w:rPr>
        <w:t xml:space="preserve">. </w:t>
      </w:r>
      <w:r w:rsidR="000B6724" w:rsidRPr="003709C7">
        <w:rPr>
          <w:rFonts w:ascii="Arial" w:hAnsi="Arial" w:cs="Arial"/>
          <w:sz w:val="24"/>
          <w:szCs w:val="24"/>
        </w:rPr>
        <w:t xml:space="preserve">The </w:t>
      </w:r>
      <w:r w:rsidR="00C66409" w:rsidRPr="003709C7">
        <w:rPr>
          <w:rFonts w:ascii="Arial" w:hAnsi="Arial" w:cs="Arial"/>
          <w:sz w:val="24"/>
          <w:szCs w:val="24"/>
        </w:rPr>
        <w:t xml:space="preserve">1840 Tithe Map and the OS Maps </w:t>
      </w:r>
      <w:r w:rsidR="000B24B6" w:rsidRPr="003709C7">
        <w:rPr>
          <w:rFonts w:ascii="Arial" w:hAnsi="Arial" w:cs="Arial"/>
          <w:sz w:val="24"/>
          <w:szCs w:val="24"/>
        </w:rPr>
        <w:t xml:space="preserve">though </w:t>
      </w:r>
      <w:r w:rsidR="0040262B" w:rsidRPr="003709C7">
        <w:rPr>
          <w:rFonts w:ascii="Arial" w:hAnsi="Arial" w:cs="Arial"/>
          <w:sz w:val="24"/>
          <w:szCs w:val="24"/>
        </w:rPr>
        <w:t xml:space="preserve">from their first inception </w:t>
      </w:r>
      <w:r w:rsidR="00017115" w:rsidRPr="003709C7">
        <w:rPr>
          <w:rFonts w:ascii="Arial" w:hAnsi="Arial" w:cs="Arial"/>
          <w:sz w:val="24"/>
          <w:szCs w:val="24"/>
        </w:rPr>
        <w:t xml:space="preserve">through to the 1961 edition show that </w:t>
      </w:r>
      <w:r w:rsidR="006A2743" w:rsidRPr="003709C7">
        <w:rPr>
          <w:rFonts w:ascii="Arial" w:hAnsi="Arial" w:cs="Arial"/>
          <w:sz w:val="24"/>
          <w:szCs w:val="24"/>
        </w:rPr>
        <w:t>the</w:t>
      </w:r>
      <w:r w:rsidR="002E5FDA" w:rsidRPr="003709C7">
        <w:rPr>
          <w:rFonts w:ascii="Arial" w:hAnsi="Arial" w:cs="Arial"/>
          <w:sz w:val="24"/>
          <w:szCs w:val="24"/>
        </w:rPr>
        <w:t xml:space="preserve"> Choone Farm </w:t>
      </w:r>
      <w:r w:rsidR="006A2743" w:rsidRPr="003709C7">
        <w:rPr>
          <w:rFonts w:ascii="Arial" w:hAnsi="Arial" w:cs="Arial"/>
          <w:sz w:val="24"/>
          <w:szCs w:val="24"/>
        </w:rPr>
        <w:t xml:space="preserve">access </w:t>
      </w:r>
      <w:r w:rsidR="00EE6138" w:rsidRPr="003709C7">
        <w:rPr>
          <w:rFonts w:ascii="Arial" w:hAnsi="Arial" w:cs="Arial"/>
          <w:sz w:val="24"/>
          <w:szCs w:val="24"/>
        </w:rPr>
        <w:t xml:space="preserve">to the C157 </w:t>
      </w:r>
      <w:r w:rsidR="00C220BD" w:rsidRPr="003709C7">
        <w:rPr>
          <w:rFonts w:ascii="Arial" w:hAnsi="Arial" w:cs="Arial"/>
          <w:sz w:val="24"/>
          <w:szCs w:val="24"/>
        </w:rPr>
        <w:t xml:space="preserve">was </w:t>
      </w:r>
      <w:r w:rsidR="00EE6138" w:rsidRPr="003709C7">
        <w:rPr>
          <w:rFonts w:ascii="Arial" w:hAnsi="Arial" w:cs="Arial"/>
          <w:sz w:val="24"/>
          <w:szCs w:val="24"/>
        </w:rPr>
        <w:t xml:space="preserve">to </w:t>
      </w:r>
      <w:r w:rsidR="00EE6138" w:rsidRPr="003709C7">
        <w:rPr>
          <w:rFonts w:ascii="Arial" w:hAnsi="Arial" w:cs="Arial"/>
          <w:sz w:val="24"/>
          <w:szCs w:val="24"/>
        </w:rPr>
        <w:lastRenderedPageBreak/>
        <w:t>the west in the direction of</w:t>
      </w:r>
      <w:r w:rsidR="00A3347A" w:rsidRPr="003709C7">
        <w:rPr>
          <w:rFonts w:ascii="Arial" w:hAnsi="Arial" w:cs="Arial"/>
          <w:sz w:val="24"/>
          <w:szCs w:val="24"/>
        </w:rPr>
        <w:t xml:space="preserve"> </w:t>
      </w:r>
      <w:r w:rsidR="00F26F72">
        <w:rPr>
          <w:rFonts w:ascii="Arial" w:hAnsi="Arial" w:cs="Arial"/>
          <w:sz w:val="24"/>
          <w:szCs w:val="24"/>
        </w:rPr>
        <w:t xml:space="preserve">Moorcroft Cottages </w:t>
      </w:r>
      <w:r w:rsidR="004517C1">
        <w:rPr>
          <w:rFonts w:ascii="Arial" w:hAnsi="Arial" w:cs="Arial"/>
          <w:sz w:val="24"/>
          <w:szCs w:val="24"/>
        </w:rPr>
        <w:t xml:space="preserve">and </w:t>
      </w:r>
      <w:r w:rsidR="00A3347A" w:rsidRPr="003709C7">
        <w:rPr>
          <w:rFonts w:ascii="Arial" w:hAnsi="Arial" w:cs="Arial"/>
          <w:sz w:val="24"/>
          <w:szCs w:val="24"/>
        </w:rPr>
        <w:t xml:space="preserve">the </w:t>
      </w:r>
      <w:r w:rsidR="004517C1">
        <w:rPr>
          <w:rFonts w:ascii="Arial" w:hAnsi="Arial" w:cs="Arial"/>
          <w:sz w:val="24"/>
          <w:szCs w:val="24"/>
        </w:rPr>
        <w:t xml:space="preserve">C157 </w:t>
      </w:r>
      <w:r w:rsidR="00431339" w:rsidRPr="003709C7">
        <w:rPr>
          <w:rFonts w:ascii="Arial" w:hAnsi="Arial" w:cs="Arial"/>
          <w:sz w:val="24"/>
          <w:szCs w:val="24"/>
        </w:rPr>
        <w:t xml:space="preserve">roadside </w:t>
      </w:r>
      <w:r w:rsidR="00A3347A" w:rsidRPr="003709C7">
        <w:rPr>
          <w:rFonts w:ascii="Arial" w:hAnsi="Arial" w:cs="Arial"/>
          <w:sz w:val="24"/>
          <w:szCs w:val="24"/>
        </w:rPr>
        <w:t>stone cross</w:t>
      </w:r>
      <w:r w:rsidR="00056FC6" w:rsidRPr="003709C7">
        <w:rPr>
          <w:rFonts w:ascii="Arial" w:hAnsi="Arial" w:cs="Arial"/>
          <w:sz w:val="24"/>
          <w:szCs w:val="24"/>
        </w:rPr>
        <w:t>.</w:t>
      </w:r>
      <w:r w:rsidR="000E15F7">
        <w:rPr>
          <w:rFonts w:ascii="Arial" w:hAnsi="Arial" w:cs="Arial"/>
          <w:sz w:val="24"/>
          <w:szCs w:val="24"/>
        </w:rPr>
        <w:t xml:space="preserve"> </w:t>
      </w:r>
      <w:r w:rsidR="004517C1">
        <w:rPr>
          <w:rFonts w:ascii="Arial" w:hAnsi="Arial" w:cs="Arial"/>
          <w:sz w:val="24"/>
          <w:szCs w:val="24"/>
        </w:rPr>
        <w:t xml:space="preserve">This access followed a line </w:t>
      </w:r>
      <w:r w:rsidR="00D8422F">
        <w:rPr>
          <w:rFonts w:ascii="Arial" w:hAnsi="Arial" w:cs="Arial"/>
          <w:sz w:val="24"/>
          <w:szCs w:val="24"/>
        </w:rPr>
        <w:t>to the north of, and parallel to, appeal route section A-B.</w:t>
      </w:r>
    </w:p>
    <w:p w14:paraId="6B08CB94" w14:textId="64FD1312" w:rsidR="0036310E" w:rsidRPr="00C05D1B" w:rsidRDefault="00056FC6" w:rsidP="00AD2607">
      <w:pPr>
        <w:pStyle w:val="Style1"/>
        <w:spacing w:before="120"/>
        <w:rPr>
          <w:rFonts w:ascii="Arial" w:hAnsi="Arial" w:cs="Arial"/>
          <w:sz w:val="24"/>
          <w:szCs w:val="24"/>
        </w:rPr>
      </w:pPr>
      <w:r w:rsidRPr="003709C7">
        <w:rPr>
          <w:rFonts w:ascii="Arial" w:hAnsi="Arial" w:cs="Arial"/>
          <w:sz w:val="24"/>
          <w:szCs w:val="24"/>
        </w:rPr>
        <w:t>T</w:t>
      </w:r>
      <w:r w:rsidR="0040262B" w:rsidRPr="003709C7">
        <w:rPr>
          <w:rFonts w:ascii="Arial" w:hAnsi="Arial" w:cs="Arial"/>
          <w:sz w:val="24"/>
          <w:szCs w:val="24"/>
        </w:rPr>
        <w:t xml:space="preserve">he </w:t>
      </w:r>
      <w:r w:rsidR="00394AF6" w:rsidRPr="003709C7">
        <w:rPr>
          <w:rFonts w:ascii="Arial" w:hAnsi="Arial" w:cs="Arial"/>
          <w:sz w:val="24"/>
          <w:szCs w:val="24"/>
        </w:rPr>
        <w:t>plans and documentation created under the Finance Act 1910</w:t>
      </w:r>
      <w:r w:rsidR="00B14EFA" w:rsidRPr="003709C7">
        <w:rPr>
          <w:rFonts w:ascii="Arial" w:hAnsi="Arial" w:cs="Arial"/>
          <w:sz w:val="24"/>
          <w:szCs w:val="24"/>
        </w:rPr>
        <w:t xml:space="preserve"> </w:t>
      </w:r>
      <w:r w:rsidR="001B5D6D" w:rsidRPr="003709C7">
        <w:rPr>
          <w:rFonts w:ascii="Arial" w:hAnsi="Arial" w:cs="Arial"/>
          <w:sz w:val="24"/>
          <w:szCs w:val="24"/>
        </w:rPr>
        <w:t xml:space="preserve">provided by Cornwall Ramblers </w:t>
      </w:r>
      <w:r w:rsidR="00A71B13" w:rsidRPr="003709C7">
        <w:rPr>
          <w:rFonts w:ascii="Arial" w:hAnsi="Arial" w:cs="Arial"/>
          <w:sz w:val="24"/>
          <w:szCs w:val="24"/>
        </w:rPr>
        <w:t xml:space="preserve">show </w:t>
      </w:r>
      <w:r w:rsidR="009822B3" w:rsidRPr="003709C7">
        <w:rPr>
          <w:rFonts w:ascii="Arial" w:hAnsi="Arial" w:cs="Arial"/>
          <w:sz w:val="24"/>
          <w:szCs w:val="24"/>
        </w:rPr>
        <w:t xml:space="preserve">that </w:t>
      </w:r>
      <w:r w:rsidR="008F6EFC" w:rsidRPr="00D840C4">
        <w:rPr>
          <w:rFonts w:ascii="Arial" w:hAnsi="Arial" w:cs="Arial"/>
          <w:sz w:val="24"/>
          <w:szCs w:val="24"/>
        </w:rPr>
        <w:t xml:space="preserve">what was at that time referred to as </w:t>
      </w:r>
      <w:r w:rsidR="00CA14DE" w:rsidRPr="00D840C4">
        <w:rPr>
          <w:rFonts w:ascii="Arial" w:hAnsi="Arial" w:cs="Arial"/>
          <w:sz w:val="24"/>
          <w:szCs w:val="24"/>
        </w:rPr>
        <w:t>Choone rather than Choone Farm</w:t>
      </w:r>
      <w:r w:rsidR="00A0074D">
        <w:rPr>
          <w:rFonts w:ascii="Arial" w:hAnsi="Arial" w:cs="Arial"/>
          <w:sz w:val="24"/>
          <w:szCs w:val="24"/>
        </w:rPr>
        <w:t xml:space="preserve"> </w:t>
      </w:r>
      <w:r w:rsidR="009822B3" w:rsidRPr="003709C7">
        <w:rPr>
          <w:rFonts w:ascii="Arial" w:hAnsi="Arial" w:cs="Arial"/>
          <w:sz w:val="24"/>
          <w:szCs w:val="24"/>
        </w:rPr>
        <w:t>was located within Her</w:t>
      </w:r>
      <w:r w:rsidR="00D5337F" w:rsidRPr="003709C7">
        <w:rPr>
          <w:rFonts w:ascii="Arial" w:hAnsi="Arial" w:cs="Arial"/>
          <w:sz w:val="24"/>
          <w:szCs w:val="24"/>
        </w:rPr>
        <w:t>e</w:t>
      </w:r>
      <w:r w:rsidR="009822B3" w:rsidRPr="003709C7">
        <w:rPr>
          <w:rFonts w:ascii="Arial" w:hAnsi="Arial" w:cs="Arial"/>
          <w:sz w:val="24"/>
          <w:szCs w:val="24"/>
        </w:rPr>
        <w:t xml:space="preserve">ditament 37 where a deduction was made for </w:t>
      </w:r>
      <w:r w:rsidR="00936E91" w:rsidRPr="003709C7">
        <w:rPr>
          <w:rFonts w:ascii="Arial" w:hAnsi="Arial" w:cs="Arial"/>
          <w:sz w:val="24"/>
          <w:szCs w:val="24"/>
        </w:rPr>
        <w:t>a public right of way. As the only route across th</w:t>
      </w:r>
      <w:r w:rsidR="002A4F6A" w:rsidRPr="003709C7">
        <w:rPr>
          <w:rFonts w:ascii="Arial" w:hAnsi="Arial" w:cs="Arial"/>
          <w:sz w:val="24"/>
          <w:szCs w:val="24"/>
        </w:rPr>
        <w:t xml:space="preserve">is </w:t>
      </w:r>
      <w:r w:rsidR="00DE649E" w:rsidRPr="003709C7">
        <w:rPr>
          <w:rFonts w:ascii="Arial" w:hAnsi="Arial" w:cs="Arial"/>
          <w:sz w:val="24"/>
          <w:szCs w:val="24"/>
        </w:rPr>
        <w:t>h</w:t>
      </w:r>
      <w:r w:rsidR="002A4F6A" w:rsidRPr="003709C7">
        <w:rPr>
          <w:rFonts w:ascii="Arial" w:hAnsi="Arial" w:cs="Arial"/>
          <w:sz w:val="24"/>
          <w:szCs w:val="24"/>
        </w:rPr>
        <w:t>er</w:t>
      </w:r>
      <w:r w:rsidR="0097552F" w:rsidRPr="003709C7">
        <w:rPr>
          <w:rFonts w:ascii="Arial" w:hAnsi="Arial" w:cs="Arial"/>
          <w:sz w:val="24"/>
          <w:szCs w:val="24"/>
        </w:rPr>
        <w:t>e</w:t>
      </w:r>
      <w:r w:rsidR="002A4F6A" w:rsidRPr="003709C7">
        <w:rPr>
          <w:rFonts w:ascii="Arial" w:hAnsi="Arial" w:cs="Arial"/>
          <w:sz w:val="24"/>
          <w:szCs w:val="24"/>
        </w:rPr>
        <w:t xml:space="preserve">ditament was the </w:t>
      </w:r>
      <w:r w:rsidR="00B77CE9" w:rsidRPr="003709C7">
        <w:rPr>
          <w:rFonts w:ascii="Arial" w:hAnsi="Arial" w:cs="Arial"/>
          <w:sz w:val="24"/>
          <w:szCs w:val="24"/>
        </w:rPr>
        <w:t xml:space="preserve">western </w:t>
      </w:r>
      <w:r w:rsidR="002A4F6A" w:rsidRPr="003709C7">
        <w:rPr>
          <w:rFonts w:ascii="Arial" w:hAnsi="Arial" w:cs="Arial"/>
          <w:sz w:val="24"/>
          <w:szCs w:val="24"/>
        </w:rPr>
        <w:t xml:space="preserve">access to Choone this </w:t>
      </w:r>
      <w:r w:rsidR="00D0614F" w:rsidRPr="003709C7">
        <w:rPr>
          <w:rFonts w:ascii="Arial" w:hAnsi="Arial" w:cs="Arial"/>
          <w:sz w:val="24"/>
          <w:szCs w:val="24"/>
        </w:rPr>
        <w:t>is good evidence that it was considered at that time to be a p</w:t>
      </w:r>
      <w:r w:rsidR="00D5337F" w:rsidRPr="003709C7">
        <w:rPr>
          <w:rFonts w:ascii="Arial" w:hAnsi="Arial" w:cs="Arial"/>
          <w:sz w:val="24"/>
          <w:szCs w:val="24"/>
        </w:rPr>
        <w:t>ublic right of way.</w:t>
      </w:r>
      <w:r w:rsidR="00C05D1B">
        <w:rPr>
          <w:rFonts w:ascii="Arial" w:hAnsi="Arial" w:cs="Arial"/>
          <w:sz w:val="24"/>
          <w:szCs w:val="24"/>
        </w:rPr>
        <w:t xml:space="preserve"> </w:t>
      </w:r>
      <w:r w:rsidR="00A053B6" w:rsidRPr="00C05D1B">
        <w:rPr>
          <w:rFonts w:ascii="Arial" w:hAnsi="Arial" w:cs="Arial"/>
          <w:sz w:val="24"/>
          <w:szCs w:val="24"/>
        </w:rPr>
        <w:t xml:space="preserve">This is supported by the </w:t>
      </w:r>
      <w:r w:rsidR="00FE6EEC" w:rsidRPr="00C05D1B">
        <w:rPr>
          <w:rFonts w:ascii="Arial" w:hAnsi="Arial" w:cs="Arial"/>
          <w:sz w:val="24"/>
          <w:szCs w:val="24"/>
        </w:rPr>
        <w:t xml:space="preserve">book ‘Walks in West Cornwall’ first published in 1962 which </w:t>
      </w:r>
      <w:r w:rsidR="0036310E" w:rsidRPr="00C05D1B">
        <w:rPr>
          <w:rFonts w:ascii="Arial" w:hAnsi="Arial" w:cs="Arial"/>
          <w:sz w:val="24"/>
          <w:szCs w:val="24"/>
        </w:rPr>
        <w:t xml:space="preserve">contains a route that </w:t>
      </w:r>
      <w:r w:rsidR="009D67DB" w:rsidRPr="00C05D1B">
        <w:rPr>
          <w:rFonts w:ascii="Arial" w:hAnsi="Arial" w:cs="Arial"/>
          <w:sz w:val="24"/>
          <w:szCs w:val="24"/>
        </w:rPr>
        <w:t>continues</w:t>
      </w:r>
      <w:r w:rsidR="005E29A3" w:rsidRPr="00C05D1B">
        <w:rPr>
          <w:rFonts w:ascii="Arial" w:hAnsi="Arial" w:cs="Arial"/>
          <w:sz w:val="24"/>
          <w:szCs w:val="24"/>
        </w:rPr>
        <w:t xml:space="preserve"> past the end of St Buryan footpath 52 </w:t>
      </w:r>
      <w:r w:rsidR="0036310E" w:rsidRPr="00C05D1B">
        <w:rPr>
          <w:rFonts w:ascii="Arial" w:hAnsi="Arial" w:cs="Arial"/>
          <w:sz w:val="24"/>
          <w:szCs w:val="24"/>
        </w:rPr>
        <w:t>through the yard at Choo</w:t>
      </w:r>
      <w:r w:rsidR="00D140CC" w:rsidRPr="00C05D1B">
        <w:rPr>
          <w:rFonts w:ascii="Arial" w:hAnsi="Arial" w:cs="Arial"/>
          <w:sz w:val="24"/>
          <w:szCs w:val="24"/>
        </w:rPr>
        <w:t>n</w:t>
      </w:r>
      <w:r w:rsidR="0036310E" w:rsidRPr="00C05D1B">
        <w:rPr>
          <w:rFonts w:ascii="Arial" w:hAnsi="Arial" w:cs="Arial"/>
          <w:sz w:val="24"/>
          <w:szCs w:val="24"/>
        </w:rPr>
        <w:t>e Farm</w:t>
      </w:r>
      <w:r w:rsidR="00E13574" w:rsidRPr="00C05D1B">
        <w:rPr>
          <w:rFonts w:ascii="Arial" w:hAnsi="Arial" w:cs="Arial"/>
          <w:sz w:val="24"/>
          <w:szCs w:val="24"/>
        </w:rPr>
        <w:t xml:space="preserve"> </w:t>
      </w:r>
      <w:r w:rsidR="00CC55B5" w:rsidRPr="00C05D1B">
        <w:rPr>
          <w:rFonts w:ascii="Arial" w:hAnsi="Arial" w:cs="Arial"/>
          <w:sz w:val="24"/>
          <w:szCs w:val="24"/>
        </w:rPr>
        <w:t xml:space="preserve">and </w:t>
      </w:r>
      <w:r w:rsidR="00CA46AA" w:rsidRPr="00C05D1B">
        <w:rPr>
          <w:rFonts w:ascii="Arial" w:hAnsi="Arial" w:cs="Arial"/>
          <w:sz w:val="24"/>
          <w:szCs w:val="24"/>
        </w:rPr>
        <w:t>along</w:t>
      </w:r>
      <w:r w:rsidR="00CC55B5" w:rsidRPr="00C05D1B">
        <w:rPr>
          <w:rFonts w:ascii="Arial" w:hAnsi="Arial" w:cs="Arial"/>
          <w:sz w:val="24"/>
          <w:szCs w:val="24"/>
        </w:rPr>
        <w:t xml:space="preserve"> the farm access to </w:t>
      </w:r>
      <w:r w:rsidR="00E13574" w:rsidRPr="00C05D1B">
        <w:rPr>
          <w:rFonts w:ascii="Arial" w:hAnsi="Arial" w:cs="Arial"/>
          <w:sz w:val="24"/>
          <w:szCs w:val="24"/>
        </w:rPr>
        <w:t xml:space="preserve">connect with </w:t>
      </w:r>
      <w:r w:rsidR="0033083A" w:rsidRPr="00C05D1B">
        <w:rPr>
          <w:rFonts w:ascii="Arial" w:hAnsi="Arial" w:cs="Arial"/>
          <w:sz w:val="24"/>
          <w:szCs w:val="24"/>
        </w:rPr>
        <w:t xml:space="preserve">the road that leads to </w:t>
      </w:r>
      <w:r w:rsidR="00E13574" w:rsidRPr="00C05D1B">
        <w:rPr>
          <w:rFonts w:ascii="Arial" w:hAnsi="Arial" w:cs="Arial"/>
          <w:sz w:val="24"/>
          <w:szCs w:val="24"/>
        </w:rPr>
        <w:t>St Buryan</w:t>
      </w:r>
      <w:r w:rsidR="0036310E" w:rsidRPr="00C05D1B">
        <w:rPr>
          <w:rFonts w:ascii="Arial" w:hAnsi="Arial" w:cs="Arial"/>
          <w:sz w:val="24"/>
          <w:szCs w:val="24"/>
        </w:rPr>
        <w:t>.</w:t>
      </w:r>
    </w:p>
    <w:p w14:paraId="7BDC4FA1" w14:textId="44CFA9ED" w:rsidR="00A875A2" w:rsidRDefault="00690BE2" w:rsidP="00AD2607">
      <w:pPr>
        <w:pStyle w:val="Style1"/>
        <w:spacing w:before="120"/>
        <w:rPr>
          <w:rFonts w:ascii="Arial" w:hAnsi="Arial" w:cs="Arial"/>
          <w:sz w:val="24"/>
          <w:szCs w:val="24"/>
        </w:rPr>
      </w:pPr>
      <w:r w:rsidRPr="003709C7">
        <w:rPr>
          <w:rFonts w:ascii="Arial" w:hAnsi="Arial" w:cs="Arial"/>
          <w:sz w:val="24"/>
          <w:szCs w:val="24"/>
        </w:rPr>
        <w:t>A</w:t>
      </w:r>
      <w:r w:rsidR="00EE396D" w:rsidRPr="003709C7">
        <w:rPr>
          <w:rFonts w:ascii="Arial" w:hAnsi="Arial" w:cs="Arial"/>
          <w:sz w:val="24"/>
          <w:szCs w:val="24"/>
        </w:rPr>
        <w:t>t some time</w:t>
      </w:r>
      <w:r w:rsidR="0063248E" w:rsidRPr="003709C7">
        <w:rPr>
          <w:rFonts w:ascii="Arial" w:hAnsi="Arial" w:cs="Arial"/>
          <w:sz w:val="24"/>
          <w:szCs w:val="24"/>
        </w:rPr>
        <w:t xml:space="preserve"> after</w:t>
      </w:r>
      <w:r w:rsidR="00EE396D" w:rsidRPr="003709C7">
        <w:rPr>
          <w:rFonts w:ascii="Arial" w:hAnsi="Arial" w:cs="Arial"/>
          <w:sz w:val="24"/>
          <w:szCs w:val="24"/>
        </w:rPr>
        <w:t xml:space="preserve"> </w:t>
      </w:r>
      <w:r w:rsidR="000C7C17" w:rsidRPr="003709C7">
        <w:rPr>
          <w:rFonts w:ascii="Arial" w:hAnsi="Arial" w:cs="Arial"/>
          <w:sz w:val="24"/>
          <w:szCs w:val="24"/>
        </w:rPr>
        <w:t>1962 this access was closed and the new access</w:t>
      </w:r>
      <w:r w:rsidR="0009379D" w:rsidRPr="003709C7">
        <w:rPr>
          <w:rFonts w:ascii="Arial" w:hAnsi="Arial" w:cs="Arial"/>
          <w:sz w:val="24"/>
          <w:szCs w:val="24"/>
        </w:rPr>
        <w:t xml:space="preserve"> to the </w:t>
      </w:r>
      <w:r w:rsidR="00B44EA9">
        <w:rPr>
          <w:rFonts w:ascii="Arial" w:hAnsi="Arial" w:cs="Arial"/>
          <w:sz w:val="24"/>
          <w:szCs w:val="24"/>
        </w:rPr>
        <w:t xml:space="preserve">south-west </w:t>
      </w:r>
      <w:r w:rsidR="000C7C17" w:rsidRPr="003709C7">
        <w:rPr>
          <w:rFonts w:ascii="Arial" w:hAnsi="Arial" w:cs="Arial"/>
          <w:sz w:val="24"/>
          <w:szCs w:val="24"/>
        </w:rPr>
        <w:t>was opened.</w:t>
      </w:r>
      <w:r w:rsidR="00D840C4">
        <w:rPr>
          <w:rFonts w:ascii="Arial" w:hAnsi="Arial" w:cs="Arial"/>
          <w:sz w:val="24"/>
          <w:szCs w:val="24"/>
        </w:rPr>
        <w:t xml:space="preserve"> </w:t>
      </w:r>
      <w:r w:rsidR="0049308B" w:rsidRPr="00D840C4">
        <w:rPr>
          <w:rFonts w:ascii="Arial" w:hAnsi="Arial" w:cs="Arial"/>
          <w:sz w:val="24"/>
          <w:szCs w:val="24"/>
        </w:rPr>
        <w:t>‘O</w:t>
      </w:r>
      <w:r w:rsidR="0049308B" w:rsidRPr="00D840C4">
        <w:rPr>
          <w:rFonts w:ascii="Arial" w:hAnsi="Arial" w:cs="Arial"/>
          <w:i/>
          <w:iCs/>
          <w:sz w:val="24"/>
          <w:szCs w:val="24"/>
        </w:rPr>
        <w:t xml:space="preserve">nce a highway always a highway’ </w:t>
      </w:r>
      <w:r w:rsidR="0049308B" w:rsidRPr="00D840C4">
        <w:rPr>
          <w:rFonts w:ascii="Arial" w:hAnsi="Arial" w:cs="Arial"/>
          <w:sz w:val="24"/>
          <w:szCs w:val="24"/>
        </w:rPr>
        <w:t>is a legal max</w:t>
      </w:r>
      <w:r w:rsidR="00002F22" w:rsidRPr="00D840C4">
        <w:rPr>
          <w:rFonts w:ascii="Arial" w:hAnsi="Arial" w:cs="Arial"/>
          <w:sz w:val="24"/>
          <w:szCs w:val="24"/>
        </w:rPr>
        <w:t>im</w:t>
      </w:r>
      <w:r w:rsidR="0049308B" w:rsidRPr="00D840C4">
        <w:rPr>
          <w:rFonts w:ascii="Arial" w:hAnsi="Arial" w:cs="Arial"/>
          <w:sz w:val="24"/>
          <w:szCs w:val="24"/>
        </w:rPr>
        <w:t xml:space="preserve"> </w:t>
      </w:r>
      <w:r w:rsidR="006034FD" w:rsidRPr="00D840C4">
        <w:rPr>
          <w:rFonts w:ascii="Arial" w:hAnsi="Arial" w:cs="Arial"/>
          <w:sz w:val="24"/>
          <w:szCs w:val="24"/>
        </w:rPr>
        <w:t xml:space="preserve">though </w:t>
      </w:r>
      <w:r w:rsidR="0049308B" w:rsidRPr="00D840C4">
        <w:rPr>
          <w:rFonts w:ascii="Arial" w:hAnsi="Arial" w:cs="Arial"/>
          <w:sz w:val="24"/>
          <w:szCs w:val="24"/>
        </w:rPr>
        <w:t xml:space="preserve">that applies </w:t>
      </w:r>
      <w:r w:rsidR="00002F22" w:rsidRPr="00D840C4">
        <w:rPr>
          <w:rFonts w:ascii="Arial" w:hAnsi="Arial" w:cs="Arial"/>
          <w:sz w:val="24"/>
          <w:szCs w:val="24"/>
        </w:rPr>
        <w:t>even when a route has not been in route for many years.</w:t>
      </w:r>
      <w:r w:rsidR="00D840C4">
        <w:rPr>
          <w:rFonts w:ascii="Arial" w:hAnsi="Arial" w:cs="Arial"/>
          <w:sz w:val="24"/>
          <w:szCs w:val="24"/>
        </w:rPr>
        <w:t xml:space="preserve"> </w:t>
      </w:r>
      <w:r w:rsidR="008E45F6">
        <w:rPr>
          <w:rFonts w:ascii="Arial" w:hAnsi="Arial" w:cs="Arial"/>
          <w:sz w:val="24"/>
          <w:szCs w:val="24"/>
        </w:rPr>
        <w:t>However</w:t>
      </w:r>
      <w:r w:rsidR="008039D8">
        <w:rPr>
          <w:rFonts w:ascii="Arial" w:hAnsi="Arial" w:cs="Arial"/>
          <w:sz w:val="24"/>
          <w:szCs w:val="24"/>
        </w:rPr>
        <w:t xml:space="preserve">, I have no </w:t>
      </w:r>
      <w:r w:rsidR="001B4315">
        <w:rPr>
          <w:rFonts w:ascii="Arial" w:hAnsi="Arial" w:cs="Arial"/>
          <w:sz w:val="24"/>
          <w:szCs w:val="24"/>
        </w:rPr>
        <w:t xml:space="preserve">evidence from users </w:t>
      </w:r>
      <w:r w:rsidR="003811E1">
        <w:rPr>
          <w:rFonts w:ascii="Arial" w:hAnsi="Arial" w:cs="Arial"/>
          <w:sz w:val="24"/>
          <w:szCs w:val="24"/>
        </w:rPr>
        <w:t xml:space="preserve">of the original alignment </w:t>
      </w:r>
      <w:r w:rsidR="004233B7">
        <w:rPr>
          <w:rFonts w:ascii="Arial" w:hAnsi="Arial" w:cs="Arial"/>
          <w:sz w:val="24"/>
          <w:szCs w:val="24"/>
        </w:rPr>
        <w:t>and that claim has not been made</w:t>
      </w:r>
      <w:r w:rsidR="001F3B0B">
        <w:rPr>
          <w:rFonts w:ascii="Arial" w:hAnsi="Arial" w:cs="Arial"/>
          <w:sz w:val="24"/>
          <w:szCs w:val="24"/>
        </w:rPr>
        <w:t>.</w:t>
      </w:r>
    </w:p>
    <w:p w14:paraId="23F77C09" w14:textId="095CCF82" w:rsidR="0044034E" w:rsidRPr="003709C7" w:rsidRDefault="000D1AFF" w:rsidP="00AD2607">
      <w:pPr>
        <w:pStyle w:val="Style1"/>
        <w:spacing w:before="120"/>
        <w:rPr>
          <w:rFonts w:ascii="Arial" w:hAnsi="Arial" w:cs="Arial"/>
          <w:sz w:val="24"/>
          <w:szCs w:val="24"/>
        </w:rPr>
      </w:pPr>
      <w:r w:rsidRPr="003709C7">
        <w:rPr>
          <w:rFonts w:ascii="Arial" w:hAnsi="Arial" w:cs="Arial"/>
          <w:sz w:val="24"/>
          <w:szCs w:val="24"/>
        </w:rPr>
        <w:t xml:space="preserve">The </w:t>
      </w:r>
      <w:r w:rsidR="0089269D" w:rsidRPr="003709C7">
        <w:rPr>
          <w:rFonts w:ascii="Arial" w:hAnsi="Arial" w:cs="Arial"/>
          <w:sz w:val="24"/>
          <w:szCs w:val="24"/>
        </w:rPr>
        <w:t xml:space="preserve">claimed </w:t>
      </w:r>
      <w:r w:rsidR="00A7605A" w:rsidRPr="003709C7">
        <w:rPr>
          <w:rFonts w:ascii="Arial" w:hAnsi="Arial" w:cs="Arial"/>
          <w:sz w:val="24"/>
          <w:szCs w:val="24"/>
        </w:rPr>
        <w:t xml:space="preserve">footpath </w:t>
      </w:r>
      <w:r w:rsidRPr="003709C7">
        <w:rPr>
          <w:rFonts w:ascii="Arial" w:hAnsi="Arial" w:cs="Arial"/>
          <w:sz w:val="24"/>
          <w:szCs w:val="24"/>
        </w:rPr>
        <w:t xml:space="preserve">route </w:t>
      </w:r>
      <w:r w:rsidR="006312C0" w:rsidRPr="003709C7">
        <w:rPr>
          <w:rFonts w:ascii="Arial" w:hAnsi="Arial" w:cs="Arial"/>
          <w:sz w:val="24"/>
          <w:szCs w:val="24"/>
        </w:rPr>
        <w:t>between point</w:t>
      </w:r>
      <w:r w:rsidR="000C47B7" w:rsidRPr="003709C7">
        <w:rPr>
          <w:rFonts w:ascii="Arial" w:hAnsi="Arial" w:cs="Arial"/>
          <w:sz w:val="24"/>
          <w:szCs w:val="24"/>
        </w:rPr>
        <w:t>s</w:t>
      </w:r>
      <w:r w:rsidR="006312C0" w:rsidRPr="003709C7">
        <w:rPr>
          <w:rFonts w:ascii="Arial" w:hAnsi="Arial" w:cs="Arial"/>
          <w:sz w:val="24"/>
          <w:szCs w:val="24"/>
        </w:rPr>
        <w:t xml:space="preserve"> </w:t>
      </w:r>
      <w:r w:rsidR="00DD2DA3">
        <w:rPr>
          <w:rFonts w:ascii="Arial" w:hAnsi="Arial" w:cs="Arial"/>
          <w:sz w:val="24"/>
          <w:szCs w:val="24"/>
        </w:rPr>
        <w:t>A</w:t>
      </w:r>
      <w:r w:rsidR="006312C0" w:rsidRPr="003709C7">
        <w:rPr>
          <w:rFonts w:ascii="Arial" w:hAnsi="Arial" w:cs="Arial"/>
          <w:sz w:val="24"/>
          <w:szCs w:val="24"/>
        </w:rPr>
        <w:t xml:space="preserve"> and </w:t>
      </w:r>
      <w:r w:rsidR="00DD2DA3">
        <w:rPr>
          <w:rFonts w:ascii="Arial" w:hAnsi="Arial" w:cs="Arial"/>
          <w:sz w:val="24"/>
          <w:szCs w:val="24"/>
        </w:rPr>
        <w:t>B</w:t>
      </w:r>
      <w:r w:rsidR="006312C0" w:rsidRPr="003709C7">
        <w:rPr>
          <w:rFonts w:ascii="Arial" w:hAnsi="Arial" w:cs="Arial"/>
          <w:sz w:val="24"/>
          <w:szCs w:val="24"/>
        </w:rPr>
        <w:t xml:space="preserve"> </w:t>
      </w:r>
      <w:r w:rsidRPr="003709C7">
        <w:rPr>
          <w:rFonts w:ascii="Arial" w:hAnsi="Arial" w:cs="Arial"/>
          <w:sz w:val="24"/>
          <w:szCs w:val="24"/>
        </w:rPr>
        <w:t xml:space="preserve">is </w:t>
      </w:r>
      <w:r w:rsidR="0089269D" w:rsidRPr="003709C7">
        <w:rPr>
          <w:rFonts w:ascii="Arial" w:hAnsi="Arial" w:cs="Arial"/>
          <w:sz w:val="24"/>
          <w:szCs w:val="24"/>
        </w:rPr>
        <w:t xml:space="preserve">said </w:t>
      </w:r>
      <w:r w:rsidR="006312C0" w:rsidRPr="003709C7">
        <w:rPr>
          <w:rFonts w:ascii="Arial" w:hAnsi="Arial" w:cs="Arial"/>
          <w:sz w:val="24"/>
          <w:szCs w:val="24"/>
        </w:rPr>
        <w:t xml:space="preserve">by the current owner </w:t>
      </w:r>
      <w:r w:rsidR="00303C03">
        <w:rPr>
          <w:rFonts w:ascii="Arial" w:hAnsi="Arial" w:cs="Arial"/>
          <w:sz w:val="24"/>
          <w:szCs w:val="24"/>
        </w:rPr>
        <w:t xml:space="preserve">of Choone Farm </w:t>
      </w:r>
      <w:r w:rsidR="0089269D" w:rsidRPr="003709C7">
        <w:rPr>
          <w:rFonts w:ascii="Arial" w:hAnsi="Arial" w:cs="Arial"/>
          <w:sz w:val="24"/>
          <w:szCs w:val="24"/>
        </w:rPr>
        <w:t xml:space="preserve">to have been created </w:t>
      </w:r>
      <w:r w:rsidR="00814E7B" w:rsidRPr="003709C7">
        <w:rPr>
          <w:rFonts w:ascii="Arial" w:hAnsi="Arial" w:cs="Arial"/>
          <w:sz w:val="24"/>
          <w:szCs w:val="24"/>
        </w:rPr>
        <w:t>at the time that</w:t>
      </w:r>
      <w:r w:rsidR="00303C03">
        <w:rPr>
          <w:rFonts w:ascii="Arial" w:hAnsi="Arial" w:cs="Arial"/>
          <w:sz w:val="24"/>
          <w:szCs w:val="24"/>
        </w:rPr>
        <w:t xml:space="preserve"> the f</w:t>
      </w:r>
      <w:r w:rsidR="00814E7B" w:rsidRPr="003709C7">
        <w:rPr>
          <w:rFonts w:ascii="Arial" w:hAnsi="Arial" w:cs="Arial"/>
          <w:sz w:val="24"/>
          <w:szCs w:val="24"/>
        </w:rPr>
        <w:t>arm</w:t>
      </w:r>
      <w:r w:rsidR="008D73DA" w:rsidRPr="003709C7">
        <w:rPr>
          <w:rFonts w:ascii="Arial" w:hAnsi="Arial" w:cs="Arial"/>
          <w:sz w:val="24"/>
          <w:szCs w:val="24"/>
        </w:rPr>
        <w:t xml:space="preserve"> </w:t>
      </w:r>
      <w:r w:rsidR="00814E7B" w:rsidRPr="003709C7">
        <w:rPr>
          <w:rFonts w:ascii="Arial" w:hAnsi="Arial" w:cs="Arial"/>
          <w:sz w:val="24"/>
          <w:szCs w:val="24"/>
        </w:rPr>
        <w:t xml:space="preserve">was renovated </w:t>
      </w:r>
      <w:r w:rsidR="008D73DA" w:rsidRPr="003709C7">
        <w:rPr>
          <w:rFonts w:ascii="Arial" w:hAnsi="Arial" w:cs="Arial"/>
          <w:sz w:val="24"/>
          <w:szCs w:val="24"/>
        </w:rPr>
        <w:t>around</w:t>
      </w:r>
      <w:r w:rsidR="00814E7B" w:rsidRPr="003709C7">
        <w:rPr>
          <w:rFonts w:ascii="Arial" w:hAnsi="Arial" w:cs="Arial"/>
          <w:sz w:val="24"/>
          <w:szCs w:val="24"/>
        </w:rPr>
        <w:t xml:space="preserve"> 1979 to</w:t>
      </w:r>
      <w:r w:rsidR="009D7749" w:rsidRPr="003709C7">
        <w:rPr>
          <w:rFonts w:ascii="Arial" w:hAnsi="Arial" w:cs="Arial"/>
          <w:sz w:val="24"/>
          <w:szCs w:val="24"/>
        </w:rPr>
        <w:t xml:space="preserve"> </w:t>
      </w:r>
      <w:r w:rsidR="00537231" w:rsidRPr="003709C7">
        <w:rPr>
          <w:rFonts w:ascii="Arial" w:hAnsi="Arial" w:cs="Arial"/>
          <w:sz w:val="24"/>
          <w:szCs w:val="24"/>
        </w:rPr>
        <w:t xml:space="preserve">allow </w:t>
      </w:r>
      <w:r w:rsidR="003675AE" w:rsidRPr="003709C7">
        <w:rPr>
          <w:rFonts w:ascii="Arial" w:hAnsi="Arial" w:cs="Arial"/>
          <w:sz w:val="24"/>
          <w:szCs w:val="24"/>
        </w:rPr>
        <w:t>a member of the family to walk to and from work</w:t>
      </w:r>
      <w:r w:rsidR="003B5D04" w:rsidRPr="003709C7">
        <w:rPr>
          <w:rFonts w:ascii="Arial" w:hAnsi="Arial" w:cs="Arial"/>
          <w:sz w:val="24"/>
          <w:szCs w:val="24"/>
        </w:rPr>
        <w:t xml:space="preserve">. </w:t>
      </w:r>
      <w:r w:rsidR="004402CF" w:rsidRPr="003709C7">
        <w:rPr>
          <w:rFonts w:ascii="Arial" w:hAnsi="Arial" w:cs="Arial"/>
          <w:sz w:val="24"/>
          <w:szCs w:val="24"/>
        </w:rPr>
        <w:t xml:space="preserve">As a result, there is no </w:t>
      </w:r>
      <w:r w:rsidR="004065FD" w:rsidRPr="003709C7">
        <w:rPr>
          <w:rFonts w:ascii="Arial" w:hAnsi="Arial" w:cs="Arial"/>
          <w:sz w:val="24"/>
          <w:szCs w:val="24"/>
        </w:rPr>
        <w:t xml:space="preserve">documentary evidence of the claimed </w:t>
      </w:r>
      <w:r w:rsidR="004065FD" w:rsidRPr="001A0341">
        <w:rPr>
          <w:rFonts w:ascii="Arial" w:hAnsi="Arial" w:cs="Arial"/>
          <w:sz w:val="24"/>
          <w:szCs w:val="24"/>
        </w:rPr>
        <w:t xml:space="preserve">route </w:t>
      </w:r>
      <w:r w:rsidR="004065FD" w:rsidRPr="00914A5F">
        <w:rPr>
          <w:rFonts w:ascii="Arial" w:hAnsi="Arial" w:cs="Arial"/>
          <w:sz w:val="24"/>
          <w:szCs w:val="24"/>
        </w:rPr>
        <w:t>prior to th</w:t>
      </w:r>
      <w:r w:rsidR="004370BE" w:rsidRPr="00914A5F">
        <w:rPr>
          <w:rFonts w:ascii="Arial" w:hAnsi="Arial" w:cs="Arial"/>
          <w:sz w:val="24"/>
          <w:szCs w:val="24"/>
        </w:rPr>
        <w:t xml:space="preserve">at year. </w:t>
      </w:r>
      <w:r w:rsidR="003B5D04" w:rsidRPr="00914A5F">
        <w:rPr>
          <w:rFonts w:ascii="Arial" w:hAnsi="Arial" w:cs="Arial"/>
          <w:sz w:val="24"/>
          <w:szCs w:val="24"/>
        </w:rPr>
        <w:t>The view of the appellant</w:t>
      </w:r>
      <w:r w:rsidR="00CE0C14" w:rsidRPr="00914A5F">
        <w:rPr>
          <w:rFonts w:ascii="Arial" w:hAnsi="Arial" w:cs="Arial"/>
          <w:sz w:val="24"/>
          <w:szCs w:val="24"/>
        </w:rPr>
        <w:t>s</w:t>
      </w:r>
      <w:r w:rsidR="003B5D04" w:rsidRPr="00914A5F">
        <w:rPr>
          <w:rFonts w:ascii="Arial" w:hAnsi="Arial" w:cs="Arial"/>
          <w:sz w:val="24"/>
          <w:szCs w:val="24"/>
        </w:rPr>
        <w:t xml:space="preserve"> and Cornwall Ramblers is that the route was </w:t>
      </w:r>
      <w:r w:rsidR="00704FD4" w:rsidRPr="00914A5F">
        <w:rPr>
          <w:rFonts w:ascii="Arial" w:hAnsi="Arial" w:cs="Arial"/>
          <w:sz w:val="24"/>
          <w:szCs w:val="24"/>
        </w:rPr>
        <w:t xml:space="preserve">effectively a </w:t>
      </w:r>
      <w:r w:rsidR="006C34AE" w:rsidRPr="00914A5F">
        <w:rPr>
          <w:rFonts w:ascii="Arial" w:hAnsi="Arial" w:cs="Arial"/>
          <w:sz w:val="24"/>
          <w:szCs w:val="24"/>
        </w:rPr>
        <w:t xml:space="preserve">permissive path </w:t>
      </w:r>
      <w:r w:rsidR="003B5D04" w:rsidRPr="00914A5F">
        <w:rPr>
          <w:rFonts w:ascii="Arial" w:hAnsi="Arial" w:cs="Arial"/>
          <w:sz w:val="24"/>
          <w:szCs w:val="24"/>
        </w:rPr>
        <w:t>created</w:t>
      </w:r>
      <w:r w:rsidR="003B5D04" w:rsidRPr="001A0341">
        <w:rPr>
          <w:rFonts w:ascii="Arial" w:hAnsi="Arial" w:cs="Arial"/>
          <w:sz w:val="24"/>
          <w:szCs w:val="24"/>
        </w:rPr>
        <w:t xml:space="preserve"> to </w:t>
      </w:r>
      <w:r w:rsidR="00EE1ABB" w:rsidRPr="001A0341">
        <w:rPr>
          <w:rFonts w:ascii="Arial" w:hAnsi="Arial" w:cs="Arial"/>
          <w:sz w:val="24"/>
          <w:szCs w:val="24"/>
        </w:rPr>
        <w:t xml:space="preserve">divert walkers to the south of </w:t>
      </w:r>
      <w:r w:rsidR="0069656D" w:rsidRPr="001A0341">
        <w:rPr>
          <w:rFonts w:ascii="Arial" w:hAnsi="Arial" w:cs="Arial"/>
          <w:sz w:val="24"/>
          <w:szCs w:val="24"/>
        </w:rPr>
        <w:t xml:space="preserve">Choone Farm so that they no longer </w:t>
      </w:r>
      <w:r w:rsidR="00880754" w:rsidRPr="001A0341">
        <w:rPr>
          <w:rFonts w:ascii="Arial" w:hAnsi="Arial" w:cs="Arial"/>
          <w:sz w:val="24"/>
          <w:szCs w:val="24"/>
        </w:rPr>
        <w:t xml:space="preserve">followed the route of the </w:t>
      </w:r>
      <w:r w:rsidR="00B16008" w:rsidRPr="001A0341">
        <w:rPr>
          <w:rFonts w:ascii="Arial" w:hAnsi="Arial" w:cs="Arial"/>
          <w:sz w:val="24"/>
          <w:szCs w:val="24"/>
        </w:rPr>
        <w:t xml:space="preserve">closed </w:t>
      </w:r>
      <w:r w:rsidR="00D3724D" w:rsidRPr="001A0341">
        <w:rPr>
          <w:rFonts w:ascii="Arial" w:hAnsi="Arial" w:cs="Arial"/>
          <w:sz w:val="24"/>
          <w:szCs w:val="24"/>
        </w:rPr>
        <w:t xml:space="preserve">western </w:t>
      </w:r>
      <w:r w:rsidR="00B16008" w:rsidRPr="001A0341">
        <w:rPr>
          <w:rFonts w:ascii="Arial" w:hAnsi="Arial" w:cs="Arial"/>
          <w:sz w:val="24"/>
          <w:szCs w:val="24"/>
        </w:rPr>
        <w:t xml:space="preserve">farm access and </w:t>
      </w:r>
      <w:r w:rsidR="0069656D" w:rsidRPr="001A0341">
        <w:rPr>
          <w:rFonts w:ascii="Arial" w:hAnsi="Arial" w:cs="Arial"/>
          <w:sz w:val="24"/>
          <w:szCs w:val="24"/>
        </w:rPr>
        <w:t>walked through its yard.</w:t>
      </w:r>
      <w:r w:rsidR="000E15F7" w:rsidRPr="001A0341">
        <w:rPr>
          <w:rFonts w:ascii="Arial" w:hAnsi="Arial" w:cs="Arial"/>
          <w:sz w:val="24"/>
          <w:szCs w:val="24"/>
        </w:rPr>
        <w:t xml:space="preserve"> </w:t>
      </w:r>
      <w:r w:rsidR="00027E69" w:rsidRPr="001A0341">
        <w:rPr>
          <w:rFonts w:ascii="Arial" w:hAnsi="Arial" w:cs="Arial"/>
          <w:sz w:val="24"/>
          <w:szCs w:val="24"/>
        </w:rPr>
        <w:t xml:space="preserve">A </w:t>
      </w:r>
      <w:r w:rsidR="00DA4878" w:rsidRPr="003709C7">
        <w:rPr>
          <w:rFonts w:ascii="Arial" w:hAnsi="Arial" w:cs="Arial"/>
          <w:sz w:val="24"/>
          <w:szCs w:val="24"/>
        </w:rPr>
        <w:t>Council</w:t>
      </w:r>
      <w:r w:rsidR="00B46403">
        <w:rPr>
          <w:rFonts w:ascii="Arial" w:hAnsi="Arial" w:cs="Arial"/>
          <w:sz w:val="24"/>
          <w:szCs w:val="24"/>
        </w:rPr>
        <w:t xml:space="preserve"> </w:t>
      </w:r>
      <w:r w:rsidR="003E7E41">
        <w:rPr>
          <w:rFonts w:ascii="Arial" w:hAnsi="Arial" w:cs="Arial"/>
          <w:sz w:val="24"/>
          <w:szCs w:val="24"/>
        </w:rPr>
        <w:t xml:space="preserve">report on the claimed route </w:t>
      </w:r>
      <w:r w:rsidR="00BB1DDD">
        <w:rPr>
          <w:rFonts w:ascii="Arial" w:hAnsi="Arial" w:cs="Arial"/>
          <w:sz w:val="24"/>
          <w:szCs w:val="24"/>
        </w:rPr>
        <w:t>identifies</w:t>
      </w:r>
      <w:r w:rsidR="005B4686">
        <w:rPr>
          <w:rFonts w:ascii="Arial" w:hAnsi="Arial" w:cs="Arial"/>
          <w:sz w:val="24"/>
          <w:szCs w:val="24"/>
        </w:rPr>
        <w:t xml:space="preserve"> </w:t>
      </w:r>
      <w:r w:rsidR="005D104F">
        <w:rPr>
          <w:rFonts w:ascii="Arial" w:hAnsi="Arial" w:cs="Arial"/>
          <w:sz w:val="24"/>
          <w:szCs w:val="24"/>
        </w:rPr>
        <w:t xml:space="preserve">stone </w:t>
      </w:r>
      <w:r w:rsidR="00E6349F" w:rsidRPr="003709C7">
        <w:rPr>
          <w:rFonts w:ascii="Arial" w:hAnsi="Arial" w:cs="Arial"/>
          <w:sz w:val="24"/>
          <w:szCs w:val="24"/>
        </w:rPr>
        <w:t>stiles</w:t>
      </w:r>
      <w:r w:rsidR="00BB1DDD">
        <w:rPr>
          <w:rFonts w:ascii="Arial" w:hAnsi="Arial" w:cs="Arial"/>
          <w:sz w:val="24"/>
          <w:szCs w:val="24"/>
        </w:rPr>
        <w:t xml:space="preserve"> including </w:t>
      </w:r>
      <w:r w:rsidR="00E6349F" w:rsidRPr="003709C7">
        <w:rPr>
          <w:rFonts w:ascii="Arial" w:hAnsi="Arial" w:cs="Arial"/>
          <w:sz w:val="24"/>
          <w:szCs w:val="24"/>
        </w:rPr>
        <w:t xml:space="preserve">in the vicinity </w:t>
      </w:r>
      <w:r w:rsidR="00A55F14" w:rsidRPr="003709C7">
        <w:rPr>
          <w:rFonts w:ascii="Arial" w:hAnsi="Arial" w:cs="Arial"/>
          <w:sz w:val="24"/>
          <w:szCs w:val="24"/>
        </w:rPr>
        <w:t xml:space="preserve">of </w:t>
      </w:r>
      <w:r w:rsidR="00E6349F" w:rsidRPr="003709C7">
        <w:rPr>
          <w:rFonts w:ascii="Arial" w:hAnsi="Arial" w:cs="Arial"/>
          <w:sz w:val="24"/>
          <w:szCs w:val="24"/>
        </w:rPr>
        <w:t>point</w:t>
      </w:r>
      <w:r w:rsidR="00027E69">
        <w:rPr>
          <w:rFonts w:ascii="Arial" w:hAnsi="Arial" w:cs="Arial"/>
          <w:sz w:val="24"/>
          <w:szCs w:val="24"/>
        </w:rPr>
        <w:t>s A,</w:t>
      </w:r>
      <w:r w:rsidR="00E6349F" w:rsidRPr="003709C7">
        <w:rPr>
          <w:rFonts w:ascii="Arial" w:hAnsi="Arial" w:cs="Arial"/>
          <w:sz w:val="24"/>
          <w:szCs w:val="24"/>
        </w:rPr>
        <w:t xml:space="preserve"> B</w:t>
      </w:r>
      <w:r w:rsidR="0091205C" w:rsidRPr="003709C7">
        <w:rPr>
          <w:rFonts w:ascii="Arial" w:hAnsi="Arial" w:cs="Arial"/>
          <w:sz w:val="24"/>
          <w:szCs w:val="24"/>
        </w:rPr>
        <w:t xml:space="preserve"> </w:t>
      </w:r>
      <w:r w:rsidR="00027E69">
        <w:rPr>
          <w:rFonts w:ascii="Arial" w:hAnsi="Arial" w:cs="Arial"/>
          <w:sz w:val="24"/>
          <w:szCs w:val="24"/>
        </w:rPr>
        <w:t>and C</w:t>
      </w:r>
      <w:r w:rsidR="001626E3" w:rsidRPr="003709C7">
        <w:rPr>
          <w:rFonts w:ascii="Arial" w:hAnsi="Arial" w:cs="Arial"/>
          <w:sz w:val="24"/>
          <w:szCs w:val="24"/>
        </w:rPr>
        <w:t xml:space="preserve">. </w:t>
      </w:r>
    </w:p>
    <w:p w14:paraId="303ABB35" w14:textId="5134A950" w:rsidR="00C1629D" w:rsidRPr="003709C7" w:rsidRDefault="00C1629D" w:rsidP="00AD2607">
      <w:pPr>
        <w:pStyle w:val="Style1"/>
        <w:spacing w:before="120"/>
        <w:rPr>
          <w:rFonts w:ascii="Arial" w:hAnsi="Arial" w:cs="Arial"/>
          <w:sz w:val="24"/>
          <w:szCs w:val="24"/>
        </w:rPr>
      </w:pPr>
      <w:r w:rsidRPr="003709C7">
        <w:rPr>
          <w:rFonts w:ascii="Arial" w:hAnsi="Arial" w:cs="Arial"/>
          <w:sz w:val="24"/>
          <w:szCs w:val="24"/>
        </w:rPr>
        <w:t>Th</w:t>
      </w:r>
      <w:r w:rsidR="004306F0" w:rsidRPr="003709C7">
        <w:rPr>
          <w:rFonts w:ascii="Arial" w:hAnsi="Arial" w:cs="Arial"/>
          <w:sz w:val="24"/>
          <w:szCs w:val="24"/>
        </w:rPr>
        <w:t>e claimed route</w:t>
      </w:r>
      <w:r w:rsidR="009A653D" w:rsidRPr="003709C7">
        <w:rPr>
          <w:rFonts w:ascii="Arial" w:hAnsi="Arial" w:cs="Arial"/>
          <w:sz w:val="24"/>
          <w:szCs w:val="24"/>
        </w:rPr>
        <w:t>,</w:t>
      </w:r>
      <w:r w:rsidR="00184EDC" w:rsidRPr="003709C7">
        <w:rPr>
          <w:rFonts w:ascii="Arial" w:hAnsi="Arial" w:cs="Arial"/>
          <w:sz w:val="24"/>
          <w:szCs w:val="24"/>
        </w:rPr>
        <w:t xml:space="preserve"> other than for a </w:t>
      </w:r>
      <w:r w:rsidR="001E2CE7" w:rsidRPr="003709C7">
        <w:rPr>
          <w:rFonts w:ascii="Arial" w:hAnsi="Arial" w:cs="Arial"/>
          <w:sz w:val="24"/>
          <w:szCs w:val="24"/>
        </w:rPr>
        <w:t xml:space="preserve">slight southerly </w:t>
      </w:r>
      <w:r w:rsidR="00184EDC" w:rsidRPr="003709C7">
        <w:rPr>
          <w:rFonts w:ascii="Arial" w:hAnsi="Arial" w:cs="Arial"/>
          <w:sz w:val="24"/>
          <w:szCs w:val="24"/>
        </w:rPr>
        <w:t xml:space="preserve">deviation between points </w:t>
      </w:r>
      <w:r w:rsidR="00DD2DA3">
        <w:rPr>
          <w:rFonts w:ascii="Arial" w:hAnsi="Arial" w:cs="Arial"/>
          <w:sz w:val="24"/>
          <w:szCs w:val="24"/>
        </w:rPr>
        <w:t>B</w:t>
      </w:r>
      <w:r w:rsidR="00184EDC" w:rsidRPr="003709C7">
        <w:rPr>
          <w:rFonts w:ascii="Arial" w:hAnsi="Arial" w:cs="Arial"/>
          <w:sz w:val="24"/>
          <w:szCs w:val="24"/>
        </w:rPr>
        <w:t xml:space="preserve"> and </w:t>
      </w:r>
      <w:r w:rsidR="00DD2DA3">
        <w:rPr>
          <w:rFonts w:ascii="Arial" w:hAnsi="Arial" w:cs="Arial"/>
          <w:sz w:val="24"/>
          <w:szCs w:val="24"/>
        </w:rPr>
        <w:t>C</w:t>
      </w:r>
      <w:r w:rsidR="00184EDC" w:rsidRPr="003709C7">
        <w:rPr>
          <w:rFonts w:ascii="Arial" w:hAnsi="Arial" w:cs="Arial"/>
          <w:sz w:val="24"/>
          <w:szCs w:val="24"/>
        </w:rPr>
        <w:t xml:space="preserve"> across </w:t>
      </w:r>
      <w:r w:rsidR="0022774A" w:rsidRPr="003709C7">
        <w:rPr>
          <w:rFonts w:ascii="Arial" w:hAnsi="Arial" w:cs="Arial"/>
          <w:sz w:val="24"/>
          <w:szCs w:val="24"/>
        </w:rPr>
        <w:t>agricultural fields</w:t>
      </w:r>
      <w:r w:rsidR="00A55F14" w:rsidRPr="003709C7">
        <w:rPr>
          <w:rFonts w:ascii="Arial" w:hAnsi="Arial" w:cs="Arial"/>
          <w:sz w:val="24"/>
          <w:szCs w:val="24"/>
        </w:rPr>
        <w:t>,</w:t>
      </w:r>
      <w:r w:rsidR="0022774A" w:rsidRPr="003709C7">
        <w:rPr>
          <w:rFonts w:ascii="Arial" w:hAnsi="Arial" w:cs="Arial"/>
          <w:sz w:val="24"/>
          <w:szCs w:val="24"/>
        </w:rPr>
        <w:t xml:space="preserve"> is</w:t>
      </w:r>
      <w:r w:rsidR="00BA4AC9" w:rsidRPr="003709C7">
        <w:rPr>
          <w:rFonts w:ascii="Arial" w:hAnsi="Arial" w:cs="Arial"/>
          <w:sz w:val="24"/>
          <w:szCs w:val="24"/>
        </w:rPr>
        <w:t xml:space="preserve"> </w:t>
      </w:r>
      <w:r w:rsidR="00201F0B" w:rsidRPr="003709C7">
        <w:rPr>
          <w:rFonts w:ascii="Arial" w:hAnsi="Arial" w:cs="Arial"/>
          <w:sz w:val="24"/>
          <w:szCs w:val="24"/>
        </w:rPr>
        <w:t xml:space="preserve">contained within a book ‘Mermaid to Merrymaid </w:t>
      </w:r>
      <w:r w:rsidR="00F51207" w:rsidRPr="003709C7">
        <w:rPr>
          <w:rFonts w:ascii="Arial" w:hAnsi="Arial" w:cs="Arial"/>
          <w:sz w:val="24"/>
          <w:szCs w:val="24"/>
        </w:rPr>
        <w:t>–</w:t>
      </w:r>
      <w:r w:rsidR="00201F0B" w:rsidRPr="003709C7">
        <w:rPr>
          <w:rFonts w:ascii="Arial" w:hAnsi="Arial" w:cs="Arial"/>
          <w:sz w:val="24"/>
          <w:szCs w:val="24"/>
        </w:rPr>
        <w:t xml:space="preserve"> Jou</w:t>
      </w:r>
      <w:r w:rsidR="00F51207" w:rsidRPr="003709C7">
        <w:rPr>
          <w:rFonts w:ascii="Arial" w:hAnsi="Arial" w:cs="Arial"/>
          <w:sz w:val="24"/>
          <w:szCs w:val="24"/>
        </w:rPr>
        <w:t>rney to the Stones’ that was first published in 1987</w:t>
      </w:r>
      <w:r w:rsidR="006574D5" w:rsidRPr="003709C7">
        <w:rPr>
          <w:rFonts w:ascii="Arial" w:hAnsi="Arial" w:cs="Arial"/>
          <w:sz w:val="24"/>
          <w:szCs w:val="24"/>
        </w:rPr>
        <w:t xml:space="preserve">. Taking into account its second edition </w:t>
      </w:r>
      <w:r w:rsidR="00634577" w:rsidRPr="003709C7">
        <w:rPr>
          <w:rFonts w:ascii="Arial" w:hAnsi="Arial" w:cs="Arial"/>
          <w:sz w:val="24"/>
          <w:szCs w:val="24"/>
        </w:rPr>
        <w:t xml:space="preserve">published in </w:t>
      </w:r>
      <w:r w:rsidR="007A4D51" w:rsidRPr="003709C7">
        <w:rPr>
          <w:rFonts w:ascii="Arial" w:hAnsi="Arial" w:cs="Arial"/>
          <w:sz w:val="24"/>
          <w:szCs w:val="24"/>
        </w:rPr>
        <w:t>1996</w:t>
      </w:r>
      <w:r w:rsidR="00E00169">
        <w:rPr>
          <w:rFonts w:ascii="Arial" w:hAnsi="Arial" w:cs="Arial"/>
          <w:sz w:val="24"/>
          <w:szCs w:val="24"/>
        </w:rPr>
        <w:t xml:space="preserve">, </w:t>
      </w:r>
      <w:r w:rsidR="006574D5" w:rsidRPr="003709C7">
        <w:rPr>
          <w:rFonts w:ascii="Arial" w:hAnsi="Arial" w:cs="Arial"/>
          <w:sz w:val="24"/>
          <w:szCs w:val="24"/>
        </w:rPr>
        <w:t xml:space="preserve">it is estimated that 20,000 copies of this </w:t>
      </w:r>
      <w:r w:rsidR="0087264E">
        <w:rPr>
          <w:rFonts w:ascii="Arial" w:hAnsi="Arial" w:cs="Arial"/>
          <w:sz w:val="24"/>
          <w:szCs w:val="24"/>
        </w:rPr>
        <w:t>guidebook</w:t>
      </w:r>
      <w:r w:rsidR="006574D5" w:rsidRPr="003709C7">
        <w:rPr>
          <w:rFonts w:ascii="Arial" w:hAnsi="Arial" w:cs="Arial"/>
          <w:sz w:val="24"/>
          <w:szCs w:val="24"/>
        </w:rPr>
        <w:t xml:space="preserve"> were sold. </w:t>
      </w:r>
      <w:r w:rsidR="0086332E" w:rsidRPr="003709C7">
        <w:rPr>
          <w:rFonts w:ascii="Arial" w:hAnsi="Arial" w:cs="Arial"/>
          <w:sz w:val="24"/>
          <w:szCs w:val="24"/>
        </w:rPr>
        <w:t>T</w:t>
      </w:r>
      <w:r w:rsidR="00705CF9" w:rsidRPr="003709C7">
        <w:rPr>
          <w:rFonts w:ascii="Arial" w:hAnsi="Arial" w:cs="Arial"/>
          <w:sz w:val="24"/>
          <w:szCs w:val="24"/>
        </w:rPr>
        <w:t>he claimed route was considered by the author of the book to be a public footpath and it was widely prom</w:t>
      </w:r>
      <w:r w:rsidR="00A44578" w:rsidRPr="003709C7">
        <w:rPr>
          <w:rFonts w:ascii="Arial" w:hAnsi="Arial" w:cs="Arial"/>
          <w:sz w:val="24"/>
          <w:szCs w:val="24"/>
        </w:rPr>
        <w:t>o</w:t>
      </w:r>
      <w:r w:rsidR="00705CF9" w:rsidRPr="003709C7">
        <w:rPr>
          <w:rFonts w:ascii="Arial" w:hAnsi="Arial" w:cs="Arial"/>
          <w:sz w:val="24"/>
          <w:szCs w:val="24"/>
        </w:rPr>
        <w:t>ted as such</w:t>
      </w:r>
      <w:r w:rsidR="00F37B18" w:rsidRPr="003709C7">
        <w:rPr>
          <w:rFonts w:ascii="Arial" w:hAnsi="Arial" w:cs="Arial"/>
          <w:sz w:val="24"/>
          <w:szCs w:val="24"/>
        </w:rPr>
        <w:t xml:space="preserve"> in his publication</w:t>
      </w:r>
      <w:r w:rsidR="00705CF9" w:rsidRPr="003709C7">
        <w:rPr>
          <w:rFonts w:ascii="Arial" w:hAnsi="Arial" w:cs="Arial"/>
          <w:sz w:val="24"/>
          <w:szCs w:val="24"/>
        </w:rPr>
        <w:t xml:space="preserve"> to </w:t>
      </w:r>
      <w:r w:rsidR="00A44578" w:rsidRPr="003709C7">
        <w:rPr>
          <w:rFonts w:ascii="Arial" w:hAnsi="Arial" w:cs="Arial"/>
          <w:sz w:val="24"/>
          <w:szCs w:val="24"/>
        </w:rPr>
        <w:t xml:space="preserve">those attracted to walk in the area. </w:t>
      </w:r>
      <w:r w:rsidR="006C74B9" w:rsidRPr="003709C7">
        <w:rPr>
          <w:rFonts w:ascii="Arial" w:hAnsi="Arial" w:cs="Arial"/>
          <w:sz w:val="24"/>
          <w:szCs w:val="24"/>
        </w:rPr>
        <w:t xml:space="preserve">However, </w:t>
      </w:r>
      <w:r w:rsidR="009861A2" w:rsidRPr="003709C7">
        <w:rPr>
          <w:rFonts w:ascii="Arial" w:hAnsi="Arial" w:cs="Arial"/>
          <w:sz w:val="24"/>
          <w:szCs w:val="24"/>
        </w:rPr>
        <w:t xml:space="preserve">by itself this does not show that the claimed route is a </w:t>
      </w:r>
      <w:r w:rsidR="00111F86">
        <w:rPr>
          <w:rFonts w:ascii="Arial" w:hAnsi="Arial" w:cs="Arial"/>
          <w:sz w:val="24"/>
          <w:szCs w:val="24"/>
        </w:rPr>
        <w:t>public right of way</w:t>
      </w:r>
      <w:r w:rsidR="009861A2" w:rsidRPr="003709C7">
        <w:rPr>
          <w:rFonts w:ascii="Arial" w:hAnsi="Arial" w:cs="Arial"/>
          <w:sz w:val="24"/>
          <w:szCs w:val="24"/>
        </w:rPr>
        <w:t>.</w:t>
      </w:r>
    </w:p>
    <w:p w14:paraId="3F0DE177" w14:textId="0E46C6E8" w:rsidR="00AB3822" w:rsidRPr="003709C7" w:rsidRDefault="00AB3822" w:rsidP="00AD2607">
      <w:pPr>
        <w:pStyle w:val="Style1"/>
        <w:spacing w:before="120"/>
        <w:rPr>
          <w:rFonts w:ascii="Arial" w:hAnsi="Arial" w:cs="Arial"/>
          <w:sz w:val="24"/>
          <w:szCs w:val="24"/>
        </w:rPr>
      </w:pPr>
      <w:r w:rsidRPr="003709C7">
        <w:rPr>
          <w:rFonts w:ascii="Arial" w:hAnsi="Arial" w:cs="Arial"/>
          <w:sz w:val="24"/>
          <w:szCs w:val="24"/>
        </w:rPr>
        <w:t>Aerial photo</w:t>
      </w:r>
      <w:r w:rsidR="0041256B" w:rsidRPr="003709C7">
        <w:rPr>
          <w:rFonts w:ascii="Arial" w:hAnsi="Arial" w:cs="Arial"/>
          <w:sz w:val="24"/>
          <w:szCs w:val="24"/>
        </w:rPr>
        <w:t xml:space="preserve">graphs taken in </w:t>
      </w:r>
      <w:r w:rsidR="004F0F05" w:rsidRPr="003709C7">
        <w:rPr>
          <w:rFonts w:ascii="Arial" w:hAnsi="Arial" w:cs="Arial"/>
          <w:sz w:val="24"/>
          <w:szCs w:val="24"/>
        </w:rPr>
        <w:t>1988, 2000 and 2005 fail to show any sign of the claimed route.</w:t>
      </w:r>
      <w:r w:rsidR="00E04288" w:rsidRPr="003709C7">
        <w:rPr>
          <w:rFonts w:ascii="Arial" w:hAnsi="Arial" w:cs="Arial"/>
          <w:sz w:val="24"/>
          <w:szCs w:val="24"/>
        </w:rPr>
        <w:t xml:space="preserve"> If the route had been regularly walked </w:t>
      </w:r>
      <w:r w:rsidR="001340CE" w:rsidRPr="003709C7">
        <w:rPr>
          <w:rFonts w:ascii="Arial" w:hAnsi="Arial" w:cs="Arial"/>
          <w:sz w:val="24"/>
          <w:szCs w:val="24"/>
        </w:rPr>
        <w:t xml:space="preserve">it is reasonable to expect that the route would be </w:t>
      </w:r>
      <w:r w:rsidR="008413CA" w:rsidRPr="003709C7">
        <w:rPr>
          <w:rFonts w:ascii="Arial" w:hAnsi="Arial" w:cs="Arial"/>
          <w:sz w:val="24"/>
          <w:szCs w:val="24"/>
        </w:rPr>
        <w:t xml:space="preserve">at least partly </w:t>
      </w:r>
      <w:r w:rsidR="001340CE" w:rsidRPr="003709C7">
        <w:rPr>
          <w:rFonts w:ascii="Arial" w:hAnsi="Arial" w:cs="Arial"/>
          <w:sz w:val="24"/>
          <w:szCs w:val="24"/>
        </w:rPr>
        <w:t>visible</w:t>
      </w:r>
      <w:r w:rsidR="008413CA" w:rsidRPr="003709C7">
        <w:rPr>
          <w:rFonts w:ascii="Arial" w:hAnsi="Arial" w:cs="Arial"/>
          <w:sz w:val="24"/>
          <w:szCs w:val="24"/>
        </w:rPr>
        <w:t>.</w:t>
      </w:r>
    </w:p>
    <w:p w14:paraId="2C317F25" w14:textId="746F79E1" w:rsidR="00C507C8" w:rsidRPr="00CA51EE" w:rsidRDefault="00C507C8" w:rsidP="00CA51EE">
      <w:pPr>
        <w:pStyle w:val="Style1"/>
        <w:rPr>
          <w:rFonts w:ascii="Arial" w:hAnsi="Arial" w:cs="Arial"/>
          <w:sz w:val="24"/>
          <w:szCs w:val="24"/>
        </w:rPr>
      </w:pPr>
      <w:r w:rsidRPr="00CA51EE">
        <w:rPr>
          <w:rFonts w:ascii="Arial" w:hAnsi="Arial" w:cs="Arial"/>
          <w:sz w:val="24"/>
          <w:szCs w:val="24"/>
        </w:rPr>
        <w:t xml:space="preserve">On the basis of the documentary evidence, I find that it is reasonable to conclude that the claimed route may well have been created to divert walkers around the </w:t>
      </w:r>
      <w:r w:rsidRPr="00914A5F">
        <w:rPr>
          <w:rFonts w:ascii="Arial" w:hAnsi="Arial" w:cs="Arial"/>
          <w:sz w:val="24"/>
          <w:szCs w:val="24"/>
        </w:rPr>
        <w:t xml:space="preserve">buildings at Choone Farm, whilst also allowing a family member to walk to and from work. </w:t>
      </w:r>
      <w:r w:rsidR="00867A45" w:rsidRPr="00914A5F">
        <w:rPr>
          <w:rFonts w:ascii="Arial" w:hAnsi="Arial" w:cs="Arial"/>
          <w:sz w:val="24"/>
          <w:szCs w:val="24"/>
        </w:rPr>
        <w:t>It may be understoo</w:t>
      </w:r>
      <w:r w:rsidR="007565D6" w:rsidRPr="00914A5F">
        <w:rPr>
          <w:rFonts w:ascii="Arial" w:hAnsi="Arial" w:cs="Arial"/>
          <w:sz w:val="24"/>
          <w:szCs w:val="24"/>
        </w:rPr>
        <w:t>d</w:t>
      </w:r>
      <w:r w:rsidR="00990B55" w:rsidRPr="00914A5F">
        <w:rPr>
          <w:rFonts w:ascii="Arial" w:hAnsi="Arial" w:cs="Arial"/>
          <w:sz w:val="24"/>
          <w:szCs w:val="24"/>
        </w:rPr>
        <w:t xml:space="preserve"> by some</w:t>
      </w:r>
      <w:r w:rsidR="007565D6" w:rsidRPr="00914A5F">
        <w:rPr>
          <w:rFonts w:ascii="Arial" w:hAnsi="Arial" w:cs="Arial"/>
          <w:sz w:val="24"/>
          <w:szCs w:val="24"/>
        </w:rPr>
        <w:t xml:space="preserve"> that the claimed route was</w:t>
      </w:r>
      <w:r w:rsidR="00A8314C" w:rsidRPr="00914A5F">
        <w:rPr>
          <w:rFonts w:ascii="Arial" w:hAnsi="Arial" w:cs="Arial"/>
          <w:sz w:val="24"/>
          <w:szCs w:val="24"/>
        </w:rPr>
        <w:t xml:space="preserve"> </w:t>
      </w:r>
      <w:r w:rsidR="007565D6" w:rsidRPr="00914A5F">
        <w:rPr>
          <w:rFonts w:ascii="Arial" w:hAnsi="Arial" w:cs="Arial"/>
          <w:sz w:val="24"/>
          <w:szCs w:val="24"/>
        </w:rPr>
        <w:t>permissive</w:t>
      </w:r>
      <w:r w:rsidR="00B7530D" w:rsidRPr="00914A5F">
        <w:rPr>
          <w:rFonts w:ascii="Arial" w:hAnsi="Arial" w:cs="Arial"/>
          <w:sz w:val="24"/>
          <w:szCs w:val="24"/>
        </w:rPr>
        <w:t>,</w:t>
      </w:r>
      <w:r w:rsidR="007565D6" w:rsidRPr="00914A5F">
        <w:rPr>
          <w:rFonts w:ascii="Arial" w:hAnsi="Arial" w:cs="Arial"/>
          <w:sz w:val="24"/>
          <w:szCs w:val="24"/>
        </w:rPr>
        <w:t xml:space="preserve"> </w:t>
      </w:r>
      <w:r w:rsidR="00624EC6" w:rsidRPr="00914A5F">
        <w:rPr>
          <w:rFonts w:ascii="Arial" w:hAnsi="Arial" w:cs="Arial"/>
          <w:sz w:val="24"/>
          <w:szCs w:val="24"/>
        </w:rPr>
        <w:t xml:space="preserve">which means that permission </w:t>
      </w:r>
      <w:r w:rsidR="00CA51EE" w:rsidRPr="00914A5F">
        <w:rPr>
          <w:rFonts w:ascii="Arial" w:hAnsi="Arial" w:cs="Arial"/>
          <w:sz w:val="24"/>
          <w:szCs w:val="24"/>
        </w:rPr>
        <w:t>for its use</w:t>
      </w:r>
      <w:r w:rsidR="00624EC6" w:rsidRPr="00914A5F">
        <w:rPr>
          <w:rFonts w:ascii="Arial" w:hAnsi="Arial" w:cs="Arial"/>
          <w:sz w:val="24"/>
          <w:szCs w:val="24"/>
        </w:rPr>
        <w:t xml:space="preserve"> could be removed. However, </w:t>
      </w:r>
      <w:r w:rsidR="00331E78" w:rsidRPr="00914A5F">
        <w:rPr>
          <w:rFonts w:ascii="Arial" w:hAnsi="Arial" w:cs="Arial"/>
          <w:sz w:val="24"/>
          <w:szCs w:val="24"/>
        </w:rPr>
        <w:t>I have no evidence before me that</w:t>
      </w:r>
      <w:r w:rsidR="001B0BC1" w:rsidRPr="00914A5F">
        <w:rPr>
          <w:rFonts w:ascii="Arial" w:hAnsi="Arial" w:cs="Arial"/>
          <w:sz w:val="24"/>
          <w:szCs w:val="24"/>
        </w:rPr>
        <w:t xml:space="preserve"> those submitting use</w:t>
      </w:r>
      <w:r w:rsidR="00964ACB" w:rsidRPr="00914A5F">
        <w:rPr>
          <w:rFonts w:ascii="Arial" w:hAnsi="Arial" w:cs="Arial"/>
          <w:sz w:val="24"/>
          <w:szCs w:val="24"/>
        </w:rPr>
        <w:t>r evidence understood</w:t>
      </w:r>
      <w:r w:rsidR="00331E78" w:rsidRPr="00914A5F">
        <w:rPr>
          <w:rFonts w:ascii="Arial" w:hAnsi="Arial" w:cs="Arial"/>
          <w:sz w:val="24"/>
          <w:szCs w:val="24"/>
        </w:rPr>
        <w:t xml:space="preserve"> this </w:t>
      </w:r>
      <w:r w:rsidR="00964ACB" w:rsidRPr="00914A5F">
        <w:rPr>
          <w:rFonts w:ascii="Arial" w:hAnsi="Arial" w:cs="Arial"/>
          <w:sz w:val="24"/>
          <w:szCs w:val="24"/>
        </w:rPr>
        <w:t>to be</w:t>
      </w:r>
      <w:r w:rsidR="00331E78" w:rsidRPr="00914A5F">
        <w:rPr>
          <w:rFonts w:ascii="Arial" w:hAnsi="Arial" w:cs="Arial"/>
          <w:sz w:val="24"/>
          <w:szCs w:val="24"/>
        </w:rPr>
        <w:t xml:space="preserve"> the case</w:t>
      </w:r>
      <w:r w:rsidR="00CA51EE" w:rsidRPr="00914A5F">
        <w:rPr>
          <w:rFonts w:ascii="Arial" w:hAnsi="Arial" w:cs="Arial"/>
          <w:sz w:val="24"/>
          <w:szCs w:val="24"/>
        </w:rPr>
        <w:t>.</w:t>
      </w:r>
      <w:r w:rsidR="00F6087B">
        <w:rPr>
          <w:rFonts w:ascii="Arial" w:hAnsi="Arial" w:cs="Arial"/>
          <w:b/>
          <w:bCs/>
          <w:sz w:val="24"/>
          <w:szCs w:val="24"/>
        </w:rPr>
        <w:t xml:space="preserve"> </w:t>
      </w:r>
    </w:p>
    <w:p w14:paraId="4E2ACA13" w14:textId="592A7863" w:rsidR="005F3C22" w:rsidRPr="003709C7" w:rsidRDefault="009861A2" w:rsidP="00AD2607">
      <w:pPr>
        <w:pStyle w:val="Style1"/>
        <w:numPr>
          <w:ilvl w:val="0"/>
          <w:numId w:val="0"/>
        </w:numPr>
        <w:spacing w:before="120"/>
        <w:rPr>
          <w:rFonts w:ascii="Arial" w:hAnsi="Arial" w:cs="Arial"/>
          <w:sz w:val="24"/>
          <w:szCs w:val="24"/>
        </w:rPr>
      </w:pPr>
      <w:r w:rsidRPr="003709C7">
        <w:rPr>
          <w:rFonts w:ascii="Arial" w:hAnsi="Arial" w:cs="Arial"/>
          <w:i/>
          <w:iCs/>
          <w:sz w:val="24"/>
          <w:szCs w:val="24"/>
        </w:rPr>
        <w:t>User evidence</w:t>
      </w:r>
    </w:p>
    <w:p w14:paraId="3B48D8FE" w14:textId="36CADF12" w:rsidR="00B1021C" w:rsidRPr="003709C7" w:rsidRDefault="00B1021C" w:rsidP="00AD2607">
      <w:pPr>
        <w:pStyle w:val="Style1"/>
        <w:spacing w:before="120"/>
        <w:rPr>
          <w:rFonts w:ascii="Arial" w:hAnsi="Arial" w:cs="Arial"/>
          <w:sz w:val="24"/>
          <w:szCs w:val="24"/>
        </w:rPr>
      </w:pPr>
      <w:r w:rsidRPr="003709C7">
        <w:rPr>
          <w:rFonts w:ascii="Arial" w:hAnsi="Arial" w:cs="Arial"/>
          <w:sz w:val="24"/>
          <w:szCs w:val="24"/>
        </w:rPr>
        <w:t xml:space="preserve">In circumstances where evidence of long use has been submitted, the provisions of section 31 of the </w:t>
      </w:r>
      <w:r w:rsidR="00E0697B" w:rsidRPr="003709C7">
        <w:rPr>
          <w:rFonts w:ascii="Arial" w:hAnsi="Arial" w:cs="Arial"/>
          <w:sz w:val="24"/>
          <w:szCs w:val="24"/>
        </w:rPr>
        <w:t xml:space="preserve">Highway Act </w:t>
      </w:r>
      <w:r w:rsidRPr="003709C7">
        <w:rPr>
          <w:rFonts w:ascii="Arial" w:hAnsi="Arial" w:cs="Arial"/>
          <w:sz w:val="24"/>
          <w:szCs w:val="24"/>
        </w:rPr>
        <w:t xml:space="preserve">1980 </w:t>
      </w:r>
      <w:r w:rsidR="00E77717">
        <w:rPr>
          <w:rFonts w:ascii="Arial" w:hAnsi="Arial" w:cs="Arial"/>
          <w:sz w:val="24"/>
          <w:szCs w:val="24"/>
        </w:rPr>
        <w:t xml:space="preserve">(‘the 1980 Act’) </w:t>
      </w:r>
      <w:r w:rsidRPr="003709C7">
        <w:rPr>
          <w:rFonts w:ascii="Arial" w:hAnsi="Arial" w:cs="Arial"/>
          <w:sz w:val="24"/>
          <w:szCs w:val="24"/>
        </w:rPr>
        <w:t>are relevant. The tests to be considered under this section are:</w:t>
      </w:r>
    </w:p>
    <w:p w14:paraId="74B96E2C" w14:textId="01EC3068" w:rsidR="00B1021C" w:rsidRPr="003709C7" w:rsidRDefault="00B1021C" w:rsidP="00AD2607">
      <w:pPr>
        <w:numPr>
          <w:ilvl w:val="0"/>
          <w:numId w:val="25"/>
        </w:numPr>
        <w:tabs>
          <w:tab w:val="left" w:pos="432"/>
        </w:tabs>
        <w:spacing w:before="120"/>
        <w:outlineLvl w:val="0"/>
        <w:rPr>
          <w:rFonts w:ascii="Arial" w:hAnsi="Arial" w:cs="Arial"/>
          <w:kern w:val="28"/>
          <w:sz w:val="24"/>
          <w:szCs w:val="24"/>
        </w:rPr>
      </w:pPr>
      <w:r w:rsidRPr="003709C7">
        <w:rPr>
          <w:rFonts w:ascii="Arial" w:hAnsi="Arial" w:cs="Arial"/>
          <w:kern w:val="28"/>
          <w:sz w:val="24"/>
          <w:szCs w:val="24"/>
        </w:rPr>
        <w:t>the date on which the claimed right to use the route was brought into question;</w:t>
      </w:r>
    </w:p>
    <w:p w14:paraId="08C48F64" w14:textId="048FFEF6" w:rsidR="00B1021C" w:rsidRPr="003709C7" w:rsidRDefault="00B1021C" w:rsidP="00AD2607">
      <w:pPr>
        <w:numPr>
          <w:ilvl w:val="0"/>
          <w:numId w:val="25"/>
        </w:numPr>
        <w:tabs>
          <w:tab w:val="left" w:pos="432"/>
        </w:tabs>
        <w:spacing w:before="120"/>
        <w:outlineLvl w:val="0"/>
        <w:rPr>
          <w:rFonts w:ascii="Arial" w:hAnsi="Arial" w:cs="Arial"/>
          <w:kern w:val="28"/>
          <w:sz w:val="24"/>
          <w:szCs w:val="24"/>
        </w:rPr>
      </w:pPr>
      <w:r w:rsidRPr="003709C7">
        <w:rPr>
          <w:rFonts w:ascii="Arial" w:hAnsi="Arial" w:cs="Arial"/>
          <w:kern w:val="28"/>
          <w:sz w:val="24"/>
          <w:szCs w:val="24"/>
        </w:rPr>
        <w:lastRenderedPageBreak/>
        <w:t xml:space="preserve">whether the route was used by the public </w:t>
      </w:r>
      <w:r w:rsidRPr="00B97FAB">
        <w:rPr>
          <w:rFonts w:ascii="Arial" w:hAnsi="Arial" w:cs="Arial"/>
          <w:kern w:val="28"/>
          <w:sz w:val="24"/>
          <w:szCs w:val="24"/>
        </w:rPr>
        <w:t>as</w:t>
      </w:r>
      <w:r w:rsidR="00B13404" w:rsidRPr="00B97FAB">
        <w:rPr>
          <w:rFonts w:ascii="Arial" w:hAnsi="Arial" w:cs="Arial"/>
          <w:kern w:val="28"/>
          <w:sz w:val="24"/>
          <w:szCs w:val="24"/>
        </w:rPr>
        <w:t xml:space="preserve"> of righ</w:t>
      </w:r>
      <w:r w:rsidR="00B97FAB" w:rsidRPr="00B97FAB">
        <w:rPr>
          <w:rFonts w:ascii="Arial" w:hAnsi="Arial" w:cs="Arial"/>
          <w:kern w:val="28"/>
          <w:sz w:val="24"/>
          <w:szCs w:val="24"/>
        </w:rPr>
        <w:t>t</w:t>
      </w:r>
      <w:r w:rsidR="00B13404">
        <w:rPr>
          <w:rFonts w:ascii="Arial" w:hAnsi="Arial" w:cs="Arial"/>
          <w:kern w:val="28"/>
          <w:sz w:val="24"/>
          <w:szCs w:val="24"/>
        </w:rPr>
        <w:t xml:space="preserve"> </w:t>
      </w:r>
      <w:r w:rsidRPr="003709C7">
        <w:rPr>
          <w:rFonts w:ascii="Arial" w:hAnsi="Arial" w:cs="Arial"/>
          <w:kern w:val="28"/>
          <w:sz w:val="24"/>
          <w:szCs w:val="24"/>
        </w:rPr>
        <w:t xml:space="preserve">and without interruption for a period of not less than 20 years ending on the date on which their right to do so was brought into question; and, </w:t>
      </w:r>
    </w:p>
    <w:p w14:paraId="4FAE8378" w14:textId="2B9581D9" w:rsidR="00B1021C" w:rsidRPr="003709C7" w:rsidRDefault="00B1021C" w:rsidP="00AD2607">
      <w:pPr>
        <w:numPr>
          <w:ilvl w:val="0"/>
          <w:numId w:val="25"/>
        </w:numPr>
        <w:tabs>
          <w:tab w:val="left" w:pos="432"/>
        </w:tabs>
        <w:spacing w:before="120"/>
        <w:outlineLvl w:val="0"/>
        <w:rPr>
          <w:rFonts w:ascii="Arial" w:hAnsi="Arial" w:cs="Arial"/>
          <w:kern w:val="28"/>
          <w:sz w:val="24"/>
          <w:szCs w:val="24"/>
        </w:rPr>
      </w:pPr>
      <w:r w:rsidRPr="003709C7">
        <w:rPr>
          <w:rFonts w:ascii="Arial" w:hAnsi="Arial" w:cs="Arial"/>
          <w:kern w:val="28"/>
          <w:sz w:val="24"/>
          <w:szCs w:val="24"/>
        </w:rPr>
        <w:t xml:space="preserve">whether there is sufficient evidence that there was during this 20 year period no intention to dedicate the claimed </w:t>
      </w:r>
      <w:r w:rsidR="00387BBB" w:rsidRPr="003709C7">
        <w:rPr>
          <w:rFonts w:ascii="Arial" w:hAnsi="Arial" w:cs="Arial"/>
          <w:kern w:val="28"/>
          <w:sz w:val="24"/>
          <w:szCs w:val="24"/>
        </w:rPr>
        <w:t>foo</w:t>
      </w:r>
      <w:r w:rsidR="001A7A22" w:rsidRPr="003709C7">
        <w:rPr>
          <w:rFonts w:ascii="Arial" w:hAnsi="Arial" w:cs="Arial"/>
          <w:kern w:val="28"/>
          <w:sz w:val="24"/>
          <w:szCs w:val="24"/>
        </w:rPr>
        <w:t>t</w:t>
      </w:r>
      <w:r w:rsidR="00387BBB" w:rsidRPr="003709C7">
        <w:rPr>
          <w:rFonts w:ascii="Arial" w:hAnsi="Arial" w:cs="Arial"/>
          <w:kern w:val="28"/>
          <w:sz w:val="24"/>
          <w:szCs w:val="24"/>
        </w:rPr>
        <w:t>path</w:t>
      </w:r>
      <w:r w:rsidRPr="003709C7">
        <w:rPr>
          <w:rFonts w:ascii="Arial" w:hAnsi="Arial" w:cs="Arial"/>
          <w:kern w:val="28"/>
          <w:sz w:val="24"/>
          <w:szCs w:val="24"/>
        </w:rPr>
        <w:t>.</w:t>
      </w:r>
    </w:p>
    <w:p w14:paraId="65C204A3" w14:textId="0082701F" w:rsidR="00BB7764" w:rsidRPr="003709C7" w:rsidRDefault="00C37945" w:rsidP="00AD2607">
      <w:pPr>
        <w:pStyle w:val="Style1"/>
        <w:numPr>
          <w:ilvl w:val="0"/>
          <w:numId w:val="24"/>
        </w:numPr>
        <w:spacing w:before="120"/>
        <w:rPr>
          <w:rFonts w:ascii="Arial" w:hAnsi="Arial" w:cs="Arial"/>
          <w:sz w:val="24"/>
          <w:szCs w:val="24"/>
        </w:rPr>
      </w:pPr>
      <w:r w:rsidRPr="003709C7">
        <w:rPr>
          <w:rFonts w:ascii="Arial" w:hAnsi="Arial" w:cs="Arial"/>
          <w:sz w:val="24"/>
          <w:szCs w:val="24"/>
        </w:rPr>
        <w:t xml:space="preserve">On the basis </w:t>
      </w:r>
      <w:r w:rsidR="004C022F" w:rsidRPr="003709C7">
        <w:rPr>
          <w:rFonts w:ascii="Arial" w:hAnsi="Arial" w:cs="Arial"/>
          <w:sz w:val="24"/>
          <w:szCs w:val="24"/>
        </w:rPr>
        <w:t xml:space="preserve">that </w:t>
      </w:r>
      <w:r w:rsidR="00D43DFC" w:rsidRPr="003709C7">
        <w:rPr>
          <w:rFonts w:ascii="Arial" w:hAnsi="Arial" w:cs="Arial"/>
          <w:sz w:val="24"/>
          <w:szCs w:val="24"/>
        </w:rPr>
        <w:t xml:space="preserve">verbal notice was given that </w:t>
      </w:r>
      <w:r w:rsidR="00F53F7D" w:rsidRPr="003709C7">
        <w:rPr>
          <w:rFonts w:ascii="Arial" w:hAnsi="Arial" w:cs="Arial"/>
          <w:sz w:val="24"/>
          <w:szCs w:val="24"/>
        </w:rPr>
        <w:t xml:space="preserve">the path was not </w:t>
      </w:r>
      <w:r w:rsidR="00954DDA" w:rsidRPr="003709C7">
        <w:rPr>
          <w:rFonts w:ascii="Arial" w:hAnsi="Arial" w:cs="Arial"/>
          <w:sz w:val="24"/>
          <w:szCs w:val="24"/>
        </w:rPr>
        <w:t xml:space="preserve">open to the </w:t>
      </w:r>
      <w:r w:rsidR="00F53F7D" w:rsidRPr="003709C7">
        <w:rPr>
          <w:rFonts w:ascii="Arial" w:hAnsi="Arial" w:cs="Arial"/>
          <w:sz w:val="24"/>
          <w:szCs w:val="24"/>
        </w:rPr>
        <w:t xml:space="preserve">public </w:t>
      </w:r>
      <w:r w:rsidR="004C022F" w:rsidRPr="003709C7">
        <w:rPr>
          <w:rFonts w:ascii="Arial" w:hAnsi="Arial" w:cs="Arial"/>
          <w:sz w:val="24"/>
          <w:szCs w:val="24"/>
        </w:rPr>
        <w:t xml:space="preserve">in </w:t>
      </w:r>
      <w:r w:rsidR="00CF26BC" w:rsidRPr="003709C7">
        <w:rPr>
          <w:rFonts w:ascii="Arial" w:hAnsi="Arial" w:cs="Arial"/>
          <w:sz w:val="24"/>
          <w:szCs w:val="24"/>
        </w:rPr>
        <w:t>May 201</w:t>
      </w:r>
      <w:r w:rsidR="004C022F" w:rsidRPr="003709C7">
        <w:rPr>
          <w:rFonts w:ascii="Arial" w:hAnsi="Arial" w:cs="Arial"/>
          <w:sz w:val="24"/>
          <w:szCs w:val="24"/>
        </w:rPr>
        <w:t>0</w:t>
      </w:r>
      <w:r w:rsidR="00CF26BC" w:rsidRPr="003709C7">
        <w:rPr>
          <w:rFonts w:ascii="Arial" w:hAnsi="Arial" w:cs="Arial"/>
          <w:sz w:val="24"/>
          <w:szCs w:val="24"/>
        </w:rPr>
        <w:t xml:space="preserve"> </w:t>
      </w:r>
      <w:r w:rsidR="00554C33" w:rsidRPr="003709C7">
        <w:rPr>
          <w:rFonts w:ascii="Arial" w:hAnsi="Arial" w:cs="Arial"/>
          <w:sz w:val="24"/>
          <w:szCs w:val="24"/>
        </w:rPr>
        <w:t>this is</w:t>
      </w:r>
      <w:r w:rsidR="00CF26BC" w:rsidRPr="003709C7">
        <w:rPr>
          <w:rFonts w:ascii="Arial" w:hAnsi="Arial" w:cs="Arial"/>
          <w:sz w:val="24"/>
          <w:szCs w:val="24"/>
        </w:rPr>
        <w:t xml:space="preserve"> the earliest date when the public right to use the path was first brought into question.</w:t>
      </w:r>
      <w:r w:rsidR="00671FCC">
        <w:rPr>
          <w:rFonts w:ascii="Arial" w:hAnsi="Arial" w:cs="Arial"/>
          <w:sz w:val="24"/>
          <w:szCs w:val="24"/>
        </w:rPr>
        <w:t xml:space="preserve"> </w:t>
      </w:r>
      <w:r w:rsidR="00554C33" w:rsidRPr="003709C7">
        <w:rPr>
          <w:rFonts w:ascii="Arial" w:hAnsi="Arial" w:cs="Arial"/>
          <w:sz w:val="24"/>
          <w:szCs w:val="24"/>
        </w:rPr>
        <w:t xml:space="preserve">The </w:t>
      </w:r>
      <w:r w:rsidR="00F5001B" w:rsidRPr="003709C7">
        <w:rPr>
          <w:rFonts w:ascii="Arial" w:hAnsi="Arial" w:cs="Arial"/>
          <w:sz w:val="24"/>
          <w:szCs w:val="24"/>
        </w:rPr>
        <w:t xml:space="preserve">relevant </w:t>
      </w:r>
      <w:r w:rsidR="001E732B" w:rsidRPr="003709C7">
        <w:rPr>
          <w:rFonts w:ascii="Arial" w:hAnsi="Arial" w:cs="Arial"/>
          <w:sz w:val="24"/>
          <w:szCs w:val="24"/>
        </w:rPr>
        <w:t xml:space="preserve">twenty year </w:t>
      </w:r>
      <w:r w:rsidR="00F5001B" w:rsidRPr="003709C7">
        <w:rPr>
          <w:rFonts w:ascii="Arial" w:hAnsi="Arial" w:cs="Arial"/>
          <w:sz w:val="24"/>
          <w:szCs w:val="24"/>
        </w:rPr>
        <w:t>period of use by members of the public</w:t>
      </w:r>
      <w:r w:rsidR="00BA6606">
        <w:rPr>
          <w:rFonts w:ascii="Arial" w:hAnsi="Arial" w:cs="Arial"/>
          <w:sz w:val="24"/>
          <w:szCs w:val="24"/>
        </w:rPr>
        <w:t xml:space="preserve"> </w:t>
      </w:r>
      <w:r w:rsidR="006C439A" w:rsidRPr="003709C7">
        <w:rPr>
          <w:rFonts w:ascii="Arial" w:hAnsi="Arial" w:cs="Arial"/>
          <w:sz w:val="24"/>
          <w:szCs w:val="24"/>
        </w:rPr>
        <w:t xml:space="preserve">therefore </w:t>
      </w:r>
      <w:r w:rsidR="001E732B" w:rsidRPr="003709C7">
        <w:rPr>
          <w:rFonts w:ascii="Arial" w:hAnsi="Arial" w:cs="Arial"/>
          <w:sz w:val="24"/>
          <w:szCs w:val="24"/>
        </w:rPr>
        <w:t xml:space="preserve">runs from May 1990 to May 2010. </w:t>
      </w:r>
    </w:p>
    <w:p w14:paraId="7A1696ED" w14:textId="7606738F" w:rsidR="0054635E" w:rsidRPr="00A94C53" w:rsidRDefault="00DC2886" w:rsidP="00AD2607">
      <w:pPr>
        <w:pStyle w:val="Style1"/>
        <w:numPr>
          <w:ilvl w:val="0"/>
          <w:numId w:val="24"/>
        </w:numPr>
        <w:spacing w:before="120"/>
        <w:rPr>
          <w:rFonts w:ascii="Arial" w:hAnsi="Arial" w:cs="Arial"/>
          <w:sz w:val="24"/>
          <w:szCs w:val="24"/>
        </w:rPr>
      </w:pPr>
      <w:r w:rsidRPr="003709C7">
        <w:rPr>
          <w:rFonts w:ascii="Arial" w:hAnsi="Arial" w:cs="Arial"/>
          <w:sz w:val="24"/>
          <w:szCs w:val="24"/>
        </w:rPr>
        <w:t xml:space="preserve">In support of the application twelve </w:t>
      </w:r>
      <w:r w:rsidR="00A81ABE" w:rsidRPr="003709C7">
        <w:rPr>
          <w:rFonts w:ascii="Arial" w:hAnsi="Arial" w:cs="Arial"/>
          <w:sz w:val="24"/>
          <w:szCs w:val="24"/>
        </w:rPr>
        <w:t xml:space="preserve">user </w:t>
      </w:r>
      <w:r w:rsidRPr="003709C7">
        <w:rPr>
          <w:rFonts w:ascii="Arial" w:hAnsi="Arial" w:cs="Arial"/>
          <w:sz w:val="24"/>
          <w:szCs w:val="24"/>
        </w:rPr>
        <w:t>evidence forms</w:t>
      </w:r>
      <w:r w:rsidR="00726B8C" w:rsidRPr="003709C7">
        <w:rPr>
          <w:rFonts w:ascii="Arial" w:hAnsi="Arial" w:cs="Arial"/>
          <w:sz w:val="24"/>
          <w:szCs w:val="24"/>
        </w:rPr>
        <w:t xml:space="preserve"> were submitted.</w:t>
      </w:r>
      <w:r w:rsidR="004F43D6" w:rsidRPr="003709C7">
        <w:rPr>
          <w:rFonts w:ascii="Arial" w:hAnsi="Arial" w:cs="Arial"/>
          <w:sz w:val="24"/>
          <w:szCs w:val="24"/>
        </w:rPr>
        <w:t xml:space="preserve"> Half of the </w:t>
      </w:r>
      <w:r w:rsidR="005B0812" w:rsidRPr="003709C7">
        <w:rPr>
          <w:rFonts w:ascii="Arial" w:hAnsi="Arial" w:cs="Arial"/>
          <w:sz w:val="24"/>
          <w:szCs w:val="24"/>
        </w:rPr>
        <w:t xml:space="preserve">users live at </w:t>
      </w:r>
      <w:r w:rsidR="00FA0E0E" w:rsidRPr="003709C7">
        <w:rPr>
          <w:rFonts w:ascii="Arial" w:hAnsi="Arial" w:cs="Arial"/>
          <w:sz w:val="24"/>
          <w:szCs w:val="24"/>
        </w:rPr>
        <w:t>an</w:t>
      </w:r>
      <w:r w:rsidR="005B0812" w:rsidRPr="003709C7">
        <w:rPr>
          <w:rFonts w:ascii="Arial" w:hAnsi="Arial" w:cs="Arial"/>
          <w:sz w:val="24"/>
          <w:szCs w:val="24"/>
        </w:rPr>
        <w:t xml:space="preserve"> address </w:t>
      </w:r>
      <w:r w:rsidR="006A75D7" w:rsidRPr="003709C7">
        <w:rPr>
          <w:rFonts w:ascii="Arial" w:hAnsi="Arial" w:cs="Arial"/>
          <w:sz w:val="24"/>
          <w:szCs w:val="24"/>
        </w:rPr>
        <w:t xml:space="preserve">close to the start of the application route and </w:t>
      </w:r>
      <w:r w:rsidR="002909D8" w:rsidRPr="003709C7">
        <w:rPr>
          <w:rFonts w:ascii="Arial" w:hAnsi="Arial" w:cs="Arial"/>
          <w:sz w:val="24"/>
          <w:szCs w:val="24"/>
        </w:rPr>
        <w:t xml:space="preserve">five </w:t>
      </w:r>
      <w:r w:rsidR="006A75D7" w:rsidRPr="003709C7">
        <w:rPr>
          <w:rFonts w:ascii="Arial" w:hAnsi="Arial" w:cs="Arial"/>
          <w:sz w:val="24"/>
          <w:szCs w:val="24"/>
        </w:rPr>
        <w:t>of</w:t>
      </w:r>
      <w:r w:rsidR="00D83D2C" w:rsidRPr="003709C7">
        <w:rPr>
          <w:rFonts w:ascii="Arial" w:hAnsi="Arial" w:cs="Arial"/>
          <w:sz w:val="24"/>
          <w:szCs w:val="24"/>
        </w:rPr>
        <w:t xml:space="preserve"> the </w:t>
      </w:r>
      <w:r w:rsidR="006A75D7" w:rsidRPr="003709C7">
        <w:rPr>
          <w:rFonts w:ascii="Arial" w:hAnsi="Arial" w:cs="Arial"/>
          <w:sz w:val="24"/>
          <w:szCs w:val="24"/>
        </w:rPr>
        <w:t>remain</w:t>
      </w:r>
      <w:r w:rsidR="007864B6" w:rsidRPr="003709C7">
        <w:rPr>
          <w:rFonts w:ascii="Arial" w:hAnsi="Arial" w:cs="Arial"/>
          <w:sz w:val="24"/>
          <w:szCs w:val="24"/>
        </w:rPr>
        <w:t>ing users live in Germany</w:t>
      </w:r>
      <w:r w:rsidR="0006215D" w:rsidRPr="003709C7">
        <w:rPr>
          <w:rFonts w:ascii="Arial" w:hAnsi="Arial" w:cs="Arial"/>
          <w:sz w:val="24"/>
          <w:szCs w:val="24"/>
        </w:rPr>
        <w:t xml:space="preserve">. </w:t>
      </w:r>
      <w:r w:rsidR="00BB0BF0">
        <w:rPr>
          <w:rFonts w:ascii="Arial" w:hAnsi="Arial" w:cs="Arial"/>
          <w:sz w:val="24"/>
          <w:szCs w:val="24"/>
        </w:rPr>
        <w:t xml:space="preserve">The majority of these users are related. </w:t>
      </w:r>
      <w:r w:rsidR="00CA7DAE" w:rsidRPr="003709C7">
        <w:rPr>
          <w:rFonts w:ascii="Arial" w:hAnsi="Arial" w:cs="Arial"/>
          <w:sz w:val="24"/>
          <w:szCs w:val="24"/>
        </w:rPr>
        <w:t>Some of the u</w:t>
      </w:r>
      <w:r w:rsidR="007964AD" w:rsidRPr="003709C7">
        <w:rPr>
          <w:rFonts w:ascii="Arial" w:hAnsi="Arial" w:cs="Arial"/>
          <w:sz w:val="24"/>
          <w:szCs w:val="24"/>
        </w:rPr>
        <w:t xml:space="preserve">sers who resided </w:t>
      </w:r>
      <w:r w:rsidR="005505EF">
        <w:rPr>
          <w:rFonts w:ascii="Arial" w:hAnsi="Arial" w:cs="Arial"/>
          <w:sz w:val="24"/>
          <w:szCs w:val="24"/>
        </w:rPr>
        <w:t>locally</w:t>
      </w:r>
      <w:r w:rsidR="007964AD" w:rsidRPr="003709C7">
        <w:rPr>
          <w:rFonts w:ascii="Arial" w:hAnsi="Arial" w:cs="Arial"/>
          <w:sz w:val="24"/>
          <w:szCs w:val="24"/>
        </w:rPr>
        <w:t xml:space="preserve"> state that </w:t>
      </w:r>
      <w:r w:rsidR="001314FB" w:rsidRPr="003709C7">
        <w:rPr>
          <w:rFonts w:ascii="Arial" w:hAnsi="Arial" w:cs="Arial"/>
          <w:sz w:val="24"/>
          <w:szCs w:val="24"/>
        </w:rPr>
        <w:t xml:space="preserve">they used the </w:t>
      </w:r>
      <w:r w:rsidR="00E74CF6" w:rsidRPr="003709C7">
        <w:rPr>
          <w:rFonts w:ascii="Arial" w:hAnsi="Arial" w:cs="Arial"/>
          <w:sz w:val="24"/>
          <w:szCs w:val="24"/>
        </w:rPr>
        <w:t xml:space="preserve">claimed </w:t>
      </w:r>
      <w:r w:rsidR="00B1594D" w:rsidRPr="003709C7">
        <w:rPr>
          <w:rFonts w:ascii="Arial" w:hAnsi="Arial" w:cs="Arial"/>
          <w:sz w:val="24"/>
          <w:szCs w:val="24"/>
        </w:rPr>
        <w:t xml:space="preserve">route </w:t>
      </w:r>
      <w:r w:rsidR="00E74CF6" w:rsidRPr="003709C7">
        <w:rPr>
          <w:rFonts w:ascii="Arial" w:hAnsi="Arial" w:cs="Arial"/>
          <w:sz w:val="24"/>
          <w:szCs w:val="24"/>
        </w:rPr>
        <w:t xml:space="preserve">so frequently that they were unable to </w:t>
      </w:r>
      <w:r w:rsidR="00B1594D" w:rsidRPr="003709C7">
        <w:rPr>
          <w:rFonts w:ascii="Arial" w:hAnsi="Arial" w:cs="Arial"/>
          <w:sz w:val="24"/>
          <w:szCs w:val="24"/>
        </w:rPr>
        <w:t>state how many times a year they used it. Other</w:t>
      </w:r>
      <w:r w:rsidR="00CA7DAE" w:rsidRPr="003709C7">
        <w:rPr>
          <w:rFonts w:ascii="Arial" w:hAnsi="Arial" w:cs="Arial"/>
          <w:sz w:val="24"/>
          <w:szCs w:val="24"/>
        </w:rPr>
        <w:t xml:space="preserve"> local </w:t>
      </w:r>
      <w:r w:rsidR="00356F41">
        <w:rPr>
          <w:rFonts w:ascii="Arial" w:hAnsi="Arial" w:cs="Arial"/>
          <w:sz w:val="24"/>
          <w:szCs w:val="24"/>
        </w:rPr>
        <w:t xml:space="preserve">users </w:t>
      </w:r>
      <w:r w:rsidR="0049774A" w:rsidRPr="003709C7">
        <w:rPr>
          <w:rFonts w:ascii="Arial" w:hAnsi="Arial" w:cs="Arial"/>
          <w:sz w:val="24"/>
          <w:szCs w:val="24"/>
        </w:rPr>
        <w:t xml:space="preserve">gave a frequency of between </w:t>
      </w:r>
      <w:r w:rsidR="00C33DB8" w:rsidRPr="003709C7">
        <w:rPr>
          <w:rFonts w:ascii="Arial" w:hAnsi="Arial" w:cs="Arial"/>
          <w:sz w:val="24"/>
          <w:szCs w:val="24"/>
        </w:rPr>
        <w:t>ten</w:t>
      </w:r>
      <w:r w:rsidR="0049774A" w:rsidRPr="003709C7">
        <w:rPr>
          <w:rFonts w:ascii="Arial" w:hAnsi="Arial" w:cs="Arial"/>
          <w:sz w:val="24"/>
          <w:szCs w:val="24"/>
        </w:rPr>
        <w:t xml:space="preserve"> and </w:t>
      </w:r>
      <w:r w:rsidR="00C33DB8" w:rsidRPr="003709C7">
        <w:rPr>
          <w:rFonts w:ascii="Arial" w:hAnsi="Arial" w:cs="Arial"/>
          <w:sz w:val="24"/>
          <w:szCs w:val="24"/>
        </w:rPr>
        <w:t xml:space="preserve">three hundred and sixty five </w:t>
      </w:r>
      <w:r w:rsidR="0049774A" w:rsidRPr="003709C7">
        <w:rPr>
          <w:rFonts w:ascii="Arial" w:hAnsi="Arial" w:cs="Arial"/>
          <w:sz w:val="24"/>
          <w:szCs w:val="24"/>
        </w:rPr>
        <w:t xml:space="preserve">times a year. </w:t>
      </w:r>
      <w:r w:rsidR="00125DF1" w:rsidRPr="003709C7">
        <w:rPr>
          <w:rFonts w:ascii="Arial" w:hAnsi="Arial" w:cs="Arial"/>
          <w:sz w:val="24"/>
          <w:szCs w:val="24"/>
        </w:rPr>
        <w:t>In relation to the users who reside in Germany</w:t>
      </w:r>
      <w:r w:rsidR="002E18C5">
        <w:rPr>
          <w:rFonts w:ascii="Arial" w:hAnsi="Arial" w:cs="Arial"/>
          <w:sz w:val="24"/>
          <w:szCs w:val="24"/>
        </w:rPr>
        <w:t>,</w:t>
      </w:r>
      <w:r w:rsidR="00125DF1" w:rsidRPr="003709C7">
        <w:rPr>
          <w:rFonts w:ascii="Arial" w:hAnsi="Arial" w:cs="Arial"/>
          <w:sz w:val="24"/>
          <w:szCs w:val="24"/>
        </w:rPr>
        <w:t xml:space="preserve"> the</w:t>
      </w:r>
      <w:r w:rsidR="0035709A" w:rsidRPr="003709C7">
        <w:rPr>
          <w:rFonts w:ascii="Arial" w:hAnsi="Arial" w:cs="Arial"/>
          <w:sz w:val="24"/>
          <w:szCs w:val="24"/>
        </w:rPr>
        <w:t xml:space="preserve"> Council relays that they </w:t>
      </w:r>
      <w:r w:rsidR="00125DF1" w:rsidRPr="003709C7">
        <w:rPr>
          <w:rFonts w:ascii="Arial" w:hAnsi="Arial" w:cs="Arial"/>
          <w:sz w:val="24"/>
          <w:szCs w:val="24"/>
        </w:rPr>
        <w:t>stated that they onl</w:t>
      </w:r>
      <w:r w:rsidR="006A76C8" w:rsidRPr="003709C7">
        <w:rPr>
          <w:rFonts w:ascii="Arial" w:hAnsi="Arial" w:cs="Arial"/>
          <w:sz w:val="24"/>
          <w:szCs w:val="24"/>
        </w:rPr>
        <w:t>y used the claimed route when on holiday.</w:t>
      </w:r>
      <w:r w:rsidR="00A94C53">
        <w:rPr>
          <w:rFonts w:ascii="Arial" w:hAnsi="Arial" w:cs="Arial"/>
          <w:sz w:val="24"/>
          <w:szCs w:val="24"/>
        </w:rPr>
        <w:t xml:space="preserve"> </w:t>
      </w:r>
      <w:r w:rsidR="0054635E" w:rsidRPr="00A94C53">
        <w:rPr>
          <w:rFonts w:ascii="Arial" w:hAnsi="Arial" w:cs="Arial"/>
          <w:sz w:val="24"/>
          <w:szCs w:val="24"/>
        </w:rPr>
        <w:t xml:space="preserve">The evidence of </w:t>
      </w:r>
      <w:r w:rsidR="0054635E" w:rsidRPr="00206B5D">
        <w:rPr>
          <w:rFonts w:ascii="Arial" w:hAnsi="Arial" w:cs="Arial"/>
          <w:sz w:val="24"/>
          <w:szCs w:val="24"/>
        </w:rPr>
        <w:t>four users indicates that the route had been in regular use from 1990 to 2010. Collectively, the remaining user evidence indicates that the route was in use from 1984 to 2010.</w:t>
      </w:r>
      <w:r w:rsidR="0054635E" w:rsidRPr="00A94C53">
        <w:rPr>
          <w:rFonts w:ascii="Arial" w:hAnsi="Arial" w:cs="Arial"/>
          <w:sz w:val="24"/>
          <w:szCs w:val="24"/>
        </w:rPr>
        <w:t xml:space="preserve"> </w:t>
      </w:r>
    </w:p>
    <w:p w14:paraId="67D892C8" w14:textId="704F5653" w:rsidR="00C046DC" w:rsidRPr="005F796E" w:rsidRDefault="00221A74" w:rsidP="00AD2607">
      <w:pPr>
        <w:pStyle w:val="Style1"/>
        <w:numPr>
          <w:ilvl w:val="0"/>
          <w:numId w:val="24"/>
        </w:numPr>
        <w:spacing w:before="120"/>
        <w:rPr>
          <w:rFonts w:ascii="Arial" w:hAnsi="Arial" w:cs="Arial"/>
          <w:sz w:val="24"/>
          <w:szCs w:val="24"/>
        </w:rPr>
      </w:pPr>
      <w:r w:rsidRPr="003709C7">
        <w:rPr>
          <w:rFonts w:ascii="Arial" w:hAnsi="Arial" w:cs="Arial"/>
          <w:sz w:val="24"/>
          <w:szCs w:val="24"/>
        </w:rPr>
        <w:t>The number of user</w:t>
      </w:r>
      <w:r w:rsidR="00F03567" w:rsidRPr="003709C7">
        <w:rPr>
          <w:rFonts w:ascii="Arial" w:hAnsi="Arial" w:cs="Arial"/>
          <w:sz w:val="24"/>
          <w:szCs w:val="24"/>
        </w:rPr>
        <w:t xml:space="preserve"> evidence forms is low. However, this must be viewed in context. </w:t>
      </w:r>
      <w:r w:rsidR="0046491C" w:rsidRPr="003709C7">
        <w:rPr>
          <w:rFonts w:ascii="Arial" w:hAnsi="Arial" w:cs="Arial"/>
          <w:sz w:val="24"/>
          <w:szCs w:val="24"/>
        </w:rPr>
        <w:t>As t</w:t>
      </w:r>
      <w:r w:rsidR="00F03567" w:rsidRPr="003709C7">
        <w:rPr>
          <w:rFonts w:ascii="Arial" w:hAnsi="Arial" w:cs="Arial"/>
          <w:sz w:val="24"/>
          <w:szCs w:val="24"/>
        </w:rPr>
        <w:t xml:space="preserve">he surrounding area is sparsely populated </w:t>
      </w:r>
      <w:r w:rsidR="00676352" w:rsidRPr="003709C7">
        <w:rPr>
          <w:rFonts w:ascii="Arial" w:hAnsi="Arial" w:cs="Arial"/>
          <w:sz w:val="24"/>
          <w:szCs w:val="24"/>
        </w:rPr>
        <w:t xml:space="preserve">regular local users would be few in number and </w:t>
      </w:r>
      <w:r w:rsidR="00510B37" w:rsidRPr="003709C7">
        <w:rPr>
          <w:rFonts w:ascii="Arial" w:hAnsi="Arial" w:cs="Arial"/>
          <w:sz w:val="24"/>
          <w:szCs w:val="24"/>
        </w:rPr>
        <w:t>those who have been drawn to</w:t>
      </w:r>
      <w:r w:rsidR="00926BC5" w:rsidRPr="003709C7">
        <w:rPr>
          <w:rFonts w:ascii="Arial" w:hAnsi="Arial" w:cs="Arial"/>
          <w:sz w:val="24"/>
          <w:szCs w:val="24"/>
        </w:rPr>
        <w:t xml:space="preserve"> </w:t>
      </w:r>
      <w:r w:rsidR="00510B37" w:rsidRPr="003709C7">
        <w:rPr>
          <w:rFonts w:ascii="Arial" w:hAnsi="Arial" w:cs="Arial"/>
          <w:sz w:val="24"/>
          <w:szCs w:val="24"/>
        </w:rPr>
        <w:t>walk the route as a result of its inclusion in</w:t>
      </w:r>
      <w:r w:rsidR="00940C17" w:rsidRPr="003709C7">
        <w:rPr>
          <w:rFonts w:ascii="Arial" w:hAnsi="Arial" w:cs="Arial"/>
          <w:sz w:val="24"/>
          <w:szCs w:val="24"/>
        </w:rPr>
        <w:t xml:space="preserve"> the</w:t>
      </w:r>
      <w:r w:rsidR="00510B37" w:rsidRPr="003709C7">
        <w:rPr>
          <w:rFonts w:ascii="Arial" w:hAnsi="Arial" w:cs="Arial"/>
          <w:sz w:val="24"/>
          <w:szCs w:val="24"/>
        </w:rPr>
        <w:t xml:space="preserve"> </w:t>
      </w:r>
      <w:r w:rsidR="0087264E" w:rsidRPr="003709C7">
        <w:rPr>
          <w:rFonts w:ascii="Arial" w:hAnsi="Arial" w:cs="Arial"/>
          <w:sz w:val="24"/>
          <w:szCs w:val="24"/>
        </w:rPr>
        <w:t>guidebook</w:t>
      </w:r>
      <w:r w:rsidR="00084A3D">
        <w:rPr>
          <w:rFonts w:ascii="Arial" w:hAnsi="Arial" w:cs="Arial"/>
          <w:sz w:val="24"/>
          <w:szCs w:val="24"/>
        </w:rPr>
        <w:t xml:space="preserve"> </w:t>
      </w:r>
      <w:r w:rsidR="00084A3D" w:rsidRPr="002173A5">
        <w:rPr>
          <w:rFonts w:ascii="Arial" w:hAnsi="Arial" w:cs="Arial"/>
          <w:color w:val="auto"/>
          <w:sz w:val="24"/>
          <w:szCs w:val="24"/>
        </w:rPr>
        <w:t>[</w:t>
      </w:r>
      <w:r w:rsidR="002173A5" w:rsidRPr="002173A5">
        <w:rPr>
          <w:rFonts w:ascii="Arial" w:hAnsi="Arial" w:cs="Arial"/>
          <w:color w:val="auto"/>
          <w:sz w:val="24"/>
          <w:szCs w:val="24"/>
        </w:rPr>
        <w:t>18</w:t>
      </w:r>
      <w:r w:rsidR="0093204D" w:rsidRPr="002173A5">
        <w:rPr>
          <w:rFonts w:ascii="Arial" w:hAnsi="Arial" w:cs="Arial"/>
          <w:color w:val="auto"/>
          <w:sz w:val="24"/>
          <w:szCs w:val="24"/>
        </w:rPr>
        <w:t xml:space="preserve">] </w:t>
      </w:r>
      <w:r w:rsidR="00926BC5" w:rsidRPr="003709C7">
        <w:rPr>
          <w:rFonts w:ascii="Arial" w:hAnsi="Arial" w:cs="Arial"/>
          <w:sz w:val="24"/>
          <w:szCs w:val="24"/>
        </w:rPr>
        <w:t xml:space="preserve">are unlikely </w:t>
      </w:r>
      <w:r w:rsidR="006F5159" w:rsidRPr="003709C7">
        <w:rPr>
          <w:rFonts w:ascii="Arial" w:hAnsi="Arial" w:cs="Arial"/>
          <w:sz w:val="24"/>
          <w:szCs w:val="24"/>
        </w:rPr>
        <w:t>to have been captured by the user evidence forms.</w:t>
      </w:r>
      <w:r w:rsidR="005F796E">
        <w:rPr>
          <w:rFonts w:ascii="Arial" w:hAnsi="Arial" w:cs="Arial"/>
          <w:sz w:val="24"/>
          <w:szCs w:val="24"/>
        </w:rPr>
        <w:t xml:space="preserve"> </w:t>
      </w:r>
      <w:r w:rsidR="00000AF9" w:rsidRPr="005F796E">
        <w:rPr>
          <w:rFonts w:ascii="Arial" w:hAnsi="Arial" w:cs="Arial"/>
          <w:sz w:val="24"/>
          <w:szCs w:val="24"/>
        </w:rPr>
        <w:t>Given that 20,000 copies of th</w:t>
      </w:r>
      <w:r w:rsidR="00A913DE" w:rsidRPr="005F796E">
        <w:rPr>
          <w:rFonts w:ascii="Arial" w:hAnsi="Arial" w:cs="Arial"/>
          <w:sz w:val="24"/>
          <w:szCs w:val="24"/>
        </w:rPr>
        <w:t xml:space="preserve">e </w:t>
      </w:r>
      <w:r w:rsidR="0087264E" w:rsidRPr="005F796E">
        <w:rPr>
          <w:rFonts w:ascii="Arial" w:hAnsi="Arial" w:cs="Arial"/>
          <w:sz w:val="24"/>
          <w:szCs w:val="24"/>
        </w:rPr>
        <w:t>guidebook</w:t>
      </w:r>
      <w:r w:rsidR="00000AF9" w:rsidRPr="005F796E">
        <w:rPr>
          <w:rFonts w:ascii="Arial" w:hAnsi="Arial" w:cs="Arial"/>
          <w:sz w:val="24"/>
          <w:szCs w:val="24"/>
        </w:rPr>
        <w:t xml:space="preserve"> have been sold</w:t>
      </w:r>
      <w:r w:rsidR="004E6ACC">
        <w:rPr>
          <w:rFonts w:ascii="Arial" w:hAnsi="Arial" w:cs="Arial"/>
          <w:sz w:val="24"/>
          <w:szCs w:val="24"/>
        </w:rPr>
        <w:t>,</w:t>
      </w:r>
      <w:r w:rsidR="00000AF9" w:rsidRPr="005F796E">
        <w:rPr>
          <w:rFonts w:ascii="Arial" w:hAnsi="Arial" w:cs="Arial"/>
          <w:sz w:val="24"/>
          <w:szCs w:val="24"/>
        </w:rPr>
        <w:t xml:space="preserve"> it is reasonable to assume </w:t>
      </w:r>
      <w:r w:rsidR="00BF1E53" w:rsidRPr="005F796E">
        <w:rPr>
          <w:rFonts w:ascii="Arial" w:hAnsi="Arial" w:cs="Arial"/>
          <w:sz w:val="24"/>
          <w:szCs w:val="24"/>
        </w:rPr>
        <w:t>over the</w:t>
      </w:r>
      <w:r w:rsidR="00443352" w:rsidRPr="005F796E">
        <w:rPr>
          <w:rFonts w:ascii="Arial" w:hAnsi="Arial" w:cs="Arial"/>
          <w:sz w:val="24"/>
          <w:szCs w:val="24"/>
        </w:rPr>
        <w:t xml:space="preserve"> relevant period </w:t>
      </w:r>
      <w:r w:rsidR="006842AD" w:rsidRPr="005F796E">
        <w:rPr>
          <w:rFonts w:ascii="Arial" w:hAnsi="Arial" w:cs="Arial"/>
          <w:sz w:val="24"/>
          <w:szCs w:val="24"/>
        </w:rPr>
        <w:t xml:space="preserve">that even if </w:t>
      </w:r>
      <w:r w:rsidR="008E0367" w:rsidRPr="005F796E">
        <w:rPr>
          <w:rFonts w:ascii="Arial" w:hAnsi="Arial" w:cs="Arial"/>
          <w:sz w:val="24"/>
          <w:szCs w:val="24"/>
        </w:rPr>
        <w:t>only a small percentage of its readers walked the claimed route th</w:t>
      </w:r>
      <w:r w:rsidR="00840B09" w:rsidRPr="005F796E">
        <w:rPr>
          <w:rFonts w:ascii="Arial" w:hAnsi="Arial" w:cs="Arial"/>
          <w:sz w:val="24"/>
          <w:szCs w:val="24"/>
        </w:rPr>
        <w:t xml:space="preserve">is would equate to </w:t>
      </w:r>
      <w:r w:rsidR="00443352" w:rsidRPr="005F796E">
        <w:rPr>
          <w:rFonts w:ascii="Arial" w:hAnsi="Arial" w:cs="Arial"/>
          <w:sz w:val="24"/>
          <w:szCs w:val="24"/>
        </w:rPr>
        <w:t>a notable number</w:t>
      </w:r>
      <w:r w:rsidR="006D5EFC" w:rsidRPr="005F796E">
        <w:rPr>
          <w:rFonts w:ascii="Arial" w:hAnsi="Arial" w:cs="Arial"/>
          <w:sz w:val="24"/>
          <w:szCs w:val="24"/>
        </w:rPr>
        <w:t xml:space="preserve"> </w:t>
      </w:r>
      <w:r w:rsidR="00BF1E53" w:rsidRPr="005F796E">
        <w:rPr>
          <w:rFonts w:ascii="Arial" w:hAnsi="Arial" w:cs="Arial"/>
          <w:sz w:val="24"/>
          <w:szCs w:val="24"/>
        </w:rPr>
        <w:t>o</w:t>
      </w:r>
      <w:r w:rsidR="006D5EFC" w:rsidRPr="005F796E">
        <w:rPr>
          <w:rFonts w:ascii="Arial" w:hAnsi="Arial" w:cs="Arial"/>
          <w:sz w:val="24"/>
          <w:szCs w:val="24"/>
        </w:rPr>
        <w:t xml:space="preserve">f </w:t>
      </w:r>
      <w:r w:rsidR="008E4A20" w:rsidRPr="005F796E">
        <w:rPr>
          <w:rFonts w:ascii="Arial" w:hAnsi="Arial" w:cs="Arial"/>
          <w:sz w:val="24"/>
          <w:szCs w:val="24"/>
        </w:rPr>
        <w:t>people</w:t>
      </w:r>
      <w:r w:rsidR="00824282" w:rsidRPr="005F796E">
        <w:rPr>
          <w:rFonts w:ascii="Arial" w:hAnsi="Arial" w:cs="Arial"/>
          <w:sz w:val="24"/>
          <w:szCs w:val="24"/>
        </w:rPr>
        <w:t>.</w:t>
      </w:r>
    </w:p>
    <w:p w14:paraId="69A2D436" w14:textId="3E30A1CC" w:rsidR="00842A0B" w:rsidRPr="00215275" w:rsidRDefault="00855D86" w:rsidP="00121C11">
      <w:pPr>
        <w:pStyle w:val="Style1"/>
        <w:numPr>
          <w:ilvl w:val="0"/>
          <w:numId w:val="24"/>
        </w:numPr>
        <w:tabs>
          <w:tab w:val="left" w:pos="720"/>
        </w:tabs>
        <w:spacing w:before="120"/>
        <w:rPr>
          <w:rFonts w:ascii="Arial" w:hAnsi="Arial" w:cs="Arial"/>
          <w:color w:val="auto"/>
          <w:sz w:val="24"/>
          <w:szCs w:val="24"/>
        </w:rPr>
      </w:pPr>
      <w:r w:rsidRPr="00215275">
        <w:rPr>
          <w:rFonts w:ascii="Arial" w:hAnsi="Arial" w:cs="Arial"/>
          <w:color w:val="auto"/>
          <w:sz w:val="24"/>
          <w:szCs w:val="24"/>
        </w:rPr>
        <w:t>T</w:t>
      </w:r>
      <w:r w:rsidR="00842A0B" w:rsidRPr="00215275">
        <w:rPr>
          <w:rFonts w:ascii="Arial" w:hAnsi="Arial" w:cs="Arial"/>
          <w:color w:val="auto"/>
          <w:sz w:val="24"/>
          <w:szCs w:val="24"/>
        </w:rPr>
        <w:t xml:space="preserve">he evidence </w:t>
      </w:r>
      <w:r w:rsidRPr="00215275">
        <w:rPr>
          <w:rFonts w:ascii="Arial" w:hAnsi="Arial" w:cs="Arial"/>
          <w:color w:val="auto"/>
          <w:sz w:val="24"/>
          <w:szCs w:val="24"/>
        </w:rPr>
        <w:t xml:space="preserve">is </w:t>
      </w:r>
      <w:r w:rsidR="00842A0B" w:rsidRPr="00215275">
        <w:rPr>
          <w:rFonts w:ascii="Arial" w:hAnsi="Arial" w:cs="Arial"/>
          <w:color w:val="auto"/>
          <w:sz w:val="24"/>
          <w:szCs w:val="24"/>
        </w:rPr>
        <w:t>that use of the claimed route during the relevant 20 year period was carried out openly</w:t>
      </w:r>
      <w:r w:rsidR="004D314A" w:rsidRPr="00215275">
        <w:rPr>
          <w:rFonts w:ascii="Arial" w:hAnsi="Arial" w:cs="Arial"/>
          <w:color w:val="auto"/>
          <w:sz w:val="24"/>
          <w:szCs w:val="24"/>
        </w:rPr>
        <w:t xml:space="preserve">, </w:t>
      </w:r>
      <w:r w:rsidR="001E5F66" w:rsidRPr="00215275">
        <w:rPr>
          <w:rFonts w:ascii="Arial" w:hAnsi="Arial" w:cs="Arial"/>
          <w:color w:val="auto"/>
          <w:sz w:val="24"/>
          <w:szCs w:val="24"/>
        </w:rPr>
        <w:t xml:space="preserve">did not involve </w:t>
      </w:r>
      <w:r w:rsidR="00842A0B" w:rsidRPr="00215275">
        <w:rPr>
          <w:rFonts w:ascii="Arial" w:hAnsi="Arial" w:cs="Arial"/>
          <w:color w:val="auto"/>
          <w:sz w:val="24"/>
          <w:szCs w:val="24"/>
        </w:rPr>
        <w:t>force</w:t>
      </w:r>
      <w:r w:rsidR="00955518" w:rsidRPr="00215275">
        <w:rPr>
          <w:rFonts w:ascii="Arial" w:hAnsi="Arial" w:cs="Arial"/>
          <w:color w:val="auto"/>
          <w:sz w:val="24"/>
          <w:szCs w:val="24"/>
        </w:rPr>
        <w:t xml:space="preserve"> and</w:t>
      </w:r>
      <w:r w:rsidR="00842A0B" w:rsidRPr="00215275">
        <w:rPr>
          <w:rFonts w:ascii="Arial" w:hAnsi="Arial" w:cs="Arial"/>
          <w:color w:val="auto"/>
          <w:sz w:val="24"/>
          <w:szCs w:val="24"/>
        </w:rPr>
        <w:t xml:space="preserve"> was </w:t>
      </w:r>
      <w:r w:rsidR="00B0438F" w:rsidRPr="00215275">
        <w:rPr>
          <w:rFonts w:ascii="Arial" w:hAnsi="Arial" w:cs="Arial"/>
          <w:color w:val="auto"/>
          <w:sz w:val="24"/>
          <w:szCs w:val="24"/>
        </w:rPr>
        <w:t>un</w:t>
      </w:r>
      <w:r w:rsidR="00842A0B" w:rsidRPr="00215275">
        <w:rPr>
          <w:rFonts w:ascii="Arial" w:hAnsi="Arial" w:cs="Arial"/>
          <w:color w:val="auto"/>
          <w:sz w:val="24"/>
          <w:szCs w:val="24"/>
        </w:rPr>
        <w:t xml:space="preserve">interrupted. No challenges by landowners to use of the claimed route by users, whether verbal, in the form of signs or by way of civil action for trespass prior to </w:t>
      </w:r>
      <w:r w:rsidR="00064A6B" w:rsidRPr="00215275">
        <w:rPr>
          <w:rFonts w:ascii="Arial" w:hAnsi="Arial" w:cs="Arial"/>
          <w:color w:val="auto"/>
          <w:sz w:val="24"/>
          <w:szCs w:val="24"/>
        </w:rPr>
        <w:t xml:space="preserve">May </w:t>
      </w:r>
      <w:r w:rsidR="00842A0B" w:rsidRPr="00215275">
        <w:rPr>
          <w:rFonts w:ascii="Arial" w:hAnsi="Arial" w:cs="Arial"/>
          <w:color w:val="auto"/>
          <w:sz w:val="24"/>
          <w:szCs w:val="24"/>
        </w:rPr>
        <w:t>2010 have been reported.</w:t>
      </w:r>
      <w:r w:rsidR="000E302E" w:rsidRPr="00215275">
        <w:rPr>
          <w:rFonts w:ascii="Arial" w:hAnsi="Arial" w:cs="Arial"/>
          <w:color w:val="auto"/>
          <w:sz w:val="24"/>
          <w:szCs w:val="24"/>
        </w:rPr>
        <w:t xml:space="preserve"> W</w:t>
      </w:r>
      <w:r w:rsidR="00AA7B0A" w:rsidRPr="00215275">
        <w:rPr>
          <w:rFonts w:ascii="Arial" w:hAnsi="Arial" w:cs="Arial"/>
          <w:color w:val="auto"/>
          <w:sz w:val="24"/>
          <w:szCs w:val="24"/>
        </w:rPr>
        <w:t>hilst</w:t>
      </w:r>
      <w:r w:rsidR="00842A0B" w:rsidRPr="00215275">
        <w:rPr>
          <w:rFonts w:ascii="Arial" w:hAnsi="Arial" w:cs="Arial"/>
          <w:color w:val="auto"/>
          <w:sz w:val="24"/>
          <w:szCs w:val="24"/>
        </w:rPr>
        <w:t xml:space="preserve"> obstructions </w:t>
      </w:r>
      <w:r w:rsidR="00725E67" w:rsidRPr="00215275">
        <w:rPr>
          <w:rFonts w:ascii="Arial" w:hAnsi="Arial" w:cs="Arial"/>
          <w:color w:val="auto"/>
          <w:sz w:val="24"/>
          <w:szCs w:val="24"/>
        </w:rPr>
        <w:t xml:space="preserve">were reported in the user evidence forms </w:t>
      </w:r>
      <w:r w:rsidR="00B875C9" w:rsidRPr="00215275">
        <w:rPr>
          <w:rFonts w:ascii="Arial" w:hAnsi="Arial" w:cs="Arial"/>
          <w:color w:val="auto"/>
          <w:sz w:val="24"/>
          <w:szCs w:val="24"/>
        </w:rPr>
        <w:t>there is no</w:t>
      </w:r>
      <w:r w:rsidR="001D1EE0" w:rsidRPr="00215275">
        <w:rPr>
          <w:rFonts w:ascii="Arial" w:hAnsi="Arial" w:cs="Arial"/>
          <w:color w:val="auto"/>
          <w:sz w:val="24"/>
          <w:szCs w:val="24"/>
        </w:rPr>
        <w:t xml:space="preserve"> substantive</w:t>
      </w:r>
      <w:r w:rsidR="00B875C9" w:rsidRPr="00215275">
        <w:rPr>
          <w:rFonts w:ascii="Arial" w:hAnsi="Arial" w:cs="Arial"/>
          <w:color w:val="auto"/>
          <w:sz w:val="24"/>
          <w:szCs w:val="24"/>
        </w:rPr>
        <w:t xml:space="preserve"> evidence that the</w:t>
      </w:r>
      <w:r w:rsidR="00AD0B80" w:rsidRPr="00215275">
        <w:rPr>
          <w:rFonts w:ascii="Arial" w:hAnsi="Arial" w:cs="Arial"/>
          <w:color w:val="auto"/>
          <w:sz w:val="24"/>
          <w:szCs w:val="24"/>
        </w:rPr>
        <w:t>y were put in place during th</w:t>
      </w:r>
      <w:r w:rsidR="00560A04" w:rsidRPr="00215275">
        <w:rPr>
          <w:rFonts w:ascii="Arial" w:hAnsi="Arial" w:cs="Arial"/>
          <w:color w:val="auto"/>
          <w:sz w:val="24"/>
          <w:szCs w:val="24"/>
        </w:rPr>
        <w:t xml:space="preserve">e </w:t>
      </w:r>
      <w:r w:rsidR="00AD0B80" w:rsidRPr="00215275">
        <w:rPr>
          <w:rFonts w:ascii="Arial" w:hAnsi="Arial" w:cs="Arial"/>
          <w:color w:val="auto"/>
          <w:sz w:val="24"/>
          <w:szCs w:val="24"/>
        </w:rPr>
        <w:t>rel</w:t>
      </w:r>
      <w:r w:rsidR="00560A04" w:rsidRPr="00215275">
        <w:rPr>
          <w:rFonts w:ascii="Arial" w:hAnsi="Arial" w:cs="Arial"/>
          <w:color w:val="auto"/>
          <w:sz w:val="24"/>
          <w:szCs w:val="24"/>
        </w:rPr>
        <w:t>e</w:t>
      </w:r>
      <w:r w:rsidR="00AD0B80" w:rsidRPr="00215275">
        <w:rPr>
          <w:rFonts w:ascii="Arial" w:hAnsi="Arial" w:cs="Arial"/>
          <w:color w:val="auto"/>
          <w:sz w:val="24"/>
          <w:szCs w:val="24"/>
        </w:rPr>
        <w:t>vant period</w:t>
      </w:r>
      <w:r w:rsidR="000D79B9" w:rsidRPr="00215275">
        <w:rPr>
          <w:rFonts w:ascii="Arial" w:hAnsi="Arial" w:cs="Arial"/>
          <w:color w:val="auto"/>
          <w:sz w:val="24"/>
          <w:szCs w:val="24"/>
        </w:rPr>
        <w:t xml:space="preserve">. Furthermore, there is no evidence that </w:t>
      </w:r>
      <w:r w:rsidR="00842A0B" w:rsidRPr="00215275">
        <w:rPr>
          <w:rFonts w:ascii="Arial" w:hAnsi="Arial" w:cs="Arial"/>
          <w:color w:val="auto"/>
          <w:sz w:val="24"/>
          <w:szCs w:val="24"/>
        </w:rPr>
        <w:t>during th</w:t>
      </w:r>
      <w:r w:rsidR="00560A04" w:rsidRPr="00215275">
        <w:rPr>
          <w:rFonts w:ascii="Arial" w:hAnsi="Arial" w:cs="Arial"/>
          <w:color w:val="auto"/>
          <w:sz w:val="24"/>
          <w:szCs w:val="24"/>
        </w:rPr>
        <w:t xml:space="preserve">at </w:t>
      </w:r>
      <w:r w:rsidR="00842A0B" w:rsidRPr="00215275">
        <w:rPr>
          <w:rFonts w:ascii="Arial" w:hAnsi="Arial" w:cs="Arial"/>
          <w:color w:val="auto"/>
          <w:sz w:val="24"/>
          <w:szCs w:val="24"/>
        </w:rPr>
        <w:t xml:space="preserve">period any landowner expressed an intention not to dedicate the claimed route as a public footpath. </w:t>
      </w:r>
    </w:p>
    <w:p w14:paraId="0EFB6FBE" w14:textId="774EA8AE" w:rsidR="00AD2607" w:rsidRPr="00BF74B6" w:rsidRDefault="00CB637A" w:rsidP="00AD2607">
      <w:pPr>
        <w:pStyle w:val="Style1"/>
        <w:numPr>
          <w:ilvl w:val="0"/>
          <w:numId w:val="24"/>
        </w:numPr>
        <w:spacing w:before="120"/>
        <w:rPr>
          <w:rFonts w:ascii="Arial" w:hAnsi="Arial" w:cs="Arial"/>
          <w:color w:val="auto"/>
          <w:sz w:val="24"/>
          <w:szCs w:val="24"/>
        </w:rPr>
      </w:pPr>
      <w:bookmarkStart w:id="4" w:name="_Hlk133596042"/>
      <w:r w:rsidRPr="00487893">
        <w:rPr>
          <w:rFonts w:ascii="Arial" w:hAnsi="Arial" w:cs="Arial"/>
          <w:color w:val="auto"/>
          <w:sz w:val="24"/>
          <w:szCs w:val="24"/>
        </w:rPr>
        <w:t xml:space="preserve">Taking all these matters into account, I am therefore satisfied that the user evidence </w:t>
      </w:r>
      <w:r w:rsidR="0030002F" w:rsidRPr="00487893">
        <w:rPr>
          <w:rFonts w:ascii="Arial" w:hAnsi="Arial" w:cs="Arial"/>
          <w:color w:val="auto"/>
          <w:sz w:val="24"/>
          <w:szCs w:val="24"/>
        </w:rPr>
        <w:t xml:space="preserve">is supportive of </w:t>
      </w:r>
      <w:r w:rsidR="00F738F5" w:rsidRPr="00487893">
        <w:rPr>
          <w:rFonts w:ascii="Arial" w:hAnsi="Arial" w:cs="Arial"/>
          <w:sz w:val="24"/>
          <w:szCs w:val="24"/>
        </w:rPr>
        <w:t xml:space="preserve">the claimed route </w:t>
      </w:r>
      <w:r w:rsidR="00FD2119" w:rsidRPr="00487893">
        <w:rPr>
          <w:rFonts w:ascii="Arial" w:hAnsi="Arial" w:cs="Arial"/>
          <w:sz w:val="24"/>
          <w:szCs w:val="24"/>
        </w:rPr>
        <w:t xml:space="preserve">being </w:t>
      </w:r>
      <w:r w:rsidRPr="00487893">
        <w:rPr>
          <w:rFonts w:ascii="Arial" w:hAnsi="Arial" w:cs="Arial"/>
          <w:sz w:val="24"/>
          <w:szCs w:val="24"/>
        </w:rPr>
        <w:t>a right of way</w:t>
      </w:r>
      <w:r w:rsidR="00F9604A" w:rsidRPr="00487893">
        <w:rPr>
          <w:rFonts w:ascii="Arial" w:hAnsi="Arial" w:cs="Arial"/>
          <w:sz w:val="24"/>
          <w:szCs w:val="24"/>
        </w:rPr>
        <w:t>.</w:t>
      </w:r>
      <w:bookmarkStart w:id="5" w:name="bmk_Conclusions"/>
      <w:r w:rsidR="00A13369" w:rsidRPr="00A13369">
        <w:rPr>
          <w:rFonts w:ascii="Arial" w:hAnsi="Arial" w:cs="Arial"/>
          <w:sz w:val="24"/>
          <w:szCs w:val="24"/>
        </w:rPr>
        <w:t xml:space="preserve"> </w:t>
      </w:r>
      <w:r w:rsidR="00A13369">
        <w:rPr>
          <w:rFonts w:ascii="Arial" w:hAnsi="Arial" w:cs="Arial"/>
          <w:sz w:val="24"/>
          <w:szCs w:val="24"/>
        </w:rPr>
        <w:t>As noted earlier there is a potential conflict in evidence regarding whether use may be permissive but, on balance, use was not with explicit permission from the landowner.</w:t>
      </w:r>
    </w:p>
    <w:bookmarkEnd w:id="4"/>
    <w:p w14:paraId="36D85D20" w14:textId="797169F9" w:rsidR="00703B21" w:rsidRPr="0030689B" w:rsidRDefault="00985933" w:rsidP="00AD2607">
      <w:pPr>
        <w:pStyle w:val="Style1"/>
        <w:numPr>
          <w:ilvl w:val="0"/>
          <w:numId w:val="0"/>
        </w:numPr>
        <w:spacing w:before="120"/>
        <w:rPr>
          <w:rFonts w:ascii="Arial" w:hAnsi="Arial" w:cs="Arial"/>
          <w:b/>
          <w:bCs/>
          <w:sz w:val="24"/>
          <w:szCs w:val="24"/>
        </w:rPr>
      </w:pPr>
      <w:r w:rsidRPr="0030689B">
        <w:rPr>
          <w:rFonts w:ascii="Arial" w:hAnsi="Arial" w:cs="Arial"/>
          <w:b/>
          <w:bCs/>
          <w:sz w:val="24"/>
          <w:szCs w:val="24"/>
        </w:rPr>
        <w:t>Conclusion</w:t>
      </w:r>
    </w:p>
    <w:p w14:paraId="3AAE884D" w14:textId="6FBBEB05" w:rsidR="00254D3E" w:rsidRPr="00E60520" w:rsidRDefault="00E02E19" w:rsidP="00AD2607">
      <w:pPr>
        <w:pStyle w:val="Style1"/>
        <w:spacing w:before="120"/>
        <w:rPr>
          <w:rFonts w:ascii="Arial" w:hAnsi="Arial" w:cs="Arial"/>
          <w:sz w:val="24"/>
          <w:szCs w:val="24"/>
        </w:rPr>
      </w:pPr>
      <w:r w:rsidRPr="00E60520">
        <w:rPr>
          <w:rFonts w:ascii="Arial" w:hAnsi="Arial" w:cs="Arial"/>
          <w:sz w:val="24"/>
          <w:szCs w:val="24"/>
        </w:rPr>
        <w:t xml:space="preserve">For the reasons given above in relation to the documentary and user evidence </w:t>
      </w:r>
      <w:r w:rsidR="000414B3" w:rsidRPr="00E60520">
        <w:rPr>
          <w:rFonts w:ascii="Arial" w:hAnsi="Arial" w:cs="Arial"/>
          <w:sz w:val="24"/>
          <w:szCs w:val="24"/>
        </w:rPr>
        <w:t xml:space="preserve">I conclude that </w:t>
      </w:r>
      <w:r w:rsidR="00436854" w:rsidRPr="00E60520">
        <w:rPr>
          <w:rFonts w:ascii="Arial" w:hAnsi="Arial" w:cs="Arial"/>
          <w:sz w:val="24"/>
          <w:szCs w:val="24"/>
        </w:rPr>
        <w:t>it is reasonable</w:t>
      </w:r>
      <w:r w:rsidR="007E3FD0" w:rsidRPr="00E60520">
        <w:rPr>
          <w:rFonts w:ascii="Arial" w:hAnsi="Arial" w:cs="Arial"/>
          <w:sz w:val="24"/>
          <w:szCs w:val="24"/>
        </w:rPr>
        <w:t xml:space="preserve"> </w:t>
      </w:r>
      <w:r w:rsidR="00436854" w:rsidRPr="00E60520">
        <w:rPr>
          <w:rFonts w:ascii="Arial" w:hAnsi="Arial" w:cs="Arial"/>
          <w:sz w:val="24"/>
          <w:szCs w:val="24"/>
        </w:rPr>
        <w:t xml:space="preserve">to allege that </w:t>
      </w:r>
      <w:r w:rsidR="00DD4698" w:rsidRPr="00E60520">
        <w:rPr>
          <w:rFonts w:ascii="Arial" w:hAnsi="Arial" w:cs="Arial"/>
          <w:sz w:val="24"/>
          <w:szCs w:val="24"/>
        </w:rPr>
        <w:t xml:space="preserve">the claimed route is </w:t>
      </w:r>
      <w:r w:rsidR="00436854" w:rsidRPr="00E60520">
        <w:rPr>
          <w:rFonts w:ascii="Arial" w:hAnsi="Arial" w:cs="Arial"/>
          <w:sz w:val="24"/>
          <w:szCs w:val="24"/>
        </w:rPr>
        <w:t>a right of way.</w:t>
      </w:r>
      <w:r w:rsidR="001C0031" w:rsidRPr="00E60520">
        <w:rPr>
          <w:rFonts w:ascii="Arial" w:hAnsi="Arial" w:cs="Arial"/>
          <w:sz w:val="24"/>
          <w:szCs w:val="24"/>
        </w:rPr>
        <w:t xml:space="preserve"> </w:t>
      </w:r>
      <w:r w:rsidR="00053852" w:rsidRPr="00E60520">
        <w:rPr>
          <w:rFonts w:ascii="Arial" w:hAnsi="Arial" w:cs="Arial"/>
          <w:sz w:val="24"/>
          <w:szCs w:val="24"/>
        </w:rPr>
        <w:t xml:space="preserve">As a result, </w:t>
      </w:r>
      <w:r w:rsidR="00254D3E" w:rsidRPr="00E60520">
        <w:rPr>
          <w:rFonts w:ascii="Arial" w:hAnsi="Arial" w:cs="Arial"/>
          <w:sz w:val="24"/>
          <w:szCs w:val="24"/>
        </w:rPr>
        <w:t>an order should be made</w:t>
      </w:r>
      <w:r w:rsidR="00F144EC" w:rsidRPr="00E60520">
        <w:rPr>
          <w:rFonts w:ascii="Arial" w:hAnsi="Arial" w:cs="Arial"/>
          <w:sz w:val="24"/>
          <w:szCs w:val="24"/>
        </w:rPr>
        <w:t xml:space="preserve"> </w:t>
      </w:r>
      <w:r w:rsidR="00254D3E" w:rsidRPr="00E60520">
        <w:rPr>
          <w:rFonts w:ascii="Arial" w:hAnsi="Arial" w:cs="Arial"/>
          <w:sz w:val="24"/>
          <w:szCs w:val="24"/>
        </w:rPr>
        <w:t>to add it to the definitive map. There is some conflicting evidence regarding the appeal route between points B and C as in the guide book the route between these points wanders southwards rather than following a straight line.</w:t>
      </w:r>
      <w:r w:rsidR="00C6557B" w:rsidRPr="00E60520">
        <w:rPr>
          <w:rFonts w:ascii="Arial" w:hAnsi="Arial" w:cs="Arial"/>
          <w:sz w:val="24"/>
          <w:szCs w:val="24"/>
        </w:rPr>
        <w:t xml:space="preserve"> </w:t>
      </w:r>
      <w:r w:rsidR="00470153" w:rsidRPr="00E60520">
        <w:rPr>
          <w:rFonts w:ascii="Arial" w:hAnsi="Arial" w:cs="Arial"/>
          <w:sz w:val="24"/>
          <w:szCs w:val="24"/>
        </w:rPr>
        <w:t xml:space="preserve">However, the evidence directly before me </w:t>
      </w:r>
      <w:r w:rsidR="00C601D8" w:rsidRPr="00E60520">
        <w:rPr>
          <w:rFonts w:ascii="Arial" w:hAnsi="Arial" w:cs="Arial"/>
          <w:sz w:val="24"/>
          <w:szCs w:val="24"/>
        </w:rPr>
        <w:t>of the used route is the alignment B to C.</w:t>
      </w:r>
      <w:r w:rsidR="00254D3E" w:rsidRPr="00E60520">
        <w:rPr>
          <w:rFonts w:ascii="Arial" w:hAnsi="Arial" w:cs="Arial"/>
          <w:sz w:val="24"/>
          <w:szCs w:val="24"/>
        </w:rPr>
        <w:t xml:space="preserve"> </w:t>
      </w:r>
    </w:p>
    <w:p w14:paraId="533C7A91" w14:textId="302BEA64" w:rsidR="0096041A" w:rsidRPr="00E60520" w:rsidRDefault="00EC3E1F" w:rsidP="00AD2607">
      <w:pPr>
        <w:pStyle w:val="Style1"/>
        <w:spacing w:before="120"/>
        <w:rPr>
          <w:rFonts w:ascii="Arial" w:hAnsi="Arial" w:cs="Arial"/>
          <w:sz w:val="24"/>
          <w:szCs w:val="24"/>
        </w:rPr>
      </w:pPr>
      <w:r w:rsidRPr="00E60520">
        <w:rPr>
          <w:rFonts w:ascii="Arial" w:hAnsi="Arial" w:cs="Arial"/>
          <w:sz w:val="24"/>
          <w:szCs w:val="24"/>
        </w:rPr>
        <w:lastRenderedPageBreak/>
        <w:t>Having regard to these and all other matters raised in the written representations</w:t>
      </w:r>
      <w:r w:rsidR="004D7B6F" w:rsidRPr="00E60520">
        <w:rPr>
          <w:rFonts w:ascii="Arial" w:hAnsi="Arial" w:cs="Arial"/>
          <w:sz w:val="24"/>
          <w:szCs w:val="24"/>
        </w:rPr>
        <w:t xml:space="preserve"> </w:t>
      </w:r>
      <w:r w:rsidRPr="00E60520">
        <w:rPr>
          <w:rFonts w:ascii="Arial" w:hAnsi="Arial" w:cs="Arial"/>
          <w:sz w:val="24"/>
          <w:szCs w:val="24"/>
        </w:rPr>
        <w:t xml:space="preserve">the appeal should </w:t>
      </w:r>
      <w:r w:rsidR="004D7B6F" w:rsidRPr="00E60520">
        <w:rPr>
          <w:rFonts w:ascii="Arial" w:hAnsi="Arial" w:cs="Arial"/>
          <w:sz w:val="24"/>
          <w:szCs w:val="24"/>
        </w:rPr>
        <w:t xml:space="preserve">therefore </w:t>
      </w:r>
      <w:r w:rsidRPr="00E60520">
        <w:rPr>
          <w:rFonts w:ascii="Arial" w:hAnsi="Arial" w:cs="Arial"/>
          <w:sz w:val="24"/>
          <w:szCs w:val="24"/>
        </w:rPr>
        <w:t>be allowed in respect of the claimed route.</w:t>
      </w:r>
    </w:p>
    <w:p w14:paraId="0F284B57" w14:textId="1FCBDB3E" w:rsidR="000A7535" w:rsidRPr="00D06966" w:rsidRDefault="000A7535" w:rsidP="00AD2607">
      <w:pPr>
        <w:pStyle w:val="Style1"/>
        <w:numPr>
          <w:ilvl w:val="0"/>
          <w:numId w:val="0"/>
        </w:numPr>
        <w:spacing w:before="120"/>
        <w:rPr>
          <w:rFonts w:ascii="Arial" w:hAnsi="Arial" w:cs="Arial"/>
          <w:b/>
          <w:bCs/>
          <w:sz w:val="24"/>
          <w:szCs w:val="24"/>
        </w:rPr>
      </w:pPr>
      <w:r w:rsidRPr="00D06966">
        <w:rPr>
          <w:rFonts w:ascii="Arial" w:hAnsi="Arial" w:cs="Arial"/>
          <w:b/>
          <w:bCs/>
          <w:sz w:val="24"/>
          <w:szCs w:val="24"/>
        </w:rPr>
        <w:t xml:space="preserve">Formal Decision </w:t>
      </w:r>
    </w:p>
    <w:p w14:paraId="37397E41" w14:textId="7AD655CE" w:rsidR="000A7535" w:rsidRPr="003709C7" w:rsidRDefault="000A7535" w:rsidP="00AD2607">
      <w:pPr>
        <w:pStyle w:val="Style1"/>
        <w:spacing w:before="120"/>
        <w:rPr>
          <w:rFonts w:ascii="Arial" w:hAnsi="Arial" w:cs="Arial"/>
          <w:sz w:val="24"/>
          <w:szCs w:val="24"/>
        </w:rPr>
      </w:pPr>
      <w:r w:rsidRPr="003709C7">
        <w:rPr>
          <w:rFonts w:ascii="Arial" w:hAnsi="Arial" w:cs="Arial"/>
          <w:sz w:val="24"/>
          <w:szCs w:val="24"/>
        </w:rPr>
        <w:t xml:space="preserve">In accordance with Paragraph 4(2) of Schedule 14 to the 1981 Act, Cornwall Council is directed to make an order under Section 53(2) and Schedule 15 of the Act to modify the definitive map and statement for the area by adding a footpath as requested by the application dated </w:t>
      </w:r>
      <w:r w:rsidR="006751BC" w:rsidRPr="002E4939">
        <w:rPr>
          <w:rFonts w:ascii="Arial" w:hAnsi="Arial" w:cs="Arial"/>
          <w:sz w:val="24"/>
          <w:szCs w:val="24"/>
        </w:rPr>
        <w:t>13 August</w:t>
      </w:r>
      <w:r w:rsidRPr="002E4939">
        <w:rPr>
          <w:rFonts w:ascii="Arial" w:hAnsi="Arial" w:cs="Arial"/>
          <w:sz w:val="24"/>
          <w:szCs w:val="24"/>
        </w:rPr>
        <w:t xml:space="preserve"> 2010.</w:t>
      </w:r>
    </w:p>
    <w:p w14:paraId="20FD111C" w14:textId="02A49EC4" w:rsidR="00985933" w:rsidRPr="003709C7" w:rsidRDefault="000A7535" w:rsidP="00AD2607">
      <w:pPr>
        <w:pStyle w:val="Style1"/>
        <w:spacing w:before="120"/>
        <w:rPr>
          <w:rFonts w:ascii="Arial" w:hAnsi="Arial" w:cs="Arial"/>
          <w:sz w:val="24"/>
          <w:szCs w:val="24"/>
        </w:rPr>
      </w:pPr>
      <w:r w:rsidRPr="003709C7">
        <w:rPr>
          <w:rFonts w:ascii="Arial" w:hAnsi="Arial" w:cs="Arial"/>
          <w:sz w:val="24"/>
          <w:szCs w:val="24"/>
        </w:rPr>
        <w:t>This decision is made without prejudice to any decision that may be issued by the Secretary of State in accordance with h</w:t>
      </w:r>
      <w:r w:rsidR="00FA65FC">
        <w:rPr>
          <w:rFonts w:ascii="Arial" w:hAnsi="Arial" w:cs="Arial"/>
          <w:sz w:val="24"/>
          <w:szCs w:val="24"/>
        </w:rPr>
        <w:t>er</w:t>
      </w:r>
      <w:r w:rsidRPr="003709C7">
        <w:rPr>
          <w:rFonts w:ascii="Arial" w:hAnsi="Arial" w:cs="Arial"/>
          <w:sz w:val="24"/>
          <w:szCs w:val="24"/>
        </w:rPr>
        <w:t xml:space="preserve"> powers under Schedule 15 of the 1981</w:t>
      </w:r>
      <w:r w:rsidR="00947B54">
        <w:rPr>
          <w:rFonts w:ascii="Arial" w:hAnsi="Arial" w:cs="Arial"/>
          <w:sz w:val="24"/>
          <w:szCs w:val="24"/>
        </w:rPr>
        <w:t> </w:t>
      </w:r>
      <w:r w:rsidRPr="003709C7">
        <w:rPr>
          <w:rFonts w:ascii="Arial" w:hAnsi="Arial" w:cs="Arial"/>
          <w:sz w:val="24"/>
          <w:szCs w:val="24"/>
        </w:rPr>
        <w:t>Act.</w:t>
      </w:r>
      <w:bookmarkEnd w:id="5"/>
    </w:p>
    <w:p w14:paraId="27861220" w14:textId="044A8739" w:rsidR="00985933" w:rsidRPr="00985933" w:rsidRDefault="0096041A" w:rsidP="00985933">
      <w:pPr>
        <w:tabs>
          <w:tab w:val="left" w:pos="432"/>
        </w:tabs>
        <w:spacing w:before="180"/>
        <w:outlineLvl w:val="0"/>
        <w:rPr>
          <w:rFonts w:ascii="Monotype Corsiva" w:hAnsi="Monotype Corsiva"/>
          <w:color w:val="000000"/>
          <w:kern w:val="28"/>
          <w:sz w:val="36"/>
          <w:szCs w:val="36"/>
        </w:rPr>
      </w:pPr>
      <w:r>
        <w:rPr>
          <w:rFonts w:ascii="Monotype Corsiva" w:hAnsi="Monotype Corsiva"/>
          <w:color w:val="000000"/>
          <w:kern w:val="28"/>
          <w:sz w:val="36"/>
          <w:szCs w:val="36"/>
        </w:rPr>
        <w:t>Ian Radcliffe</w:t>
      </w:r>
      <w:r w:rsidR="00985933" w:rsidRPr="00985933">
        <w:rPr>
          <w:rFonts w:ascii="Monotype Corsiva" w:hAnsi="Monotype Corsiva"/>
          <w:color w:val="000000"/>
          <w:kern w:val="28"/>
          <w:sz w:val="36"/>
          <w:szCs w:val="36"/>
        </w:rPr>
        <w:t xml:space="preserve"> </w:t>
      </w:r>
    </w:p>
    <w:p w14:paraId="5D721CE1" w14:textId="31469960" w:rsidR="00985933" w:rsidRPr="003709C7" w:rsidRDefault="00985933" w:rsidP="00985933">
      <w:pPr>
        <w:tabs>
          <w:tab w:val="left" w:pos="432"/>
        </w:tabs>
        <w:spacing w:before="180"/>
        <w:outlineLvl w:val="0"/>
        <w:rPr>
          <w:rFonts w:ascii="Arial" w:hAnsi="Arial" w:cs="Arial"/>
          <w:color w:val="000000"/>
          <w:kern w:val="28"/>
          <w:sz w:val="24"/>
          <w:szCs w:val="24"/>
        </w:rPr>
      </w:pPr>
      <w:r w:rsidRPr="003709C7">
        <w:rPr>
          <w:rFonts w:ascii="Arial" w:hAnsi="Arial" w:cs="Arial"/>
          <w:color w:val="000000"/>
          <w:kern w:val="28"/>
          <w:sz w:val="24"/>
          <w:szCs w:val="24"/>
        </w:rPr>
        <w:t>I</w:t>
      </w:r>
      <w:r w:rsidR="0003538E" w:rsidRPr="003709C7">
        <w:rPr>
          <w:rFonts w:ascii="Arial" w:hAnsi="Arial" w:cs="Arial"/>
          <w:color w:val="000000"/>
          <w:kern w:val="28"/>
          <w:sz w:val="24"/>
          <w:szCs w:val="24"/>
        </w:rPr>
        <w:t>nspector</w:t>
      </w:r>
    </w:p>
    <w:p w14:paraId="7DCAD9F9" w14:textId="77777777" w:rsidR="00985933" w:rsidRPr="00985933" w:rsidRDefault="00985933" w:rsidP="00985933">
      <w:pPr>
        <w:tabs>
          <w:tab w:val="left" w:pos="432"/>
        </w:tabs>
        <w:spacing w:before="180"/>
        <w:outlineLvl w:val="0"/>
        <w:rPr>
          <w:color w:val="000000"/>
          <w:kern w:val="28"/>
        </w:rPr>
      </w:pPr>
    </w:p>
    <w:p w14:paraId="42382C36" w14:textId="77777777" w:rsidR="00985933" w:rsidRPr="00985933" w:rsidRDefault="00985933" w:rsidP="00985933">
      <w:pPr>
        <w:tabs>
          <w:tab w:val="left" w:pos="432"/>
        </w:tabs>
        <w:spacing w:before="180"/>
        <w:outlineLvl w:val="0"/>
        <w:rPr>
          <w:color w:val="000000"/>
          <w:kern w:val="28"/>
        </w:rPr>
      </w:pPr>
    </w:p>
    <w:p w14:paraId="504A3256" w14:textId="761FA32F" w:rsidR="000B0589" w:rsidRDefault="000B0589" w:rsidP="00985933"/>
    <w:p w14:paraId="36C44905" w14:textId="233223E7" w:rsidR="002B11C7" w:rsidRDefault="002B11C7" w:rsidP="00985933"/>
    <w:p w14:paraId="55981BA6" w14:textId="47699B20" w:rsidR="002B11C7" w:rsidRDefault="002B11C7" w:rsidP="00985933"/>
    <w:p w14:paraId="39710313" w14:textId="3F8FD1AF" w:rsidR="002B11C7" w:rsidRDefault="002B11C7" w:rsidP="00985933"/>
    <w:p w14:paraId="0B6C01FE" w14:textId="49951177" w:rsidR="002B11C7" w:rsidRDefault="002B11C7" w:rsidP="00985933"/>
    <w:p w14:paraId="2ABF2CB1" w14:textId="77777777" w:rsidR="00FB03D0" w:rsidRDefault="00FB03D0" w:rsidP="00985933"/>
    <w:p w14:paraId="5313FDDA" w14:textId="77777777" w:rsidR="00FB03D0" w:rsidRDefault="00FB03D0" w:rsidP="00985933"/>
    <w:p w14:paraId="7C4612A3" w14:textId="77777777" w:rsidR="00FB03D0" w:rsidRDefault="00FB03D0" w:rsidP="00985933"/>
    <w:p w14:paraId="44313E99" w14:textId="77777777" w:rsidR="00FB03D0" w:rsidRDefault="00FB03D0" w:rsidP="00985933"/>
    <w:p w14:paraId="6E5DD6AC" w14:textId="77777777" w:rsidR="00FB03D0" w:rsidRDefault="00FB03D0" w:rsidP="00985933"/>
    <w:p w14:paraId="4E49F3EE" w14:textId="77777777" w:rsidR="00FB03D0" w:rsidRDefault="00FB03D0" w:rsidP="00985933"/>
    <w:p w14:paraId="0B0F4E6F" w14:textId="77777777" w:rsidR="00FB03D0" w:rsidRDefault="00FB03D0" w:rsidP="00985933"/>
    <w:p w14:paraId="4F0F8FCD" w14:textId="0A9E629B" w:rsidR="006C0120" w:rsidRDefault="006C0120" w:rsidP="00985933"/>
    <w:p w14:paraId="79398E13" w14:textId="300C70D4" w:rsidR="00CE08D7" w:rsidRDefault="00CE08D7" w:rsidP="00985933"/>
    <w:p w14:paraId="68514DA7" w14:textId="77777777" w:rsidR="00CE08D7" w:rsidRDefault="00CE08D7" w:rsidP="00985933"/>
    <w:p w14:paraId="45F402FB" w14:textId="77777777" w:rsidR="006C0120" w:rsidRDefault="006C0120" w:rsidP="00985933"/>
    <w:p w14:paraId="6607976A" w14:textId="77777777" w:rsidR="00470F8F" w:rsidRDefault="00470F8F" w:rsidP="00985933"/>
    <w:p w14:paraId="1C1332C5" w14:textId="77777777" w:rsidR="00470F8F" w:rsidRDefault="00470F8F" w:rsidP="00985933"/>
    <w:p w14:paraId="426193F8" w14:textId="77777777" w:rsidR="00470F8F" w:rsidRDefault="00470F8F" w:rsidP="00985933"/>
    <w:p w14:paraId="4032EA80" w14:textId="77777777" w:rsidR="00470F8F" w:rsidRDefault="00470F8F" w:rsidP="00985933"/>
    <w:p w14:paraId="4DF00306" w14:textId="77777777" w:rsidR="00470F8F" w:rsidRDefault="00470F8F" w:rsidP="00985933"/>
    <w:p w14:paraId="6CB3E4C0" w14:textId="77777777" w:rsidR="00E60520" w:rsidRDefault="00E60520" w:rsidP="00985933"/>
    <w:p w14:paraId="706D5FFA" w14:textId="77777777" w:rsidR="00E60520" w:rsidRDefault="00E60520" w:rsidP="00985933"/>
    <w:p w14:paraId="5B60DFEE" w14:textId="77777777" w:rsidR="00E60520" w:rsidRDefault="00E60520" w:rsidP="00985933"/>
    <w:p w14:paraId="54D9FCF2" w14:textId="77777777" w:rsidR="00E60520" w:rsidRDefault="00E60520" w:rsidP="00985933"/>
    <w:p w14:paraId="357AADE1" w14:textId="77777777" w:rsidR="00101C1F" w:rsidRDefault="00101C1F" w:rsidP="00985933"/>
    <w:p w14:paraId="02E42C61" w14:textId="77777777" w:rsidR="00101C1F" w:rsidRDefault="00101C1F" w:rsidP="00985933"/>
    <w:p w14:paraId="0A97ED2E" w14:textId="77777777" w:rsidR="00101C1F" w:rsidRDefault="00101C1F" w:rsidP="00985933"/>
    <w:p w14:paraId="2657A766" w14:textId="77777777" w:rsidR="00101C1F" w:rsidRDefault="00101C1F" w:rsidP="00985933"/>
    <w:p w14:paraId="069404D1" w14:textId="77777777" w:rsidR="00101C1F" w:rsidRDefault="00101C1F" w:rsidP="00985933"/>
    <w:p w14:paraId="6DB8D078" w14:textId="77777777" w:rsidR="00101C1F" w:rsidRDefault="00101C1F" w:rsidP="00985933"/>
    <w:p w14:paraId="55CFE910" w14:textId="77777777" w:rsidR="00101C1F" w:rsidRDefault="00101C1F" w:rsidP="00985933"/>
    <w:p w14:paraId="6B2CB6BD" w14:textId="77777777" w:rsidR="00101C1F" w:rsidRDefault="00101C1F" w:rsidP="00985933"/>
    <w:p w14:paraId="0E1D7CBA" w14:textId="77777777" w:rsidR="00101C1F" w:rsidRDefault="00101C1F" w:rsidP="00985933"/>
    <w:p w14:paraId="53AA074F" w14:textId="2D6B72BD" w:rsidR="00832534" w:rsidRDefault="000D7DCB" w:rsidP="00985933">
      <w:r>
        <w:lastRenderedPageBreak/>
        <w:t>APPENDIX</w:t>
      </w:r>
      <w:r w:rsidR="00832534">
        <w:t xml:space="preserve"> A</w:t>
      </w:r>
    </w:p>
    <w:p w14:paraId="0E6828DC" w14:textId="7BF11495" w:rsidR="00832534" w:rsidRPr="00985933" w:rsidRDefault="00832534" w:rsidP="00985933">
      <w:r w:rsidRPr="00832534">
        <w:rPr>
          <w:noProof/>
        </w:rPr>
        <w:drawing>
          <wp:inline distT="0" distB="0" distL="0" distR="0" wp14:anchorId="6AAF8034" wp14:editId="2E97BC97">
            <wp:extent cx="5908040" cy="8406130"/>
            <wp:effectExtent l="0" t="0" r="0" b="0"/>
            <wp:docPr id="5" name="Picture 5" descr="MAP OF CLAIMED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 OF CLAIMED ROUTE"/>
                    <pic:cNvPicPr/>
                  </pic:nvPicPr>
                  <pic:blipFill>
                    <a:blip r:embed="rId12"/>
                    <a:stretch>
                      <a:fillRect/>
                    </a:stretch>
                  </pic:blipFill>
                  <pic:spPr>
                    <a:xfrm>
                      <a:off x="0" y="0"/>
                      <a:ext cx="5908040" cy="8406130"/>
                    </a:xfrm>
                    <a:prstGeom prst="rect">
                      <a:avLst/>
                    </a:prstGeom>
                  </pic:spPr>
                </pic:pic>
              </a:graphicData>
            </a:graphic>
          </wp:inline>
        </w:drawing>
      </w:r>
    </w:p>
    <w:sectPr w:rsidR="00832534" w:rsidRPr="00985933" w:rsidSect="00704B39">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C26B" w14:textId="77777777" w:rsidR="004F2C94" w:rsidRDefault="004F2C94" w:rsidP="00F62916">
      <w:r>
        <w:separator/>
      </w:r>
    </w:p>
  </w:endnote>
  <w:endnote w:type="continuationSeparator" w:id="0">
    <w:p w14:paraId="4981F9D9" w14:textId="77777777" w:rsidR="004F2C94" w:rsidRDefault="004F2C94" w:rsidP="00F62916">
      <w:r>
        <w:continuationSeparator/>
      </w:r>
    </w:p>
  </w:endnote>
  <w:endnote w:type="continuationNotice" w:id="1">
    <w:p w14:paraId="28D64666" w14:textId="77777777" w:rsidR="004F2C94" w:rsidRDefault="004F2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A09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6764B4"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75BA"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17CC53CB" wp14:editId="3B1282EE">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9398" id="Line 17"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7B25DA0" w14:textId="77777777" w:rsidR="00366F95" w:rsidRPr="00E45340" w:rsidRDefault="00043812"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A4D9" w14:textId="77777777" w:rsidR="00366F95" w:rsidRDefault="00366F95">
    <w:pPr>
      <w:pStyle w:val="Footer"/>
      <w:ind w:right="-52"/>
    </w:pPr>
    <w:r>
      <w:rPr>
        <w:noProof/>
      </w:rPr>
      <mc:AlternateContent>
        <mc:Choice Requires="wps">
          <w:drawing>
            <wp:anchor distT="0" distB="0" distL="114300" distR="114300" simplePos="0" relativeHeight="251658240" behindDoc="0" locked="0" layoutInCell="1" allowOverlap="1" wp14:anchorId="56B762BF" wp14:editId="5035B250">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B90DD" id="Line 1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85DFA3E" w14:textId="77777777" w:rsidR="00366F95" w:rsidRPr="00451EE4" w:rsidRDefault="00043812">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E0E2" w14:textId="77777777" w:rsidR="004F2C94" w:rsidRDefault="004F2C94" w:rsidP="00F62916">
      <w:r>
        <w:separator/>
      </w:r>
    </w:p>
  </w:footnote>
  <w:footnote w:type="continuationSeparator" w:id="0">
    <w:p w14:paraId="15E9B93B" w14:textId="77777777" w:rsidR="004F2C94" w:rsidRDefault="004F2C94" w:rsidP="00F62916">
      <w:r>
        <w:continuationSeparator/>
      </w:r>
    </w:p>
  </w:footnote>
  <w:footnote w:type="continuationNotice" w:id="1">
    <w:p w14:paraId="6D8A9FD5" w14:textId="77777777" w:rsidR="004F2C94" w:rsidRDefault="004F2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7143" w14:textId="2F193C1D" w:rsidR="00366F95" w:rsidRDefault="0096041A" w:rsidP="00087477">
    <w:pPr>
      <w:pStyle w:val="Footer"/>
      <w:spacing w:after="180"/>
    </w:pPr>
    <w:r>
      <w:t xml:space="preserve">Appeal Decision </w:t>
    </w:r>
    <w:r w:rsidR="00E4478B">
      <w:t>FPS</w:t>
    </w:r>
    <w:r>
      <w:t>/</w:t>
    </w:r>
    <w:r w:rsidR="00854ADD">
      <w:t>D0840</w:t>
    </w:r>
    <w:r>
      <w:t>/</w:t>
    </w:r>
    <w:r w:rsidR="00E4478B">
      <w:t>14A</w:t>
    </w:r>
    <w:r>
      <w:t>/3</w:t>
    </w:r>
    <w:r w:rsidR="00043812">
      <w:pict w14:anchorId="2D5A8F33">
        <v:rect id="_x0000_i1025" style="width:0;height:.75pt" o:hralign="center" o:hrstd="t" o:hrnoshade="t" o:hr="t" fillcolor="black"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56E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3A8E1AA8"/>
    <w:multiLevelType w:val="hybridMultilevel"/>
    <w:tmpl w:val="FCB2F440"/>
    <w:lvl w:ilvl="0" w:tplc="C9228FFA">
      <w:start w:val="1"/>
      <w:numFmt w:val="lowerLetter"/>
      <w:lvlText w:val="(%1)"/>
      <w:lvlJc w:val="left"/>
      <w:pPr>
        <w:ind w:left="1151" w:hanging="720"/>
      </w:pPr>
      <w:rPr>
        <w:rFonts w:hint="default"/>
        <w:color w:val="auto"/>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02811575">
    <w:abstractNumId w:val="18"/>
  </w:num>
  <w:num w:numId="2" w16cid:durableId="276986836">
    <w:abstractNumId w:val="18"/>
  </w:num>
  <w:num w:numId="3" w16cid:durableId="1233734898">
    <w:abstractNumId w:val="20"/>
  </w:num>
  <w:num w:numId="4" w16cid:durableId="1001618567">
    <w:abstractNumId w:val="0"/>
  </w:num>
  <w:num w:numId="5" w16cid:durableId="1072658418">
    <w:abstractNumId w:val="9"/>
  </w:num>
  <w:num w:numId="6" w16cid:durableId="220989420">
    <w:abstractNumId w:val="17"/>
  </w:num>
  <w:num w:numId="7" w16cid:durableId="13187696">
    <w:abstractNumId w:val="21"/>
  </w:num>
  <w:num w:numId="8" w16cid:durableId="1842887751">
    <w:abstractNumId w:val="16"/>
  </w:num>
  <w:num w:numId="9" w16cid:durableId="1088230534">
    <w:abstractNumId w:val="3"/>
  </w:num>
  <w:num w:numId="10" w16cid:durableId="904727356">
    <w:abstractNumId w:val="4"/>
  </w:num>
  <w:num w:numId="11" w16cid:durableId="64225798">
    <w:abstractNumId w:val="12"/>
  </w:num>
  <w:num w:numId="12" w16cid:durableId="701592151">
    <w:abstractNumId w:val="13"/>
  </w:num>
  <w:num w:numId="13" w16cid:durableId="1601914192">
    <w:abstractNumId w:val="7"/>
  </w:num>
  <w:num w:numId="14" w16cid:durableId="1706909103">
    <w:abstractNumId w:val="11"/>
  </w:num>
  <w:num w:numId="15" w16cid:durableId="47344348">
    <w:abstractNumId w:val="14"/>
  </w:num>
  <w:num w:numId="16" w16cid:durableId="97410278">
    <w:abstractNumId w:val="1"/>
  </w:num>
  <w:num w:numId="17" w16cid:durableId="540440723">
    <w:abstractNumId w:val="15"/>
  </w:num>
  <w:num w:numId="18" w16cid:durableId="1063020656">
    <w:abstractNumId w:val="5"/>
  </w:num>
  <w:num w:numId="19" w16cid:durableId="1304039836">
    <w:abstractNumId w:val="2"/>
  </w:num>
  <w:num w:numId="20" w16cid:durableId="1975789060">
    <w:abstractNumId w:val="6"/>
  </w:num>
  <w:num w:numId="21" w16cid:durableId="1359312283">
    <w:abstractNumId w:val="10"/>
  </w:num>
  <w:num w:numId="22" w16cid:durableId="725838043">
    <w:abstractNumId w:val="10"/>
  </w:num>
  <w:num w:numId="23" w16cid:durableId="1534924069">
    <w:abstractNumId w:val="19"/>
  </w:num>
  <w:num w:numId="24" w16cid:durableId="1934052906">
    <w:abstractNumId w:val="10"/>
    <w:lvlOverride w:ilvl="0">
      <w:lvl w:ilvl="0">
        <w:start w:val="1"/>
        <w:numFmt w:val="decimal"/>
        <w:pStyle w:val="Style1"/>
        <w:lvlText w:val="%1."/>
        <w:lvlJc w:val="left"/>
        <w:pPr>
          <w:tabs>
            <w:tab w:val="num" w:pos="720"/>
          </w:tabs>
          <w:ind w:left="431" w:hanging="431"/>
        </w:pPr>
        <w:rPr>
          <w:rFonts w:hint="default"/>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5" w16cid:durableId="1935821120">
    <w:abstractNumId w:val="8"/>
  </w:num>
  <w:num w:numId="26" w16cid:durableId="515076104">
    <w:abstractNumId w:val="10"/>
    <w:lvlOverride w:ilvl="0">
      <w:lvl w:ilvl="0">
        <w:start w:val="1"/>
        <w:numFmt w:val="decimal"/>
        <w:pStyle w:val="Style1"/>
        <w:lvlText w:val="%1."/>
        <w:lvlJc w:val="left"/>
        <w:pPr>
          <w:tabs>
            <w:tab w:val="num" w:pos="720"/>
          </w:tabs>
          <w:ind w:left="431" w:hanging="431"/>
        </w:pPr>
        <w:rPr>
          <w:rFonts w:hint="default"/>
          <w:b w:val="0"/>
          <w:bCs w:val="0"/>
          <w:strike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878B3"/>
    <w:rsid w:val="00000AF9"/>
    <w:rsid w:val="00002F22"/>
    <w:rsid w:val="0000335F"/>
    <w:rsid w:val="0000512A"/>
    <w:rsid w:val="00005714"/>
    <w:rsid w:val="000075DB"/>
    <w:rsid w:val="00011A07"/>
    <w:rsid w:val="0001599C"/>
    <w:rsid w:val="00017115"/>
    <w:rsid w:val="00022EC9"/>
    <w:rsid w:val="00024500"/>
    <w:rsid w:val="000247B2"/>
    <w:rsid w:val="00027E69"/>
    <w:rsid w:val="0003538E"/>
    <w:rsid w:val="000414B3"/>
    <w:rsid w:val="00042B44"/>
    <w:rsid w:val="00043812"/>
    <w:rsid w:val="00046145"/>
    <w:rsid w:val="0004625F"/>
    <w:rsid w:val="00050360"/>
    <w:rsid w:val="00053135"/>
    <w:rsid w:val="00053852"/>
    <w:rsid w:val="0005497C"/>
    <w:rsid w:val="00054E2A"/>
    <w:rsid w:val="00056FC6"/>
    <w:rsid w:val="00057464"/>
    <w:rsid w:val="0006215D"/>
    <w:rsid w:val="00063990"/>
    <w:rsid w:val="00063A78"/>
    <w:rsid w:val="00064A6B"/>
    <w:rsid w:val="00071413"/>
    <w:rsid w:val="00073B3E"/>
    <w:rsid w:val="000771D8"/>
    <w:rsid w:val="00077358"/>
    <w:rsid w:val="0008474A"/>
    <w:rsid w:val="00084A3D"/>
    <w:rsid w:val="00087477"/>
    <w:rsid w:val="00087DEC"/>
    <w:rsid w:val="000911A0"/>
    <w:rsid w:val="0009379D"/>
    <w:rsid w:val="00094A44"/>
    <w:rsid w:val="00097602"/>
    <w:rsid w:val="000A0A15"/>
    <w:rsid w:val="000A4AEB"/>
    <w:rsid w:val="000A58A2"/>
    <w:rsid w:val="000A64AE"/>
    <w:rsid w:val="000A7535"/>
    <w:rsid w:val="000B02BC"/>
    <w:rsid w:val="000B0589"/>
    <w:rsid w:val="000B24B6"/>
    <w:rsid w:val="000B6724"/>
    <w:rsid w:val="000B6864"/>
    <w:rsid w:val="000C1E4D"/>
    <w:rsid w:val="000C3F13"/>
    <w:rsid w:val="000C47B7"/>
    <w:rsid w:val="000C5098"/>
    <w:rsid w:val="000C5770"/>
    <w:rsid w:val="000C698E"/>
    <w:rsid w:val="000C7C17"/>
    <w:rsid w:val="000D0673"/>
    <w:rsid w:val="000D10B4"/>
    <w:rsid w:val="000D1AFF"/>
    <w:rsid w:val="000D2A0F"/>
    <w:rsid w:val="000D79B9"/>
    <w:rsid w:val="000D7DCB"/>
    <w:rsid w:val="000E15F7"/>
    <w:rsid w:val="000E302E"/>
    <w:rsid w:val="000E343C"/>
    <w:rsid w:val="000E4C3F"/>
    <w:rsid w:val="000E57C1"/>
    <w:rsid w:val="000E5DE1"/>
    <w:rsid w:val="000F16F4"/>
    <w:rsid w:val="000F4135"/>
    <w:rsid w:val="000F4ECF"/>
    <w:rsid w:val="000F5BA2"/>
    <w:rsid w:val="000F6EC2"/>
    <w:rsid w:val="001000CB"/>
    <w:rsid w:val="0010023D"/>
    <w:rsid w:val="00100F50"/>
    <w:rsid w:val="00101C1F"/>
    <w:rsid w:val="00104BCC"/>
    <w:rsid w:val="00104D93"/>
    <w:rsid w:val="00111F86"/>
    <w:rsid w:val="0011367D"/>
    <w:rsid w:val="00121C11"/>
    <w:rsid w:val="00125DF1"/>
    <w:rsid w:val="001314FB"/>
    <w:rsid w:val="001330B5"/>
    <w:rsid w:val="001340CE"/>
    <w:rsid w:val="00136B5B"/>
    <w:rsid w:val="00142088"/>
    <w:rsid w:val="00142985"/>
    <w:rsid w:val="00143179"/>
    <w:rsid w:val="001440C3"/>
    <w:rsid w:val="00145C4A"/>
    <w:rsid w:val="0014664E"/>
    <w:rsid w:val="0014753E"/>
    <w:rsid w:val="00152C92"/>
    <w:rsid w:val="001534C5"/>
    <w:rsid w:val="00153E95"/>
    <w:rsid w:val="001554ED"/>
    <w:rsid w:val="00160956"/>
    <w:rsid w:val="00160A0E"/>
    <w:rsid w:val="00161B5C"/>
    <w:rsid w:val="001626E3"/>
    <w:rsid w:val="00164BC9"/>
    <w:rsid w:val="00165518"/>
    <w:rsid w:val="00170C27"/>
    <w:rsid w:val="0017473E"/>
    <w:rsid w:val="0017499B"/>
    <w:rsid w:val="001807FA"/>
    <w:rsid w:val="00182358"/>
    <w:rsid w:val="00184EDC"/>
    <w:rsid w:val="001861BA"/>
    <w:rsid w:val="00186AFA"/>
    <w:rsid w:val="0019404F"/>
    <w:rsid w:val="001963E6"/>
    <w:rsid w:val="00197B5B"/>
    <w:rsid w:val="001A0341"/>
    <w:rsid w:val="001A320E"/>
    <w:rsid w:val="001A3C9A"/>
    <w:rsid w:val="001A4051"/>
    <w:rsid w:val="001A7A22"/>
    <w:rsid w:val="001A7BA1"/>
    <w:rsid w:val="001B0BC1"/>
    <w:rsid w:val="001B33AF"/>
    <w:rsid w:val="001B37BF"/>
    <w:rsid w:val="001B4315"/>
    <w:rsid w:val="001B5D6D"/>
    <w:rsid w:val="001B7DCF"/>
    <w:rsid w:val="001C0031"/>
    <w:rsid w:val="001C5390"/>
    <w:rsid w:val="001D1EE0"/>
    <w:rsid w:val="001D2433"/>
    <w:rsid w:val="001E0156"/>
    <w:rsid w:val="001E1691"/>
    <w:rsid w:val="001E20C6"/>
    <w:rsid w:val="001E2CE7"/>
    <w:rsid w:val="001E4236"/>
    <w:rsid w:val="001E5095"/>
    <w:rsid w:val="001E5F66"/>
    <w:rsid w:val="001E732B"/>
    <w:rsid w:val="001F39F4"/>
    <w:rsid w:val="001F3B0B"/>
    <w:rsid w:val="001F5990"/>
    <w:rsid w:val="001F77BC"/>
    <w:rsid w:val="002018B7"/>
    <w:rsid w:val="00201F0B"/>
    <w:rsid w:val="00206B5D"/>
    <w:rsid w:val="00206FE0"/>
    <w:rsid w:val="00207816"/>
    <w:rsid w:val="002128D2"/>
    <w:rsid w:val="00212B5C"/>
    <w:rsid w:val="00212C8F"/>
    <w:rsid w:val="00214CD4"/>
    <w:rsid w:val="00215275"/>
    <w:rsid w:val="00216AA6"/>
    <w:rsid w:val="002173A5"/>
    <w:rsid w:val="0022120B"/>
    <w:rsid w:val="00221A74"/>
    <w:rsid w:val="0022774A"/>
    <w:rsid w:val="00241B40"/>
    <w:rsid w:val="00242A5E"/>
    <w:rsid w:val="00253591"/>
    <w:rsid w:val="0025371A"/>
    <w:rsid w:val="00254D3E"/>
    <w:rsid w:val="00255D24"/>
    <w:rsid w:val="00265B26"/>
    <w:rsid w:val="002707B7"/>
    <w:rsid w:val="0027549B"/>
    <w:rsid w:val="002819AB"/>
    <w:rsid w:val="0028201A"/>
    <w:rsid w:val="00283574"/>
    <w:rsid w:val="0028474B"/>
    <w:rsid w:val="002909D8"/>
    <w:rsid w:val="002919BE"/>
    <w:rsid w:val="00292CA1"/>
    <w:rsid w:val="00293683"/>
    <w:rsid w:val="00293877"/>
    <w:rsid w:val="00293D5A"/>
    <w:rsid w:val="002951EB"/>
    <w:rsid w:val="002958D9"/>
    <w:rsid w:val="002A4035"/>
    <w:rsid w:val="002A4F6A"/>
    <w:rsid w:val="002A60B2"/>
    <w:rsid w:val="002B0AD1"/>
    <w:rsid w:val="002B0E51"/>
    <w:rsid w:val="002B11C7"/>
    <w:rsid w:val="002B15AA"/>
    <w:rsid w:val="002B1FCC"/>
    <w:rsid w:val="002B20E7"/>
    <w:rsid w:val="002B5A3A"/>
    <w:rsid w:val="002C068A"/>
    <w:rsid w:val="002C1455"/>
    <w:rsid w:val="002C2524"/>
    <w:rsid w:val="002C2AC7"/>
    <w:rsid w:val="002D0DD1"/>
    <w:rsid w:val="002D3EC7"/>
    <w:rsid w:val="002D5A7C"/>
    <w:rsid w:val="002D61F5"/>
    <w:rsid w:val="002D6669"/>
    <w:rsid w:val="002D6DA2"/>
    <w:rsid w:val="002E18C5"/>
    <w:rsid w:val="002E1A83"/>
    <w:rsid w:val="002E3704"/>
    <w:rsid w:val="002E4939"/>
    <w:rsid w:val="002E5FDA"/>
    <w:rsid w:val="0030002F"/>
    <w:rsid w:val="00303C03"/>
    <w:rsid w:val="00303CA5"/>
    <w:rsid w:val="003043FE"/>
    <w:rsid w:val="0030500E"/>
    <w:rsid w:val="0030689B"/>
    <w:rsid w:val="00316748"/>
    <w:rsid w:val="0031712E"/>
    <w:rsid w:val="003206FD"/>
    <w:rsid w:val="0033083A"/>
    <w:rsid w:val="00331E78"/>
    <w:rsid w:val="00332409"/>
    <w:rsid w:val="00335D22"/>
    <w:rsid w:val="00341306"/>
    <w:rsid w:val="0034219D"/>
    <w:rsid w:val="00343A1F"/>
    <w:rsid w:val="00344294"/>
    <w:rsid w:val="00344CD1"/>
    <w:rsid w:val="0034594E"/>
    <w:rsid w:val="00346A94"/>
    <w:rsid w:val="00347063"/>
    <w:rsid w:val="003471F9"/>
    <w:rsid w:val="00355FCC"/>
    <w:rsid w:val="00356F41"/>
    <w:rsid w:val="0035709A"/>
    <w:rsid w:val="00360664"/>
    <w:rsid w:val="00360703"/>
    <w:rsid w:val="00361890"/>
    <w:rsid w:val="0036310E"/>
    <w:rsid w:val="00364E17"/>
    <w:rsid w:val="00366F95"/>
    <w:rsid w:val="00367092"/>
    <w:rsid w:val="003675AE"/>
    <w:rsid w:val="003709C7"/>
    <w:rsid w:val="003753FE"/>
    <w:rsid w:val="003811E1"/>
    <w:rsid w:val="003835AC"/>
    <w:rsid w:val="00387BBB"/>
    <w:rsid w:val="00390350"/>
    <w:rsid w:val="00391825"/>
    <w:rsid w:val="003941CF"/>
    <w:rsid w:val="00394AF6"/>
    <w:rsid w:val="00396536"/>
    <w:rsid w:val="003A07C5"/>
    <w:rsid w:val="003A3587"/>
    <w:rsid w:val="003A3BE6"/>
    <w:rsid w:val="003A5A1D"/>
    <w:rsid w:val="003B2FE6"/>
    <w:rsid w:val="003B4CAA"/>
    <w:rsid w:val="003B5D04"/>
    <w:rsid w:val="003C09F0"/>
    <w:rsid w:val="003C1198"/>
    <w:rsid w:val="003D1D4A"/>
    <w:rsid w:val="003D3715"/>
    <w:rsid w:val="003D56D4"/>
    <w:rsid w:val="003D5A52"/>
    <w:rsid w:val="003D61A9"/>
    <w:rsid w:val="003D662E"/>
    <w:rsid w:val="003E54CC"/>
    <w:rsid w:val="003E6D33"/>
    <w:rsid w:val="003E7E41"/>
    <w:rsid w:val="003F3533"/>
    <w:rsid w:val="003F79F0"/>
    <w:rsid w:val="003F7DFB"/>
    <w:rsid w:val="00401830"/>
    <w:rsid w:val="0040262B"/>
    <w:rsid w:val="004029F3"/>
    <w:rsid w:val="004065FD"/>
    <w:rsid w:val="004107FA"/>
    <w:rsid w:val="00410CD3"/>
    <w:rsid w:val="0041256B"/>
    <w:rsid w:val="004156F0"/>
    <w:rsid w:val="00415A66"/>
    <w:rsid w:val="00417E43"/>
    <w:rsid w:val="00417F02"/>
    <w:rsid w:val="0042223B"/>
    <w:rsid w:val="004233B7"/>
    <w:rsid w:val="00424964"/>
    <w:rsid w:val="00425B54"/>
    <w:rsid w:val="004306F0"/>
    <w:rsid w:val="00431339"/>
    <w:rsid w:val="00434739"/>
    <w:rsid w:val="00436854"/>
    <w:rsid w:val="004370BE"/>
    <w:rsid w:val="004402CF"/>
    <w:rsid w:val="0044034E"/>
    <w:rsid w:val="00443352"/>
    <w:rsid w:val="004474DE"/>
    <w:rsid w:val="004517C1"/>
    <w:rsid w:val="00451EE4"/>
    <w:rsid w:val="004522C1"/>
    <w:rsid w:val="00453E15"/>
    <w:rsid w:val="00456D28"/>
    <w:rsid w:val="0046491C"/>
    <w:rsid w:val="00470153"/>
    <w:rsid w:val="00470F8F"/>
    <w:rsid w:val="00471FB3"/>
    <w:rsid w:val="0047718B"/>
    <w:rsid w:val="0048041A"/>
    <w:rsid w:val="00481A6F"/>
    <w:rsid w:val="00483D15"/>
    <w:rsid w:val="00487018"/>
    <w:rsid w:val="00487893"/>
    <w:rsid w:val="0049282E"/>
    <w:rsid w:val="0049308B"/>
    <w:rsid w:val="004976CF"/>
    <w:rsid w:val="0049774A"/>
    <w:rsid w:val="004A2EB8"/>
    <w:rsid w:val="004A433C"/>
    <w:rsid w:val="004B014A"/>
    <w:rsid w:val="004B2C5C"/>
    <w:rsid w:val="004B77EC"/>
    <w:rsid w:val="004C022F"/>
    <w:rsid w:val="004C07CB"/>
    <w:rsid w:val="004C08A6"/>
    <w:rsid w:val="004C1555"/>
    <w:rsid w:val="004C5267"/>
    <w:rsid w:val="004D314A"/>
    <w:rsid w:val="004D7B6F"/>
    <w:rsid w:val="004E04E0"/>
    <w:rsid w:val="004E17CB"/>
    <w:rsid w:val="004E6091"/>
    <w:rsid w:val="004E6ACC"/>
    <w:rsid w:val="004F0F05"/>
    <w:rsid w:val="004F13A9"/>
    <w:rsid w:val="004F274A"/>
    <w:rsid w:val="004F2C94"/>
    <w:rsid w:val="004F373B"/>
    <w:rsid w:val="004F43D6"/>
    <w:rsid w:val="004F4C7E"/>
    <w:rsid w:val="005001AA"/>
    <w:rsid w:val="00501309"/>
    <w:rsid w:val="005017D3"/>
    <w:rsid w:val="00502395"/>
    <w:rsid w:val="005061F8"/>
    <w:rsid w:val="00506851"/>
    <w:rsid w:val="00507B2A"/>
    <w:rsid w:val="00510B37"/>
    <w:rsid w:val="00515938"/>
    <w:rsid w:val="00516A43"/>
    <w:rsid w:val="00517746"/>
    <w:rsid w:val="00520BA4"/>
    <w:rsid w:val="005222AD"/>
    <w:rsid w:val="0052311D"/>
    <w:rsid w:val="005232E8"/>
    <w:rsid w:val="0052347F"/>
    <w:rsid w:val="00523706"/>
    <w:rsid w:val="005260AA"/>
    <w:rsid w:val="0053241C"/>
    <w:rsid w:val="00533B06"/>
    <w:rsid w:val="00535389"/>
    <w:rsid w:val="00537231"/>
    <w:rsid w:val="00540DD8"/>
    <w:rsid w:val="00540EF6"/>
    <w:rsid w:val="00541734"/>
    <w:rsid w:val="00542B4C"/>
    <w:rsid w:val="00545767"/>
    <w:rsid w:val="0054635E"/>
    <w:rsid w:val="00546D0A"/>
    <w:rsid w:val="00550272"/>
    <w:rsid w:val="005505EF"/>
    <w:rsid w:val="00554C33"/>
    <w:rsid w:val="00556FC5"/>
    <w:rsid w:val="00560A04"/>
    <w:rsid w:val="00561E69"/>
    <w:rsid w:val="00563D46"/>
    <w:rsid w:val="0056634F"/>
    <w:rsid w:val="0057098A"/>
    <w:rsid w:val="005718AF"/>
    <w:rsid w:val="00571FD4"/>
    <w:rsid w:val="00572879"/>
    <w:rsid w:val="00573407"/>
    <w:rsid w:val="0057471E"/>
    <w:rsid w:val="0057782A"/>
    <w:rsid w:val="005814D3"/>
    <w:rsid w:val="00584810"/>
    <w:rsid w:val="0059052B"/>
    <w:rsid w:val="00591235"/>
    <w:rsid w:val="005918CA"/>
    <w:rsid w:val="00591FA8"/>
    <w:rsid w:val="00595EE8"/>
    <w:rsid w:val="005A0799"/>
    <w:rsid w:val="005A23C2"/>
    <w:rsid w:val="005A264D"/>
    <w:rsid w:val="005A315A"/>
    <w:rsid w:val="005A3A64"/>
    <w:rsid w:val="005B0812"/>
    <w:rsid w:val="005B0C25"/>
    <w:rsid w:val="005B2D8E"/>
    <w:rsid w:val="005B3BC9"/>
    <w:rsid w:val="005B4686"/>
    <w:rsid w:val="005C31B3"/>
    <w:rsid w:val="005C3C54"/>
    <w:rsid w:val="005C4574"/>
    <w:rsid w:val="005C4AFA"/>
    <w:rsid w:val="005D104F"/>
    <w:rsid w:val="005D1D01"/>
    <w:rsid w:val="005D739E"/>
    <w:rsid w:val="005E29A3"/>
    <w:rsid w:val="005E2D31"/>
    <w:rsid w:val="005E34E1"/>
    <w:rsid w:val="005E34FF"/>
    <w:rsid w:val="005E3542"/>
    <w:rsid w:val="005E3FB9"/>
    <w:rsid w:val="005E4F48"/>
    <w:rsid w:val="005E52F9"/>
    <w:rsid w:val="005F059F"/>
    <w:rsid w:val="005F0C9C"/>
    <w:rsid w:val="005F1261"/>
    <w:rsid w:val="005F3C22"/>
    <w:rsid w:val="005F7711"/>
    <w:rsid w:val="005F796E"/>
    <w:rsid w:val="00602315"/>
    <w:rsid w:val="006034FD"/>
    <w:rsid w:val="006052EF"/>
    <w:rsid w:val="00605EA6"/>
    <w:rsid w:val="006106BD"/>
    <w:rsid w:val="0061258A"/>
    <w:rsid w:val="006127F0"/>
    <w:rsid w:val="00613400"/>
    <w:rsid w:val="00614E46"/>
    <w:rsid w:val="00615462"/>
    <w:rsid w:val="00624EC6"/>
    <w:rsid w:val="006302FB"/>
    <w:rsid w:val="006312C0"/>
    <w:rsid w:val="006317E9"/>
    <w:rsid w:val="006319E6"/>
    <w:rsid w:val="0063248E"/>
    <w:rsid w:val="0063373D"/>
    <w:rsid w:val="00634577"/>
    <w:rsid w:val="006445D6"/>
    <w:rsid w:val="006447D7"/>
    <w:rsid w:val="00644991"/>
    <w:rsid w:val="0064649B"/>
    <w:rsid w:val="00651F11"/>
    <w:rsid w:val="0065704C"/>
    <w:rsid w:val="0065719B"/>
    <w:rsid w:val="006574D5"/>
    <w:rsid w:val="0066288A"/>
    <w:rsid w:val="0066322F"/>
    <w:rsid w:val="00663DDF"/>
    <w:rsid w:val="00671FCC"/>
    <w:rsid w:val="00672D26"/>
    <w:rsid w:val="006751BC"/>
    <w:rsid w:val="00675D8C"/>
    <w:rsid w:val="00676352"/>
    <w:rsid w:val="006765FF"/>
    <w:rsid w:val="00681108"/>
    <w:rsid w:val="00683417"/>
    <w:rsid w:val="006842AD"/>
    <w:rsid w:val="006854D3"/>
    <w:rsid w:val="00685A46"/>
    <w:rsid w:val="00686949"/>
    <w:rsid w:val="00686F73"/>
    <w:rsid w:val="006878B3"/>
    <w:rsid w:val="00690BE2"/>
    <w:rsid w:val="0069260E"/>
    <w:rsid w:val="0069559D"/>
    <w:rsid w:val="00696368"/>
    <w:rsid w:val="0069656D"/>
    <w:rsid w:val="006A0397"/>
    <w:rsid w:val="006A1586"/>
    <w:rsid w:val="006A203E"/>
    <w:rsid w:val="006A2743"/>
    <w:rsid w:val="006A294D"/>
    <w:rsid w:val="006A2B83"/>
    <w:rsid w:val="006A5BB3"/>
    <w:rsid w:val="006A75D7"/>
    <w:rsid w:val="006A76C8"/>
    <w:rsid w:val="006A7B8B"/>
    <w:rsid w:val="006B3D4D"/>
    <w:rsid w:val="006B489C"/>
    <w:rsid w:val="006C0120"/>
    <w:rsid w:val="006C0FD4"/>
    <w:rsid w:val="006C20FF"/>
    <w:rsid w:val="006C34AE"/>
    <w:rsid w:val="006C439A"/>
    <w:rsid w:val="006C4C25"/>
    <w:rsid w:val="006C6D1A"/>
    <w:rsid w:val="006C74B9"/>
    <w:rsid w:val="006D2842"/>
    <w:rsid w:val="006D2EA9"/>
    <w:rsid w:val="006D432C"/>
    <w:rsid w:val="006D5133"/>
    <w:rsid w:val="006D59FA"/>
    <w:rsid w:val="006D5EFC"/>
    <w:rsid w:val="006F16D9"/>
    <w:rsid w:val="006F452A"/>
    <w:rsid w:val="006F5159"/>
    <w:rsid w:val="006F6496"/>
    <w:rsid w:val="006F7462"/>
    <w:rsid w:val="006F770C"/>
    <w:rsid w:val="007031CC"/>
    <w:rsid w:val="00703AB8"/>
    <w:rsid w:val="00703B21"/>
    <w:rsid w:val="00704126"/>
    <w:rsid w:val="00704B39"/>
    <w:rsid w:val="00704FD4"/>
    <w:rsid w:val="00705CF9"/>
    <w:rsid w:val="00707C53"/>
    <w:rsid w:val="0071044E"/>
    <w:rsid w:val="0071604A"/>
    <w:rsid w:val="007165FF"/>
    <w:rsid w:val="0072166B"/>
    <w:rsid w:val="00725E67"/>
    <w:rsid w:val="00726B8C"/>
    <w:rsid w:val="00732F3D"/>
    <w:rsid w:val="00742F29"/>
    <w:rsid w:val="00750416"/>
    <w:rsid w:val="00751B88"/>
    <w:rsid w:val="00752969"/>
    <w:rsid w:val="00755C8A"/>
    <w:rsid w:val="007561AB"/>
    <w:rsid w:val="007565D6"/>
    <w:rsid w:val="00761DA8"/>
    <w:rsid w:val="007668C6"/>
    <w:rsid w:val="00767A18"/>
    <w:rsid w:val="00773194"/>
    <w:rsid w:val="0077475E"/>
    <w:rsid w:val="0077794A"/>
    <w:rsid w:val="007804AC"/>
    <w:rsid w:val="00780FFB"/>
    <w:rsid w:val="007818FB"/>
    <w:rsid w:val="00785862"/>
    <w:rsid w:val="007864B6"/>
    <w:rsid w:val="00795F3F"/>
    <w:rsid w:val="007964AD"/>
    <w:rsid w:val="007A0537"/>
    <w:rsid w:val="007A06BE"/>
    <w:rsid w:val="007A35C1"/>
    <w:rsid w:val="007A38A5"/>
    <w:rsid w:val="007A42AE"/>
    <w:rsid w:val="007A4D51"/>
    <w:rsid w:val="007A732A"/>
    <w:rsid w:val="007A7775"/>
    <w:rsid w:val="007B29BE"/>
    <w:rsid w:val="007B3688"/>
    <w:rsid w:val="007B3ED3"/>
    <w:rsid w:val="007B4C9B"/>
    <w:rsid w:val="007C09F0"/>
    <w:rsid w:val="007C1482"/>
    <w:rsid w:val="007C1DBC"/>
    <w:rsid w:val="007D3422"/>
    <w:rsid w:val="007D3494"/>
    <w:rsid w:val="007D65B4"/>
    <w:rsid w:val="007E3FD0"/>
    <w:rsid w:val="007E4BEA"/>
    <w:rsid w:val="007E5410"/>
    <w:rsid w:val="007F1352"/>
    <w:rsid w:val="007F26CB"/>
    <w:rsid w:val="007F3F10"/>
    <w:rsid w:val="007F52B1"/>
    <w:rsid w:val="007F5712"/>
    <w:rsid w:val="007F59EB"/>
    <w:rsid w:val="008014F1"/>
    <w:rsid w:val="008026B6"/>
    <w:rsid w:val="008039D8"/>
    <w:rsid w:val="00806092"/>
    <w:rsid w:val="00806F2A"/>
    <w:rsid w:val="00807BB9"/>
    <w:rsid w:val="00814172"/>
    <w:rsid w:val="00814E7B"/>
    <w:rsid w:val="00816DC8"/>
    <w:rsid w:val="00822099"/>
    <w:rsid w:val="00824282"/>
    <w:rsid w:val="0082715B"/>
    <w:rsid w:val="00827937"/>
    <w:rsid w:val="00830F30"/>
    <w:rsid w:val="00831CC2"/>
    <w:rsid w:val="00832534"/>
    <w:rsid w:val="00833328"/>
    <w:rsid w:val="00833E9F"/>
    <w:rsid w:val="00834368"/>
    <w:rsid w:val="0084082C"/>
    <w:rsid w:val="00840B09"/>
    <w:rsid w:val="008411A4"/>
    <w:rsid w:val="008413CA"/>
    <w:rsid w:val="00842461"/>
    <w:rsid w:val="008425CC"/>
    <w:rsid w:val="00842A0B"/>
    <w:rsid w:val="0084328E"/>
    <w:rsid w:val="00844569"/>
    <w:rsid w:val="00844EA3"/>
    <w:rsid w:val="008456FF"/>
    <w:rsid w:val="00845EE3"/>
    <w:rsid w:val="00846527"/>
    <w:rsid w:val="008546E5"/>
    <w:rsid w:val="00854ADD"/>
    <w:rsid w:val="00855010"/>
    <w:rsid w:val="00855AC0"/>
    <w:rsid w:val="00855D86"/>
    <w:rsid w:val="0086184C"/>
    <w:rsid w:val="0086332E"/>
    <w:rsid w:val="008659CE"/>
    <w:rsid w:val="00867A45"/>
    <w:rsid w:val="008717BC"/>
    <w:rsid w:val="0087264E"/>
    <w:rsid w:val="008737AD"/>
    <w:rsid w:val="0087415A"/>
    <w:rsid w:val="00880754"/>
    <w:rsid w:val="0088269B"/>
    <w:rsid w:val="00882730"/>
    <w:rsid w:val="00882B66"/>
    <w:rsid w:val="00887050"/>
    <w:rsid w:val="00887328"/>
    <w:rsid w:val="0089269D"/>
    <w:rsid w:val="0089682E"/>
    <w:rsid w:val="008A03E3"/>
    <w:rsid w:val="008A2B4A"/>
    <w:rsid w:val="008C6FA3"/>
    <w:rsid w:val="008D4728"/>
    <w:rsid w:val="008D73DA"/>
    <w:rsid w:val="008D760A"/>
    <w:rsid w:val="008E0367"/>
    <w:rsid w:val="008E359C"/>
    <w:rsid w:val="008E45F6"/>
    <w:rsid w:val="008E4A20"/>
    <w:rsid w:val="008E5851"/>
    <w:rsid w:val="008E5B46"/>
    <w:rsid w:val="008F6EFC"/>
    <w:rsid w:val="00901334"/>
    <w:rsid w:val="009024A9"/>
    <w:rsid w:val="00910634"/>
    <w:rsid w:val="0091205C"/>
    <w:rsid w:val="009121FF"/>
    <w:rsid w:val="009124CE"/>
    <w:rsid w:val="00912954"/>
    <w:rsid w:val="00914A5F"/>
    <w:rsid w:val="00917785"/>
    <w:rsid w:val="00921F34"/>
    <w:rsid w:val="009222F4"/>
    <w:rsid w:val="0092253B"/>
    <w:rsid w:val="0092304C"/>
    <w:rsid w:val="00923F06"/>
    <w:rsid w:val="009246E9"/>
    <w:rsid w:val="0092562E"/>
    <w:rsid w:val="00926505"/>
    <w:rsid w:val="00926BAA"/>
    <w:rsid w:val="00926BC5"/>
    <w:rsid w:val="00931B17"/>
    <w:rsid w:val="0093204D"/>
    <w:rsid w:val="00932455"/>
    <w:rsid w:val="00933643"/>
    <w:rsid w:val="009350C2"/>
    <w:rsid w:val="00936012"/>
    <w:rsid w:val="00936619"/>
    <w:rsid w:val="00936E91"/>
    <w:rsid w:val="00940C17"/>
    <w:rsid w:val="00941251"/>
    <w:rsid w:val="009416BF"/>
    <w:rsid w:val="0094193E"/>
    <w:rsid w:val="00947B54"/>
    <w:rsid w:val="00950795"/>
    <w:rsid w:val="00950F29"/>
    <w:rsid w:val="00954254"/>
    <w:rsid w:val="00954DDA"/>
    <w:rsid w:val="00955518"/>
    <w:rsid w:val="00955B1D"/>
    <w:rsid w:val="00956AB6"/>
    <w:rsid w:val="0096041A"/>
    <w:rsid w:val="00960B00"/>
    <w:rsid w:val="00960B10"/>
    <w:rsid w:val="00964ACB"/>
    <w:rsid w:val="0096545A"/>
    <w:rsid w:val="0097552F"/>
    <w:rsid w:val="009822B3"/>
    <w:rsid w:val="00982D49"/>
    <w:rsid w:val="009841DA"/>
    <w:rsid w:val="00985933"/>
    <w:rsid w:val="009861A2"/>
    <w:rsid w:val="00986627"/>
    <w:rsid w:val="0098741A"/>
    <w:rsid w:val="00990444"/>
    <w:rsid w:val="00990B55"/>
    <w:rsid w:val="00994A8E"/>
    <w:rsid w:val="00995B4C"/>
    <w:rsid w:val="009A08D3"/>
    <w:rsid w:val="009A18CD"/>
    <w:rsid w:val="009A1D58"/>
    <w:rsid w:val="009A653D"/>
    <w:rsid w:val="009A7298"/>
    <w:rsid w:val="009B3075"/>
    <w:rsid w:val="009B72ED"/>
    <w:rsid w:val="009B7BD4"/>
    <w:rsid w:val="009B7F3F"/>
    <w:rsid w:val="009C0BD1"/>
    <w:rsid w:val="009C13E2"/>
    <w:rsid w:val="009C1BA7"/>
    <w:rsid w:val="009C27F9"/>
    <w:rsid w:val="009C4B10"/>
    <w:rsid w:val="009D247F"/>
    <w:rsid w:val="009D67DB"/>
    <w:rsid w:val="009D7749"/>
    <w:rsid w:val="009D7B07"/>
    <w:rsid w:val="009E1447"/>
    <w:rsid w:val="009E179D"/>
    <w:rsid w:val="009E3C69"/>
    <w:rsid w:val="009E4076"/>
    <w:rsid w:val="009E57B3"/>
    <w:rsid w:val="009E5D45"/>
    <w:rsid w:val="009E611E"/>
    <w:rsid w:val="009E6FB7"/>
    <w:rsid w:val="009F395E"/>
    <w:rsid w:val="009F5323"/>
    <w:rsid w:val="009F66DB"/>
    <w:rsid w:val="00A0074D"/>
    <w:rsid w:val="00A00FCD"/>
    <w:rsid w:val="00A0192C"/>
    <w:rsid w:val="00A053B6"/>
    <w:rsid w:val="00A101CD"/>
    <w:rsid w:val="00A13369"/>
    <w:rsid w:val="00A15807"/>
    <w:rsid w:val="00A23FC7"/>
    <w:rsid w:val="00A26727"/>
    <w:rsid w:val="00A26A90"/>
    <w:rsid w:val="00A313A7"/>
    <w:rsid w:val="00A31ED4"/>
    <w:rsid w:val="00A3347A"/>
    <w:rsid w:val="00A34AC3"/>
    <w:rsid w:val="00A35F91"/>
    <w:rsid w:val="00A418A7"/>
    <w:rsid w:val="00A427E5"/>
    <w:rsid w:val="00A44578"/>
    <w:rsid w:val="00A55F14"/>
    <w:rsid w:val="00A572E4"/>
    <w:rsid w:val="00A5760C"/>
    <w:rsid w:val="00A60DB3"/>
    <w:rsid w:val="00A60DDC"/>
    <w:rsid w:val="00A63E14"/>
    <w:rsid w:val="00A67FB1"/>
    <w:rsid w:val="00A70783"/>
    <w:rsid w:val="00A71B13"/>
    <w:rsid w:val="00A748CA"/>
    <w:rsid w:val="00A7605A"/>
    <w:rsid w:val="00A81ABE"/>
    <w:rsid w:val="00A82BF2"/>
    <w:rsid w:val="00A8314C"/>
    <w:rsid w:val="00A84D77"/>
    <w:rsid w:val="00A8749D"/>
    <w:rsid w:val="00A875A2"/>
    <w:rsid w:val="00A909A9"/>
    <w:rsid w:val="00A913DE"/>
    <w:rsid w:val="00A94C53"/>
    <w:rsid w:val="00A974DB"/>
    <w:rsid w:val="00AA1D0A"/>
    <w:rsid w:val="00AA53DA"/>
    <w:rsid w:val="00AA7A09"/>
    <w:rsid w:val="00AA7B0A"/>
    <w:rsid w:val="00AB09D0"/>
    <w:rsid w:val="00AB3822"/>
    <w:rsid w:val="00AB3CE3"/>
    <w:rsid w:val="00AB4BA3"/>
    <w:rsid w:val="00AB59A8"/>
    <w:rsid w:val="00AB6BFB"/>
    <w:rsid w:val="00AC2EAE"/>
    <w:rsid w:val="00AD0B80"/>
    <w:rsid w:val="00AD0C29"/>
    <w:rsid w:val="00AD0E39"/>
    <w:rsid w:val="00AD2607"/>
    <w:rsid w:val="00AD2F56"/>
    <w:rsid w:val="00AD33D1"/>
    <w:rsid w:val="00AD38C7"/>
    <w:rsid w:val="00AD4538"/>
    <w:rsid w:val="00AD6C24"/>
    <w:rsid w:val="00AD7181"/>
    <w:rsid w:val="00AE2CB3"/>
    <w:rsid w:val="00AE2FAA"/>
    <w:rsid w:val="00AE4604"/>
    <w:rsid w:val="00AF1A42"/>
    <w:rsid w:val="00AF229B"/>
    <w:rsid w:val="00AF65A8"/>
    <w:rsid w:val="00B0438F"/>
    <w:rsid w:val="00B049F2"/>
    <w:rsid w:val="00B1021C"/>
    <w:rsid w:val="00B11BCB"/>
    <w:rsid w:val="00B13404"/>
    <w:rsid w:val="00B14EFA"/>
    <w:rsid w:val="00B1594D"/>
    <w:rsid w:val="00B16008"/>
    <w:rsid w:val="00B16AC3"/>
    <w:rsid w:val="00B170EE"/>
    <w:rsid w:val="00B20F4F"/>
    <w:rsid w:val="00B23D03"/>
    <w:rsid w:val="00B319E1"/>
    <w:rsid w:val="00B32324"/>
    <w:rsid w:val="00B345C9"/>
    <w:rsid w:val="00B37005"/>
    <w:rsid w:val="00B41398"/>
    <w:rsid w:val="00B41627"/>
    <w:rsid w:val="00B419D8"/>
    <w:rsid w:val="00B44C83"/>
    <w:rsid w:val="00B44EA9"/>
    <w:rsid w:val="00B46403"/>
    <w:rsid w:val="00B4786A"/>
    <w:rsid w:val="00B507FB"/>
    <w:rsid w:val="00B50C7A"/>
    <w:rsid w:val="00B51D9F"/>
    <w:rsid w:val="00B52158"/>
    <w:rsid w:val="00B53EC3"/>
    <w:rsid w:val="00B56990"/>
    <w:rsid w:val="00B56BC6"/>
    <w:rsid w:val="00B57563"/>
    <w:rsid w:val="00B607CE"/>
    <w:rsid w:val="00B61A59"/>
    <w:rsid w:val="00B7142C"/>
    <w:rsid w:val="00B71BBC"/>
    <w:rsid w:val="00B727A1"/>
    <w:rsid w:val="00B72D85"/>
    <w:rsid w:val="00B73AD6"/>
    <w:rsid w:val="00B74286"/>
    <w:rsid w:val="00B7530D"/>
    <w:rsid w:val="00B77CE9"/>
    <w:rsid w:val="00B8007A"/>
    <w:rsid w:val="00B80A7C"/>
    <w:rsid w:val="00B86DDB"/>
    <w:rsid w:val="00B875C9"/>
    <w:rsid w:val="00B93E71"/>
    <w:rsid w:val="00B97FAB"/>
    <w:rsid w:val="00BA0162"/>
    <w:rsid w:val="00BA1A9F"/>
    <w:rsid w:val="00BA3AE2"/>
    <w:rsid w:val="00BA4671"/>
    <w:rsid w:val="00BA4AC9"/>
    <w:rsid w:val="00BA6606"/>
    <w:rsid w:val="00BB0BF0"/>
    <w:rsid w:val="00BB1250"/>
    <w:rsid w:val="00BB1DDD"/>
    <w:rsid w:val="00BB41CC"/>
    <w:rsid w:val="00BB7764"/>
    <w:rsid w:val="00BC0524"/>
    <w:rsid w:val="00BC0A38"/>
    <w:rsid w:val="00BC11B3"/>
    <w:rsid w:val="00BC2702"/>
    <w:rsid w:val="00BC7C0C"/>
    <w:rsid w:val="00BD09CD"/>
    <w:rsid w:val="00BD0C8D"/>
    <w:rsid w:val="00BD30EC"/>
    <w:rsid w:val="00BE068F"/>
    <w:rsid w:val="00BE081A"/>
    <w:rsid w:val="00BE13ED"/>
    <w:rsid w:val="00BE54B9"/>
    <w:rsid w:val="00BE6377"/>
    <w:rsid w:val="00BE6CB2"/>
    <w:rsid w:val="00BF0526"/>
    <w:rsid w:val="00BF1E53"/>
    <w:rsid w:val="00BF34D7"/>
    <w:rsid w:val="00BF44F1"/>
    <w:rsid w:val="00BF5E36"/>
    <w:rsid w:val="00BF74B6"/>
    <w:rsid w:val="00C00E8A"/>
    <w:rsid w:val="00C0259F"/>
    <w:rsid w:val="00C03293"/>
    <w:rsid w:val="00C04204"/>
    <w:rsid w:val="00C046DC"/>
    <w:rsid w:val="00C05D1B"/>
    <w:rsid w:val="00C11BD0"/>
    <w:rsid w:val="00C13B86"/>
    <w:rsid w:val="00C1629D"/>
    <w:rsid w:val="00C220BD"/>
    <w:rsid w:val="00C274BD"/>
    <w:rsid w:val="00C31457"/>
    <w:rsid w:val="00C33DB8"/>
    <w:rsid w:val="00C34987"/>
    <w:rsid w:val="00C36309"/>
    <w:rsid w:val="00C36797"/>
    <w:rsid w:val="00C37945"/>
    <w:rsid w:val="00C40EA6"/>
    <w:rsid w:val="00C4178B"/>
    <w:rsid w:val="00C505F8"/>
    <w:rsid w:val="00C507C8"/>
    <w:rsid w:val="00C510A8"/>
    <w:rsid w:val="00C52E18"/>
    <w:rsid w:val="00C57B84"/>
    <w:rsid w:val="00C601D8"/>
    <w:rsid w:val="00C6359D"/>
    <w:rsid w:val="00C63980"/>
    <w:rsid w:val="00C6557B"/>
    <w:rsid w:val="00C66409"/>
    <w:rsid w:val="00C7080B"/>
    <w:rsid w:val="00C726E1"/>
    <w:rsid w:val="00C74873"/>
    <w:rsid w:val="00C778B4"/>
    <w:rsid w:val="00C8118E"/>
    <w:rsid w:val="00C8343C"/>
    <w:rsid w:val="00C857CB"/>
    <w:rsid w:val="00C8740F"/>
    <w:rsid w:val="00C915A8"/>
    <w:rsid w:val="00C976B0"/>
    <w:rsid w:val="00C97D7F"/>
    <w:rsid w:val="00CA013E"/>
    <w:rsid w:val="00CA14DE"/>
    <w:rsid w:val="00CA46AA"/>
    <w:rsid w:val="00CA51EE"/>
    <w:rsid w:val="00CA7DAE"/>
    <w:rsid w:val="00CB4B50"/>
    <w:rsid w:val="00CB637A"/>
    <w:rsid w:val="00CC46AB"/>
    <w:rsid w:val="00CC50AC"/>
    <w:rsid w:val="00CC55B5"/>
    <w:rsid w:val="00CC6BA7"/>
    <w:rsid w:val="00CD1108"/>
    <w:rsid w:val="00CE070F"/>
    <w:rsid w:val="00CE08D7"/>
    <w:rsid w:val="00CE0C14"/>
    <w:rsid w:val="00CE21C0"/>
    <w:rsid w:val="00CE24B6"/>
    <w:rsid w:val="00CE5652"/>
    <w:rsid w:val="00CF26BC"/>
    <w:rsid w:val="00CF2E22"/>
    <w:rsid w:val="00CF3889"/>
    <w:rsid w:val="00CF6E16"/>
    <w:rsid w:val="00D02B48"/>
    <w:rsid w:val="00D0384F"/>
    <w:rsid w:val="00D0614F"/>
    <w:rsid w:val="00D06319"/>
    <w:rsid w:val="00D06966"/>
    <w:rsid w:val="00D1120A"/>
    <w:rsid w:val="00D11CB6"/>
    <w:rsid w:val="00D125BE"/>
    <w:rsid w:val="00D140CC"/>
    <w:rsid w:val="00D1410D"/>
    <w:rsid w:val="00D14839"/>
    <w:rsid w:val="00D23FF2"/>
    <w:rsid w:val="00D27F22"/>
    <w:rsid w:val="00D3097C"/>
    <w:rsid w:val="00D32F47"/>
    <w:rsid w:val="00D347E8"/>
    <w:rsid w:val="00D354A3"/>
    <w:rsid w:val="00D3724D"/>
    <w:rsid w:val="00D40F3D"/>
    <w:rsid w:val="00D423EB"/>
    <w:rsid w:val="00D43DFC"/>
    <w:rsid w:val="00D52FE7"/>
    <w:rsid w:val="00D5337F"/>
    <w:rsid w:val="00D555DA"/>
    <w:rsid w:val="00D66F9F"/>
    <w:rsid w:val="00D74E82"/>
    <w:rsid w:val="00D75DF3"/>
    <w:rsid w:val="00D83D2C"/>
    <w:rsid w:val="00D83DF0"/>
    <w:rsid w:val="00D840C4"/>
    <w:rsid w:val="00D8422F"/>
    <w:rsid w:val="00D8685C"/>
    <w:rsid w:val="00D95854"/>
    <w:rsid w:val="00DA4878"/>
    <w:rsid w:val="00DA4FCB"/>
    <w:rsid w:val="00DB1128"/>
    <w:rsid w:val="00DB19DD"/>
    <w:rsid w:val="00DB4F26"/>
    <w:rsid w:val="00DB7937"/>
    <w:rsid w:val="00DC2886"/>
    <w:rsid w:val="00DD0F21"/>
    <w:rsid w:val="00DD2073"/>
    <w:rsid w:val="00DD2DA3"/>
    <w:rsid w:val="00DD4698"/>
    <w:rsid w:val="00DD5A7B"/>
    <w:rsid w:val="00DD601B"/>
    <w:rsid w:val="00DD7CFE"/>
    <w:rsid w:val="00DE1ABE"/>
    <w:rsid w:val="00DE265F"/>
    <w:rsid w:val="00DE649E"/>
    <w:rsid w:val="00DF3F8D"/>
    <w:rsid w:val="00E00169"/>
    <w:rsid w:val="00E02E19"/>
    <w:rsid w:val="00E04288"/>
    <w:rsid w:val="00E04BDD"/>
    <w:rsid w:val="00E0697B"/>
    <w:rsid w:val="00E11244"/>
    <w:rsid w:val="00E13574"/>
    <w:rsid w:val="00E15353"/>
    <w:rsid w:val="00E16A92"/>
    <w:rsid w:val="00E16CAE"/>
    <w:rsid w:val="00E228D5"/>
    <w:rsid w:val="00E24501"/>
    <w:rsid w:val="00E30C27"/>
    <w:rsid w:val="00E30FF8"/>
    <w:rsid w:val="00E32B79"/>
    <w:rsid w:val="00E32D65"/>
    <w:rsid w:val="00E342B5"/>
    <w:rsid w:val="00E36669"/>
    <w:rsid w:val="00E37F26"/>
    <w:rsid w:val="00E401B4"/>
    <w:rsid w:val="00E4478B"/>
    <w:rsid w:val="00E449EE"/>
    <w:rsid w:val="00E45340"/>
    <w:rsid w:val="00E45D72"/>
    <w:rsid w:val="00E460A5"/>
    <w:rsid w:val="00E47B25"/>
    <w:rsid w:val="00E509A1"/>
    <w:rsid w:val="00E515DB"/>
    <w:rsid w:val="00E54BBB"/>
    <w:rsid w:val="00E54F7C"/>
    <w:rsid w:val="00E55DC6"/>
    <w:rsid w:val="00E566B4"/>
    <w:rsid w:val="00E60520"/>
    <w:rsid w:val="00E61C71"/>
    <w:rsid w:val="00E6349F"/>
    <w:rsid w:val="00E66F1F"/>
    <w:rsid w:val="00E672B7"/>
    <w:rsid w:val="00E674DD"/>
    <w:rsid w:val="00E67B22"/>
    <w:rsid w:val="00E71F9E"/>
    <w:rsid w:val="00E74CF6"/>
    <w:rsid w:val="00E765F8"/>
    <w:rsid w:val="00E77717"/>
    <w:rsid w:val="00E81323"/>
    <w:rsid w:val="00E84BA3"/>
    <w:rsid w:val="00E85E3D"/>
    <w:rsid w:val="00E861C4"/>
    <w:rsid w:val="00E86C2E"/>
    <w:rsid w:val="00E923BC"/>
    <w:rsid w:val="00E94DFF"/>
    <w:rsid w:val="00E974ED"/>
    <w:rsid w:val="00EA1A7B"/>
    <w:rsid w:val="00EA406E"/>
    <w:rsid w:val="00EA43AC"/>
    <w:rsid w:val="00EA52D3"/>
    <w:rsid w:val="00EA73CE"/>
    <w:rsid w:val="00EB2329"/>
    <w:rsid w:val="00EB2358"/>
    <w:rsid w:val="00EB29EF"/>
    <w:rsid w:val="00EC3E1F"/>
    <w:rsid w:val="00ED043A"/>
    <w:rsid w:val="00ED2851"/>
    <w:rsid w:val="00ED29FE"/>
    <w:rsid w:val="00ED34F4"/>
    <w:rsid w:val="00ED3727"/>
    <w:rsid w:val="00ED3DDF"/>
    <w:rsid w:val="00ED3FF4"/>
    <w:rsid w:val="00ED50F4"/>
    <w:rsid w:val="00ED5971"/>
    <w:rsid w:val="00ED753E"/>
    <w:rsid w:val="00EE01EA"/>
    <w:rsid w:val="00EE1968"/>
    <w:rsid w:val="00EE1ABB"/>
    <w:rsid w:val="00EE1C1A"/>
    <w:rsid w:val="00EE2613"/>
    <w:rsid w:val="00EE26D0"/>
    <w:rsid w:val="00EE396D"/>
    <w:rsid w:val="00EE550A"/>
    <w:rsid w:val="00EE6138"/>
    <w:rsid w:val="00EF1E98"/>
    <w:rsid w:val="00EF312B"/>
    <w:rsid w:val="00EF3BBB"/>
    <w:rsid w:val="00EF5820"/>
    <w:rsid w:val="00EF6B93"/>
    <w:rsid w:val="00EF7644"/>
    <w:rsid w:val="00EF7C74"/>
    <w:rsid w:val="00F03567"/>
    <w:rsid w:val="00F0598B"/>
    <w:rsid w:val="00F07E5F"/>
    <w:rsid w:val="00F1025A"/>
    <w:rsid w:val="00F12B21"/>
    <w:rsid w:val="00F144EC"/>
    <w:rsid w:val="00F2297F"/>
    <w:rsid w:val="00F26F72"/>
    <w:rsid w:val="00F30F9D"/>
    <w:rsid w:val="00F31FEA"/>
    <w:rsid w:val="00F33C49"/>
    <w:rsid w:val="00F35330"/>
    <w:rsid w:val="00F35EDC"/>
    <w:rsid w:val="00F37958"/>
    <w:rsid w:val="00F37B18"/>
    <w:rsid w:val="00F37D53"/>
    <w:rsid w:val="00F40119"/>
    <w:rsid w:val="00F5001B"/>
    <w:rsid w:val="00F500B2"/>
    <w:rsid w:val="00F51207"/>
    <w:rsid w:val="00F53F7D"/>
    <w:rsid w:val="00F54563"/>
    <w:rsid w:val="00F54DD8"/>
    <w:rsid w:val="00F6087B"/>
    <w:rsid w:val="00F60968"/>
    <w:rsid w:val="00F62916"/>
    <w:rsid w:val="00F63871"/>
    <w:rsid w:val="00F63D9A"/>
    <w:rsid w:val="00F659A3"/>
    <w:rsid w:val="00F6696E"/>
    <w:rsid w:val="00F66B22"/>
    <w:rsid w:val="00F67D35"/>
    <w:rsid w:val="00F72963"/>
    <w:rsid w:val="00F738F5"/>
    <w:rsid w:val="00F7417F"/>
    <w:rsid w:val="00F87DBE"/>
    <w:rsid w:val="00F92518"/>
    <w:rsid w:val="00F93BB9"/>
    <w:rsid w:val="00F941BF"/>
    <w:rsid w:val="00F94F6D"/>
    <w:rsid w:val="00F9604A"/>
    <w:rsid w:val="00F9654E"/>
    <w:rsid w:val="00FA02D2"/>
    <w:rsid w:val="00FA041A"/>
    <w:rsid w:val="00FA0E0E"/>
    <w:rsid w:val="00FA12BD"/>
    <w:rsid w:val="00FA14FA"/>
    <w:rsid w:val="00FA65FC"/>
    <w:rsid w:val="00FA695B"/>
    <w:rsid w:val="00FB03D0"/>
    <w:rsid w:val="00FB1353"/>
    <w:rsid w:val="00FB55BC"/>
    <w:rsid w:val="00FB641B"/>
    <w:rsid w:val="00FB6EDE"/>
    <w:rsid w:val="00FB743C"/>
    <w:rsid w:val="00FC6E8D"/>
    <w:rsid w:val="00FD2119"/>
    <w:rsid w:val="00FD307B"/>
    <w:rsid w:val="00FD31AC"/>
    <w:rsid w:val="00FE102E"/>
    <w:rsid w:val="00FE3CFF"/>
    <w:rsid w:val="00FE68E4"/>
    <w:rsid w:val="00FE6EEC"/>
    <w:rsid w:val="00FF0E09"/>
    <w:rsid w:val="00FF34A3"/>
    <w:rsid w:val="00FF565C"/>
    <w:rsid w:val="00FF7763"/>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73502"/>
  <w15:docId w15:val="{C54962D8-F8DB-4335-87A7-0DEF5D1E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8B3"/>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uiPriority w:val="9"/>
    <w:qFormat/>
    <w:rsid w:val="00591235"/>
    <w:pPr>
      <w:keepNext/>
      <w:numPr>
        <w:ilvl w:val="1"/>
        <w:numId w:val="22"/>
      </w:numPr>
      <w:spacing w:before="360" w:after="60"/>
      <w:outlineLvl w:val="1"/>
    </w:pPr>
    <w:rPr>
      <w:color w:val="000000"/>
      <w:sz w:val="44"/>
    </w:rPr>
  </w:style>
  <w:style w:type="paragraph" w:styleId="Heading3">
    <w:name w:val="heading 3"/>
    <w:basedOn w:val="Normal"/>
    <w:next w:val="Normal"/>
    <w:uiPriority w:val="9"/>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uiPriority w:val="9"/>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uiPriority w:val="9"/>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uiPriority w:val="9"/>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uiPriority w:val="9"/>
    <w:qFormat/>
    <w:rsid w:val="00591235"/>
    <w:pPr>
      <w:numPr>
        <w:ilvl w:val="7"/>
        <w:numId w:val="22"/>
      </w:numPr>
      <w:spacing w:before="140" w:after="20"/>
      <w:outlineLvl w:val="7"/>
    </w:pPr>
    <w:rPr>
      <w:i/>
      <w:color w:val="000000"/>
      <w:sz w:val="18"/>
    </w:rPr>
  </w:style>
  <w:style w:type="paragraph" w:styleId="Heading9">
    <w:name w:val="heading 9"/>
    <w:basedOn w:val="Normal"/>
    <w:next w:val="Normal"/>
    <w:uiPriority w:val="9"/>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numbering" w:customStyle="1" w:styleId="StylesList1">
    <w:name w:val="StylesList1"/>
    <w:uiPriority w:val="99"/>
    <w:rsid w:val="0044034E"/>
  </w:style>
  <w:style w:type="numbering" w:customStyle="1" w:styleId="StylesList2">
    <w:name w:val="StylesList2"/>
    <w:uiPriority w:val="99"/>
    <w:rsid w:val="00B1021C"/>
  </w:style>
  <w:style w:type="numbering" w:customStyle="1" w:styleId="StylesList3">
    <w:name w:val="StylesList3"/>
    <w:uiPriority w:val="99"/>
    <w:rsid w:val="005F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3004">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19002852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58737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8F7E72F-824B-4C1E-A4D0-7E6A4755004C}">
  <we:reference id="5b395aeb-62d8-47a7-9c69-a73d67695264" version="1.0.1.0" store="\\PINS-2940683457\c$\Dev-Manifests" storeType="Filesystem"/>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0F8C176-E71A-4CCD-A060-CC02BC475612}">
  <we:reference id="5b395aeb-6d28-4a27-9c69-a73d67695275" version="1.0.0.0" store="EXCatalog" storeType="EXCatalog"/>
  <we:alternateReferences/>
  <we:properties/>
  <we:bindings/>
  <we:snapshot xmlns:r="http://schemas.openxmlformats.org/officeDocument/2006/relationships"/>
</we:webextension>
</file>

<file path=customUI/customUI.xml><?xml version="1.0" encoding="utf-8"?>
<customUI xmlns="http://schemas.microsoft.com/office/2009/07/customui" loadImage="OnLoadImage">
  <ribbon startFromScratch="false">
    <tabs>
      <tab id="TabPinsHelp" label="PINS Help" visible="true">
        <group id="GroupPinsHelp">
          <menu id="PINSHelp" visible="true" label="PINS Help Menu">
            <button id="Decisions" visible="true" label="Decisions" onAction="mod_ID.Decision"/>
            <menu id="mnuConditionsId" visible="true" label="Conditions">
              <button id="btnEnglishCases" visible="true" label="English Cases" tag="English" onAction="mod_ID.Conditions"/>
              <button id="btnWelshCases" visible="true" label="Welsh Cases" tag="Welsh" onAction="mod_ID.Conditions"/>
            </menu>
            <button id="Reasons" visible="true" label="Reasons" onAction="mod_ID.Conclusions"/>
            <button id="btnCILMainIssues" visible="true" label="CIL Main Issues" onAction="mod_ID.MainIssues"/>
            <button id="btnCostsIH" visible="true" label="Costs - submissions for/response by (I/H only)" onAction="mod_ID.Costs"/>
            <button id="btnCostsCirculars" visible="true" label="Costs - Circulars" onAction="mod_ID.CostsCirculars"/>
            <menu id="mnuAppearances" visible="true" label="Appearances">
              <button id="btnS77_78Inquiry" visible="true" label="s77/s78 Inquiry" onAction="mod_ID.AppearancesInquiry"/>
              <button id="btnS77_78_174Hearing" visible="true" label="s77/s78/s174 Hearing" onAction="mod_ID.AppearancesHearing"/>
              <button id="btnS174Inquiry" visible="true" label="s174 Inquiry" onAction="mod_ID.AppearancesInquiryEnf"/>
            </menu>
            <menu id="mnuLists" visible="true" label="Lists">
              <button id="btnDocuments" visible="true" label="Documents" onAction="mod_ID.Documents"/>
              <button id="btnPlans" visible="true" label="Plans" onAction="mod_ID.Plans"/>
              <button id="btnPhotos" visible="true" label="Photos" onAction="mod_ID.Photos"/>
            </menu>
            <button id="btnAddLine" visible="true" label="AddLine" onAction="mod_ID.AddLine"/>
            <menuSeparator id="menuSep1"/>
            <button id="btnGeneralPlan" visible="true" label="General Plan" onAction="modLDCCerts.GeneralPlan"/>
            <button id="btnLDCPlan" visible="true" label="LDC Plan" onAction="modLDCcerts.LDCPlan"/>
            <button id="btnLDCS191" visible="true" label="LDC S191" onAction="modLDCCerts.LDCS191"/>
            <button id="btnLDCS191_3" visible="true" label="LDC S191(3)" onAction="modLDCCerts.LDCS1913"/>
            <button id="btnLDCS192" visible="true" label="LDC S192" onAction="modLDCCerts.LDCS192"/>
            <menuSeparator id="menuSep2"/>
            <button id="btnCleanUp" visible="true" label="Clean Up" onAction="mod_ID.sbrCleanUp"/>
          </menu>
        </group>
        <group id="grpPINS1" label="PINS1">
          <box id="boxPINS1_1" boxStyle="horizontal">
            <checkBox idMso="ShowRuler"/>
            <toggleButton idMso="Bold"/>
            <toggleButton idMso="Italic"/>
            <toggleButton idMso="Underline"/>
            <toggleButton idMso="AlignLeft"/>
            <toggleButton idMso="AlignCenter"/>
            <toggleButton idMso="AlignRight"/>
          </box>
          <box id="boxPINS1_2" boxStyle="horizontal">
            <button id="btnStyleNoIndent" visible="true" imageMso="AlignJustify" screentip="No indent Style" onAction="modStyle.ApplyStyle"/>
            <button id="btnStyleN_Inset" visible="true" imageMso="IndentClassic" screentip="N_inset Style" onAction="modStyle.ApplyStyle"/>
            <button id="btnStyleN_Block" visible="true" imageMso="InsertBuildingBlocksCommonPartsGallery" screentip="N_block Style" onAction="modStyle.ApplyStyle"/>
            <button id="btnStyleHeading6" visible="true" imageMso="H" screentip="Sub Heading" onAction="modStyle.ApplyStyle"/>
            <button id="btnStyleLong1" visible="true" imageMso="_1" screentip="Long Report 1" onAction="modStyle.ApplyStyle"/>
            <button id="btnStyleLong2" visible="true" imageMso="_2" screentip="Long Report 2" onAction="modStyle.ApplyStyle"/>
            <button id="btnStyleLong3" visible="true" imageMso="_3" screentip="Long Report 3" onAction="modStyle.ApplyStyle"/>
            <button id="btnStyleLong4" visible="true" imageMso="_4" screentip="Long Report 4" onAction="modStyle.ApplyStyle"/>
            <button id="btnStyleParaLevel1" visible="true" imageMso="JustifyLowVertical" screentip="Para Level 1 (1.)" onAction="modStyle.ApplyStyle"/>
            <button id="btnStyleParaLevel2" visible="true" imageMso="JustifyMediumVertical" screentip="Para Level 2 (1.1)" onAction="modStyle.ApplyStyle"/>
            <button id="btnStyleParaLevel3" visible="true" imageMso="JustifyHighVertical" screentip="Para Level 3 (1.1.1)" onAction="modStyle.ApplyStyle"/>
            <button id="btnStyleParaLevel4" visible="true" imageMso="JustifyVerticalFlyoutAnchor" screentip="Para Level 4 (1.1.1.1)" onAction="modStyle.ApplyStyle"/>
            <button id="btnStyleN_Number" visible="true" imageMso="NumberingGallery" screentip="N_number Style" onAction="modStyle.ApplyStyle"/>
            <button id="btnStyleN_ListA" visible="true" imageMso="BulletListDefault" screentip="N_list (a) Style" onAction="modStyle.ApplyStyle"/>
            <button id="btnStyleN_ListI" visible="true" imageMso="ListNumFieldInsert" screentip="N_list (i) Style" onAction="modStyle.ApplyStyle"/>
          </box>
          <box id="boxPINS1_3" boxStyle="horizontal">
            <toggleButton idMso="Superscript"/>
            <toggleButton idMso="Subscript"/>
            <button idMso="FootnoteInsert" showLabel="false"/>
            <gallery idMso="ChangeCaseGallery"/>
          </box>
        </group>
        <group id="grpPINS2" label="PINS2">
          <box id="boxPINS2_1" boxStyle="horizontal">
            <button idMso="FileNewBlankDocument" showLabel="false"/>
            <button idMso="FileOpen" showLabel="false"/>
            <button idMso="FileSave" showLabel="false"/>
            <button idMso="FileSaveAs" showLabel="false"/>
            <button idMso="FilePrintQuick" showLabel="false"/>
            <splitButton idMso="FilePrintMenu" showLabel="false"/>
            <button id="btnPrintCurrentPage" visible="true" imageMso="PrintDialogAccess" screentip="Print Current Page" onAction="modStyle.PrintCurrentPage"/>
            <button id="btnHeadingInColour" visible="true" imageMso="BlogCategories" screentip="Headings In Colour" onAction="modStyle.HeadingInColour"/>
            <control idMso="FormatPainter" showLabel="false"/>
            <gallery idMso="FontColorPicker"/>
            <gallery idMso="TextHighlightColorPicker"/>
            <toggleButton idMso="ParagraphMarks" showLabel="false"/>
            <button idMso="FindDialog" showLabel="false"/>
            <button idMso="Thesaurus" showLabel="false"/>
            <button idMso="SpellingAndGrammar" showLabel="false"/>
          </box>
          <box id="boxPINS2_2" boxStyle="horizontal">
            <button idMso="Cut" showLabel="false"/>
            <button idMso="Copy" showLabel="false"/>
            <button idMso="Paste" showLabel="false"/>
            <gallery idMso="Undo"/>
            <gallery idMso="Redo"/>
            <toggleButton idMso="TableShowGridlines" showLabel="false"/>
            <gallery idMso="TableInsertGallery"/>
            <button idMso="TextBoxInsert" showLabel="false"/>
            <button idMso="FrameInsertHorizontal" screentip="Insert Frame" showLabel="false"/>
            <gallery idMso="TableColumnsGallery"/>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CC803-7696-4EB5-9FB2-6E77C1D9B81D}">
  <ds:schemaRefs>
    <ds:schemaRef ds:uri="http://schemas.microsoft.com/sharepoint/v3/contenttype/forms"/>
  </ds:schemaRefs>
</ds:datastoreItem>
</file>

<file path=customXml/itemProps2.xml><?xml version="1.0" encoding="utf-8"?>
<ds:datastoreItem xmlns:ds="http://schemas.openxmlformats.org/officeDocument/2006/customXml" ds:itemID="{C51E7C0F-2182-455C-BCB5-4663ACF942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43A09DE-7803-4EE4-8F48-AAE574127BC4}"/>
</file>

<file path=docProps/app.xml><?xml version="1.0" encoding="utf-8"?>
<Properties xmlns="http://schemas.openxmlformats.org/officeDocument/2006/extended-properties" xmlns:vt="http://schemas.openxmlformats.org/officeDocument/2006/docPropsVTypes">
  <Template>Normal</Template>
  <TotalTime>2</TotalTime>
  <Pages>6</Pages>
  <Words>2379</Words>
  <Characters>11013</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Sage, Ray</dc:creator>
  <cp:lastModifiedBy>Richards, Clive</cp:lastModifiedBy>
  <cp:revision>5</cp:revision>
  <cp:lastPrinted>2023-05-04T09:55:00Z</cp:lastPrinted>
  <dcterms:created xsi:type="dcterms:W3CDTF">2023-05-12T07:09:00Z</dcterms:created>
  <dcterms:modified xsi:type="dcterms:W3CDTF">2023-05-12T07:11:00Z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ds">
    <vt:lpwstr>Appeal Decision</vt:lpwstr>
  </property>
  <property fmtid="{D5CDD505-2E9C-101B-9397-08002B2CF9AE}" pid="3" name="drds_categories">
    <vt:lpwstr>decisions,conditions,conclusions,subjects,insertions,application_for_costs</vt:lpwstr>
  </property>
  <property fmtid="{D5CDD505-2E9C-101B-9397-08002B2CF9AE}" pid="4" name="ContentTypeId">
    <vt:lpwstr>0x0101002AA54CDEF871A647AC44520C841F1B03</vt:lpwstr>
  </property>
  <property fmtid="{D5CDD505-2E9C-101B-9397-08002B2CF9AE}" pid="5" name="drds_casereference">
    <vt:lpwstr>APP/N4720/W/22/3290573</vt:lpwstr>
  </property>
  <property fmtid="{D5CDD505-2E9C-101B-9397-08002B2CF9AE}" pid="6" name="timestamp">
    <vt:lpwstr>Mon Dec 19 2022 10:47:47 GMT+0000 (Greenwich Mean Time)</vt:lpwstr>
  </property>
</Properties>
</file>