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53896" w:rsidRDefault="00803B20" w14:paraId="1D6507FA" w14:textId="77777777">
      <w:pPr>
        <w:pStyle w:val="BodyText"/>
        <w:ind w:left="3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5A182A" wp14:editId="715DD6F3">
            <wp:extent cx="3416490" cy="359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490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896" w:rsidRDefault="00753896" w14:paraId="47EFC960" w14:textId="77777777">
      <w:pPr>
        <w:pStyle w:val="BodyText"/>
        <w:ind w:left="0"/>
        <w:rPr>
          <w:rFonts w:ascii="Times New Roman"/>
          <w:sz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7"/>
      </w:tblGrid>
      <w:tr w:rsidR="00753896" w:rsidTr="004D08AA" w14:paraId="7B4DDC3D" w14:textId="77777777">
        <w:trPr>
          <w:trHeight w:val="862"/>
        </w:trPr>
        <w:tc>
          <w:tcPr>
            <w:tcW w:w="9867" w:type="dxa"/>
            <w:tcBorders>
              <w:top w:val="single" w:color="000000" w:sz="4" w:space="0"/>
            </w:tcBorders>
          </w:tcPr>
          <w:p w:rsidR="00753896" w:rsidRDefault="00803B20" w14:paraId="550D539F" w14:textId="77777777">
            <w:pPr>
              <w:pStyle w:val="TableParagraph"/>
              <w:spacing w:before="118"/>
              <w:rPr>
                <w:b/>
                <w:sz w:val="40"/>
              </w:rPr>
            </w:pPr>
            <w:r>
              <w:rPr>
                <w:b/>
                <w:sz w:val="40"/>
              </w:rPr>
              <w:t>Application</w:t>
            </w:r>
            <w:r>
              <w:rPr>
                <w:b/>
                <w:spacing w:val="-14"/>
                <w:sz w:val="40"/>
              </w:rPr>
              <w:t xml:space="preserve"> </w:t>
            </w:r>
            <w:r>
              <w:rPr>
                <w:b/>
                <w:spacing w:val="-2"/>
                <w:sz w:val="40"/>
              </w:rPr>
              <w:t>Decision</w:t>
            </w:r>
          </w:p>
        </w:tc>
      </w:tr>
      <w:tr w:rsidR="00753896" w:rsidTr="004D08AA" w14:paraId="5020A75D" w14:textId="77777777">
        <w:trPr>
          <w:trHeight w:val="607"/>
        </w:trPr>
        <w:tc>
          <w:tcPr>
            <w:tcW w:w="9867" w:type="dxa"/>
          </w:tcPr>
          <w:p w:rsidR="00753896" w:rsidRDefault="00753896" w14:paraId="75071C6C" w14:textId="77777777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:rsidR="00753896" w:rsidRDefault="00803B20" w14:paraId="2CDA5CA3" w14:textId="77777777">
            <w:pPr>
              <w:pStyle w:val="TableParagraph"/>
              <w:rPr>
                <w:b/>
              </w:rPr>
            </w:pPr>
            <w:r>
              <w:rPr>
                <w:b/>
              </w:rPr>
              <w:t>by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Richard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Holland</w:t>
            </w:r>
          </w:p>
        </w:tc>
      </w:tr>
      <w:tr w:rsidR="00753896" w:rsidTr="004D08AA" w14:paraId="0E3BF1ED" w14:textId="77777777">
        <w:trPr>
          <w:trHeight w:val="311"/>
        </w:trPr>
        <w:tc>
          <w:tcPr>
            <w:tcW w:w="9867" w:type="dxa"/>
          </w:tcPr>
          <w:p w:rsidR="00753896" w:rsidRDefault="00803B20" w14:paraId="0FC185F0" w14:textId="77777777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sz w:val="16"/>
              </w:rPr>
              <w:t>Appointed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Secretary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Environment,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Food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Rural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Affairs</w:t>
            </w:r>
          </w:p>
        </w:tc>
      </w:tr>
      <w:tr w:rsidR="00753896" w:rsidTr="004D08AA" w14:paraId="61CDE190" w14:textId="77777777">
        <w:trPr>
          <w:trHeight w:val="273"/>
        </w:trPr>
        <w:tc>
          <w:tcPr>
            <w:tcW w:w="9867" w:type="dxa"/>
            <w:tcBorders>
              <w:bottom w:val="single" w:color="000000" w:sz="4" w:space="0"/>
            </w:tcBorders>
          </w:tcPr>
          <w:p w:rsidR="00753896" w:rsidRDefault="00803B20" w14:paraId="2CBCCB3E" w14:textId="5023811A">
            <w:pPr>
              <w:pStyle w:val="TableParagraph"/>
              <w:spacing w:before="82" w:line="19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Decision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date:</w:t>
            </w:r>
            <w:r>
              <w:rPr>
                <w:b/>
                <w:spacing w:val="44"/>
                <w:sz w:val="16"/>
              </w:rPr>
              <w:t xml:space="preserve"> </w:t>
            </w:r>
            <w:r w:rsidR="00BF1EA0">
              <w:rPr>
                <w:b/>
                <w:sz w:val="16"/>
              </w:rPr>
              <w:t>21 February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2023</w:t>
            </w:r>
          </w:p>
        </w:tc>
      </w:tr>
    </w:tbl>
    <w:p w:rsidR="00753896" w:rsidRDefault="00753896" w14:paraId="32533B90" w14:textId="77777777">
      <w:pPr>
        <w:pStyle w:val="BodyText"/>
        <w:spacing w:before="9"/>
        <w:ind w:left="0"/>
        <w:rPr>
          <w:rFonts w:ascii="Times New Roman"/>
          <w:sz w:val="14"/>
        </w:rPr>
      </w:pPr>
    </w:p>
    <w:p w:rsidR="00753896" w:rsidRDefault="00803B20" w14:paraId="3E20CC85" w14:textId="6155E649">
      <w:pPr>
        <w:pStyle w:val="Heading1"/>
        <w:spacing w:before="101" w:line="267" w:lineRule="exact"/>
        <w:ind w:left="227"/>
        <w:jc w:val="both"/>
      </w:pPr>
      <w:r>
        <w:t>Application</w:t>
      </w:r>
      <w:r>
        <w:rPr>
          <w:spacing w:val="-8"/>
        </w:rPr>
        <w:t xml:space="preserve"> </w:t>
      </w:r>
      <w:r>
        <w:t>Ref:</w:t>
      </w:r>
      <w:r>
        <w:rPr>
          <w:spacing w:val="-8"/>
        </w:rPr>
        <w:t xml:space="preserve"> </w:t>
      </w:r>
      <w:r>
        <w:rPr>
          <w:spacing w:val="-2"/>
        </w:rPr>
        <w:t>COM/331142</w:t>
      </w:r>
      <w:r w:rsidR="00684DB9">
        <w:rPr>
          <w:spacing w:val="-2"/>
        </w:rPr>
        <w:t>1</w:t>
      </w:r>
    </w:p>
    <w:p w:rsidR="00753896" w:rsidP="00684DB9" w:rsidRDefault="00684DB9" w14:paraId="0B52CF8E" w14:textId="78A5CE8A">
      <w:pPr>
        <w:spacing w:line="267" w:lineRule="exact"/>
        <w:ind w:firstLine="227"/>
        <w:jc w:val="both"/>
        <w:rPr>
          <w:b/>
        </w:rPr>
      </w:pPr>
      <w:r>
        <w:rPr>
          <w:b/>
        </w:rPr>
        <w:t>BLACKHEATH COMMON,</w:t>
      </w:r>
      <w:r>
        <w:rPr>
          <w:b/>
          <w:spacing w:val="-7"/>
        </w:rPr>
        <w:t xml:space="preserve"> </w:t>
      </w:r>
      <w:r>
        <w:rPr>
          <w:b/>
        </w:rPr>
        <w:t>LONDON</w:t>
      </w:r>
      <w:r>
        <w:rPr>
          <w:b/>
          <w:spacing w:val="-8"/>
        </w:rPr>
        <w:t xml:space="preserve"> </w:t>
      </w:r>
      <w:r>
        <w:rPr>
          <w:b/>
        </w:rPr>
        <w:t>BOROUGH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 w:rsidR="00AD0B1A">
        <w:rPr>
          <w:b/>
          <w:spacing w:val="-5"/>
        </w:rPr>
        <w:t>LEWISHAM</w:t>
      </w:r>
    </w:p>
    <w:p w:rsidR="00753896" w:rsidRDefault="00803B20" w14:paraId="02F127C6" w14:textId="3BD069FF">
      <w:pPr>
        <w:spacing w:before="2"/>
        <w:ind w:left="227"/>
        <w:jc w:val="both"/>
        <w:rPr>
          <w:sz w:val="20"/>
        </w:rPr>
      </w:pPr>
      <w:r>
        <w:rPr>
          <w:sz w:val="20"/>
        </w:rPr>
        <w:t>Register</w:t>
      </w:r>
      <w:r>
        <w:rPr>
          <w:spacing w:val="-6"/>
          <w:sz w:val="20"/>
        </w:rPr>
        <w:t xml:space="preserve"> </w:t>
      </w:r>
      <w:r>
        <w:rPr>
          <w:sz w:val="20"/>
        </w:rPr>
        <w:t>Unit</w:t>
      </w:r>
      <w:r>
        <w:rPr>
          <w:spacing w:val="-4"/>
          <w:sz w:val="20"/>
        </w:rPr>
        <w:t xml:space="preserve"> </w:t>
      </w:r>
      <w:r>
        <w:rPr>
          <w:sz w:val="20"/>
        </w:rPr>
        <w:t>No:</w:t>
      </w:r>
      <w:r>
        <w:rPr>
          <w:spacing w:val="-3"/>
          <w:sz w:val="20"/>
        </w:rPr>
        <w:t xml:space="preserve"> </w:t>
      </w:r>
      <w:r>
        <w:rPr>
          <w:sz w:val="20"/>
        </w:rPr>
        <w:t>CL</w:t>
      </w:r>
      <w:r>
        <w:rPr>
          <w:spacing w:val="-6"/>
          <w:sz w:val="20"/>
        </w:rPr>
        <w:t xml:space="preserve"> </w:t>
      </w:r>
      <w:r w:rsidR="00186F89">
        <w:rPr>
          <w:spacing w:val="-6"/>
          <w:sz w:val="20"/>
        </w:rPr>
        <w:t>11</w:t>
      </w:r>
    </w:p>
    <w:p w:rsidR="00753896" w:rsidRDefault="00803B20" w14:paraId="788F7858" w14:textId="64BA00C9">
      <w:pPr>
        <w:spacing w:line="243" w:lineRule="exact"/>
        <w:ind w:left="227"/>
        <w:jc w:val="both"/>
        <w:rPr>
          <w:sz w:val="20"/>
        </w:rPr>
      </w:pPr>
      <w:r>
        <w:rPr>
          <w:sz w:val="20"/>
        </w:rPr>
        <w:t>Commons</w:t>
      </w:r>
      <w:r>
        <w:rPr>
          <w:spacing w:val="-10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5"/>
          <w:sz w:val="20"/>
        </w:rPr>
        <w:t xml:space="preserve"> </w:t>
      </w:r>
      <w:r>
        <w:rPr>
          <w:sz w:val="20"/>
        </w:rPr>
        <w:t>Authority:</w:t>
      </w:r>
      <w:r>
        <w:rPr>
          <w:spacing w:val="-8"/>
          <w:sz w:val="20"/>
        </w:rPr>
        <w:t xml:space="preserve"> </w:t>
      </w:r>
      <w:r>
        <w:rPr>
          <w:sz w:val="20"/>
        </w:rPr>
        <w:t>London</w:t>
      </w:r>
      <w:r>
        <w:rPr>
          <w:spacing w:val="-8"/>
          <w:sz w:val="20"/>
        </w:rPr>
        <w:t xml:space="preserve"> </w:t>
      </w:r>
      <w:r>
        <w:rPr>
          <w:sz w:val="20"/>
        </w:rPr>
        <w:t>Borough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proofErr w:type="spellStart"/>
      <w:r w:rsidR="00AD0B1A">
        <w:rPr>
          <w:spacing w:val="-8"/>
          <w:sz w:val="20"/>
        </w:rPr>
        <w:t>Lewisham</w:t>
      </w:r>
      <w:proofErr w:type="spellEnd"/>
    </w:p>
    <w:p w:rsidR="00753896" w:rsidP="004D08AA" w:rsidRDefault="00803B20" w14:paraId="3308C8A0" w14:textId="3A37E97B">
      <w:pPr>
        <w:pStyle w:val="ListParagraph"/>
        <w:numPr>
          <w:ilvl w:val="0"/>
          <w:numId w:val="3"/>
        </w:numPr>
        <w:tabs>
          <w:tab w:val="left" w:pos="588"/>
        </w:tabs>
        <w:ind w:left="590" w:right="737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1"/>
          <w:sz w:val="20"/>
        </w:rPr>
        <w:t xml:space="preserve"> </w:t>
      </w:r>
      <w:r>
        <w:rPr>
          <w:sz w:val="20"/>
        </w:rPr>
        <w:t>dated</w:t>
      </w:r>
      <w:r>
        <w:rPr>
          <w:spacing w:val="-2"/>
          <w:sz w:val="20"/>
        </w:rPr>
        <w:t xml:space="preserve"> </w:t>
      </w:r>
      <w:r w:rsidR="00AD0B1A">
        <w:rPr>
          <w:sz w:val="20"/>
        </w:rPr>
        <w:t>22 September</w:t>
      </w:r>
      <w:r>
        <w:rPr>
          <w:spacing w:val="-1"/>
          <w:sz w:val="20"/>
        </w:rPr>
        <w:t xml:space="preserve"> </w:t>
      </w:r>
      <w:r>
        <w:rPr>
          <w:sz w:val="20"/>
        </w:rPr>
        <w:t>2022,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Article</w:t>
      </w:r>
      <w:r>
        <w:rPr>
          <w:spacing w:val="-3"/>
          <w:sz w:val="20"/>
        </w:rPr>
        <w:t xml:space="preserve"> </w:t>
      </w:r>
      <w:r>
        <w:rPr>
          <w:sz w:val="20"/>
        </w:rPr>
        <w:t>12 of the</w:t>
      </w:r>
      <w:r>
        <w:rPr>
          <w:spacing w:val="-3"/>
          <w:sz w:val="20"/>
        </w:rPr>
        <w:t xml:space="preserve"> </w:t>
      </w:r>
      <w:r>
        <w:rPr>
          <w:sz w:val="20"/>
        </w:rPr>
        <w:t>Ministry</w:t>
      </w:r>
      <w:r>
        <w:rPr>
          <w:spacing w:val="-1"/>
          <w:sz w:val="20"/>
        </w:rPr>
        <w:t xml:space="preserve"> </w:t>
      </w:r>
      <w:r>
        <w:rPr>
          <w:sz w:val="20"/>
        </w:rPr>
        <w:t>of Housing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Government</w:t>
      </w:r>
      <w:r>
        <w:rPr>
          <w:spacing w:val="-5"/>
          <w:sz w:val="20"/>
        </w:rPr>
        <w:t xml:space="preserve"> </w:t>
      </w:r>
      <w:r>
        <w:rPr>
          <w:sz w:val="20"/>
        </w:rPr>
        <w:t>Provisional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7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5"/>
          <w:sz w:val="20"/>
        </w:rPr>
        <w:t xml:space="preserve"> </w:t>
      </w:r>
      <w:r>
        <w:rPr>
          <w:sz w:val="20"/>
        </w:rPr>
        <w:t>(Greater</w:t>
      </w:r>
      <w:r>
        <w:rPr>
          <w:spacing w:val="-3"/>
          <w:sz w:val="20"/>
        </w:rPr>
        <w:t xml:space="preserve"> </w:t>
      </w:r>
      <w:r>
        <w:rPr>
          <w:sz w:val="20"/>
        </w:rPr>
        <w:t>London</w:t>
      </w:r>
      <w:r>
        <w:rPr>
          <w:spacing w:val="-3"/>
          <w:sz w:val="20"/>
        </w:rPr>
        <w:t xml:space="preserve"> </w:t>
      </w:r>
      <w:r>
        <w:rPr>
          <w:sz w:val="20"/>
        </w:rPr>
        <w:t>Parks and Open Spaces) Act 1967 for consent to construct works on common land.</w:t>
      </w:r>
    </w:p>
    <w:p w:rsidR="00753896" w:rsidP="004D08AA" w:rsidRDefault="00803B20" w14:paraId="730567E1" w14:textId="49188CEF">
      <w:pPr>
        <w:pStyle w:val="ListParagraph"/>
        <w:numPr>
          <w:ilvl w:val="0"/>
          <w:numId w:val="3"/>
        </w:numPr>
        <w:tabs>
          <w:tab w:val="left" w:pos="588"/>
        </w:tabs>
        <w:spacing w:line="242" w:lineRule="exact"/>
        <w:ind w:left="590" w:right="737" w:hanging="361"/>
        <w:jc w:val="both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made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London</w:t>
      </w:r>
      <w:r>
        <w:rPr>
          <w:spacing w:val="-4"/>
          <w:sz w:val="20"/>
        </w:rPr>
        <w:t xml:space="preserve"> </w:t>
      </w:r>
      <w:r>
        <w:rPr>
          <w:sz w:val="20"/>
        </w:rPr>
        <w:t>Borough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proofErr w:type="spellStart"/>
      <w:r w:rsidR="008C3A32">
        <w:rPr>
          <w:spacing w:val="-2"/>
          <w:sz w:val="20"/>
        </w:rPr>
        <w:t>Lewisham</w:t>
      </w:r>
      <w:proofErr w:type="spellEnd"/>
      <w:r>
        <w:rPr>
          <w:spacing w:val="-2"/>
          <w:sz w:val="20"/>
        </w:rPr>
        <w:t>.</w:t>
      </w:r>
    </w:p>
    <w:p w:rsidRPr="007E44B4" w:rsidR="00753896" w:rsidP="004D08AA" w:rsidRDefault="00803B20" w14:paraId="316F2710" w14:textId="4CCD431B">
      <w:pPr>
        <w:pStyle w:val="ListParagraph"/>
        <w:numPr>
          <w:ilvl w:val="0"/>
          <w:numId w:val="3"/>
        </w:numPr>
        <w:pBdr>
          <w:bottom w:val="single" w:color="auto" w:sz="4" w:space="0"/>
        </w:pBdr>
        <w:tabs>
          <w:tab w:val="left" w:pos="588"/>
        </w:tabs>
        <w:ind w:left="590" w:right="737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works</w:t>
      </w:r>
      <w:r>
        <w:rPr>
          <w:spacing w:val="-2"/>
          <w:sz w:val="20"/>
        </w:rPr>
        <w:t xml:space="preserve"> </w:t>
      </w:r>
      <w:r>
        <w:rPr>
          <w:sz w:val="20"/>
        </w:rPr>
        <w:t>comprise</w:t>
      </w:r>
      <w:r>
        <w:rPr>
          <w:spacing w:val="-5"/>
          <w:sz w:val="20"/>
        </w:rPr>
        <w:t xml:space="preserve"> </w:t>
      </w:r>
      <w:r w:rsidR="00C36001">
        <w:rPr>
          <w:spacing w:val="-5"/>
          <w:sz w:val="20"/>
        </w:rPr>
        <w:t xml:space="preserve">the </w:t>
      </w:r>
      <w:r w:rsidR="00AD0B1A">
        <w:rPr>
          <w:spacing w:val="-5"/>
          <w:sz w:val="20"/>
        </w:rPr>
        <w:t>creation of a landscaped play area consisting of natural soft play features in an area cover</w:t>
      </w:r>
      <w:r w:rsidR="007A0210">
        <w:rPr>
          <w:spacing w:val="-5"/>
          <w:sz w:val="20"/>
        </w:rPr>
        <w:t>ing</w:t>
      </w:r>
      <w:r w:rsidR="00AD0B1A">
        <w:rPr>
          <w:spacing w:val="-5"/>
          <w:sz w:val="20"/>
        </w:rPr>
        <w:t xml:space="preserve"> 889m². The works include </w:t>
      </w:r>
      <w:r w:rsidR="003E56A4">
        <w:rPr>
          <w:spacing w:val="-5"/>
          <w:sz w:val="20"/>
        </w:rPr>
        <w:t xml:space="preserve">a </w:t>
      </w:r>
      <w:r w:rsidR="008512A3">
        <w:rPr>
          <w:spacing w:val="-5"/>
          <w:sz w:val="20"/>
        </w:rPr>
        <w:t xml:space="preserve">28m x 1.8m </w:t>
      </w:r>
      <w:r w:rsidR="003E56A4">
        <w:rPr>
          <w:spacing w:val="-5"/>
          <w:sz w:val="20"/>
        </w:rPr>
        <w:t xml:space="preserve">crushed stone path, </w:t>
      </w:r>
      <w:r w:rsidR="00AD0B1A">
        <w:rPr>
          <w:spacing w:val="-5"/>
          <w:sz w:val="20"/>
        </w:rPr>
        <w:t>planting, mirrors, sunken informal seating area</w:t>
      </w:r>
      <w:r w:rsidR="008512A3">
        <w:rPr>
          <w:spacing w:val="-5"/>
          <w:sz w:val="20"/>
        </w:rPr>
        <w:t xml:space="preserve"> (11-12m diameter)</w:t>
      </w:r>
      <w:r w:rsidR="00AD0B1A">
        <w:rPr>
          <w:spacing w:val="-5"/>
          <w:sz w:val="20"/>
        </w:rPr>
        <w:t xml:space="preserve"> with gabion baskets and boulders</w:t>
      </w:r>
      <w:r w:rsidR="0009217E">
        <w:rPr>
          <w:spacing w:val="-5"/>
          <w:sz w:val="20"/>
        </w:rPr>
        <w:t>,</w:t>
      </w:r>
      <w:r w:rsidR="00E96524">
        <w:rPr>
          <w:spacing w:val="-5"/>
          <w:sz w:val="20"/>
        </w:rPr>
        <w:t xml:space="preserve"> 3 gabion seats,</w:t>
      </w:r>
      <w:r w:rsidR="0009217E">
        <w:rPr>
          <w:spacing w:val="-5"/>
          <w:sz w:val="20"/>
        </w:rPr>
        <w:t xml:space="preserve"> </w:t>
      </w:r>
      <w:r w:rsidR="008512A3">
        <w:rPr>
          <w:spacing w:val="-5"/>
          <w:sz w:val="20"/>
        </w:rPr>
        <w:t>dry riverbed (11-12m x 2m),</w:t>
      </w:r>
      <w:r w:rsidR="0084636C">
        <w:rPr>
          <w:spacing w:val="-5"/>
          <w:sz w:val="20"/>
        </w:rPr>
        <w:t xml:space="preserve"> play logs with climbing branches, mounding, low timber decked bridge</w:t>
      </w:r>
      <w:r w:rsidR="008512A3">
        <w:rPr>
          <w:spacing w:val="-5"/>
          <w:sz w:val="20"/>
        </w:rPr>
        <w:t>s</w:t>
      </w:r>
      <w:r w:rsidR="0084636C">
        <w:rPr>
          <w:spacing w:val="-5"/>
          <w:sz w:val="20"/>
        </w:rPr>
        <w:t>, area for willow tunnel, sculptures or den</w:t>
      </w:r>
      <w:r w:rsidR="0009217E">
        <w:rPr>
          <w:spacing w:val="-5"/>
          <w:sz w:val="20"/>
        </w:rPr>
        <w:t xml:space="preserve"> and </w:t>
      </w:r>
      <w:r w:rsidR="0084636C">
        <w:rPr>
          <w:spacing w:val="-5"/>
          <w:sz w:val="20"/>
        </w:rPr>
        <w:t xml:space="preserve">musical play. </w:t>
      </w:r>
    </w:p>
    <w:p w:rsidR="00753896" w:rsidP="00880D8D" w:rsidRDefault="00753896" w14:paraId="2AD868D3" w14:textId="33A6E83B">
      <w:pPr>
        <w:pStyle w:val="BodyText"/>
        <w:spacing w:before="9"/>
        <w:ind w:left="426"/>
        <w:rPr>
          <w:sz w:val="13"/>
        </w:rPr>
      </w:pPr>
    </w:p>
    <w:p w:rsidR="00753896" w:rsidRDefault="00803B20" w14:paraId="4B3A413E" w14:textId="77777777">
      <w:pPr>
        <w:pStyle w:val="Heading1"/>
        <w:spacing w:before="101"/>
      </w:pPr>
      <w:r>
        <w:rPr>
          <w:spacing w:val="-2"/>
        </w:rPr>
        <w:t>Decision</w:t>
      </w:r>
    </w:p>
    <w:p w:rsidR="00753896" w:rsidP="004D08AA" w:rsidRDefault="00803B20" w14:paraId="14E5B228" w14:textId="331ABF5F">
      <w:pPr>
        <w:pStyle w:val="ListParagraph"/>
        <w:numPr>
          <w:ilvl w:val="0"/>
          <w:numId w:val="2"/>
        </w:numPr>
        <w:tabs>
          <w:tab w:val="left" w:pos="583"/>
          <w:tab w:val="left" w:pos="584"/>
          <w:tab w:val="left" w:pos="9923"/>
        </w:tabs>
        <w:spacing w:before="179"/>
        <w:ind w:right="664"/>
        <w:jc w:val="left"/>
      </w:pPr>
      <w:r>
        <w:t xml:space="preserve">Consent is granted for the works in accordance with the application dated </w:t>
      </w:r>
      <w:r w:rsidR="00AD0B1A">
        <w:t>22 September</w:t>
      </w:r>
      <w:r>
        <w:t xml:space="preserve"> 2022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no later than three years from the date of this decision.</w:t>
      </w:r>
    </w:p>
    <w:p w:rsidR="00753896" w:rsidRDefault="00803B20" w14:paraId="4AF058B6" w14:textId="041F1496">
      <w:pPr>
        <w:pStyle w:val="ListParagraph"/>
        <w:numPr>
          <w:ilvl w:val="0"/>
          <w:numId w:val="2"/>
        </w:numPr>
        <w:tabs>
          <w:tab w:val="left" w:pos="583"/>
          <w:tab w:val="left" w:pos="584"/>
        </w:tabs>
        <w:spacing w:before="180"/>
        <w:ind w:right="194"/>
        <w:jc w:val="left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on the attached</w:t>
      </w:r>
      <w:r w:rsidR="00BB0026">
        <w:t xml:space="preserve"> inset</w:t>
      </w:r>
      <w:r>
        <w:t xml:space="preserve"> plan.</w:t>
      </w:r>
    </w:p>
    <w:p w:rsidR="00753896" w:rsidRDefault="00803B20" w14:paraId="01881018" w14:textId="77777777">
      <w:pPr>
        <w:pStyle w:val="Heading1"/>
        <w:spacing w:before="180"/>
      </w:pPr>
      <w:r>
        <w:t>Preliminary</w:t>
      </w:r>
      <w:r>
        <w:rPr>
          <w:spacing w:val="-14"/>
        </w:rPr>
        <w:t xml:space="preserve"> </w:t>
      </w:r>
      <w:r>
        <w:rPr>
          <w:spacing w:val="-2"/>
        </w:rPr>
        <w:t>Matters</w:t>
      </w:r>
    </w:p>
    <w:p w:rsidR="00753896" w:rsidRDefault="00803B20" w14:paraId="5BDE1141" w14:textId="77777777">
      <w:pPr>
        <w:pStyle w:val="ListParagraph"/>
        <w:numPr>
          <w:ilvl w:val="0"/>
          <w:numId w:val="2"/>
        </w:numPr>
        <w:tabs>
          <w:tab w:val="left" w:pos="583"/>
          <w:tab w:val="left" w:pos="584"/>
        </w:tabs>
        <w:spacing w:before="182"/>
        <w:ind w:right="185"/>
        <w:jc w:val="left"/>
      </w:pPr>
      <w:r>
        <w:t>I have had regard to Defra’s Common Land Consents Policy Guidance</w:t>
      </w:r>
      <w:r>
        <w:rPr>
          <w:spacing w:val="-21"/>
        </w:rPr>
        <w:t xml:space="preserve"> </w:t>
      </w:r>
      <w:r>
        <w:t>(Defra November 2015) in determining this application, which has been published for the guidance of both the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Inspectorate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applicants.</w:t>
      </w:r>
      <w:r>
        <w:rPr>
          <w:spacing w:val="-1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on its</w:t>
      </w:r>
      <w:r>
        <w:rPr>
          <w:spacing w:val="-2"/>
        </w:rPr>
        <w:t xml:space="preserve"> </w:t>
      </w:r>
      <w:r>
        <w:t>merits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depart</w:t>
      </w:r>
      <w:r>
        <w:rPr>
          <w:spacing w:val="-3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 so. In such cases, the decision will explain why it has departed from the guidance.</w:t>
      </w:r>
    </w:p>
    <w:p w:rsidR="00753896" w:rsidRDefault="00753896" w14:paraId="7148CEB7" w14:textId="77777777">
      <w:pPr>
        <w:pStyle w:val="BodyText"/>
        <w:spacing w:before="11"/>
        <w:ind w:left="0"/>
        <w:rPr>
          <w:sz w:val="21"/>
        </w:rPr>
      </w:pPr>
    </w:p>
    <w:p w:rsidR="00753896" w:rsidRDefault="00803B20" w14:paraId="112F4190" w14:textId="77777777">
      <w:pPr>
        <w:pStyle w:val="ListParagraph"/>
        <w:numPr>
          <w:ilvl w:val="0"/>
          <w:numId w:val="2"/>
        </w:numPr>
        <w:tabs>
          <w:tab w:val="left" w:pos="583"/>
          <w:tab w:val="left" w:pos="584"/>
        </w:tabs>
        <w:ind w:hanging="426"/>
        <w:jc w:val="left"/>
      </w:pPr>
      <w:r>
        <w:t>This</w:t>
      </w:r>
      <w:r>
        <w:rPr>
          <w:spacing w:val="-6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solely</w:t>
      </w:r>
      <w:r>
        <w:rPr>
          <w:spacing w:val="-6"/>
        </w:rPr>
        <w:t xml:space="preserve"> </w:t>
      </w:r>
      <w:proofErr w:type="gramStart"/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5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2"/>
        </w:rPr>
        <w:t>evidence.</w:t>
      </w:r>
    </w:p>
    <w:p w:rsidR="00753896" w:rsidRDefault="00753896" w14:paraId="5CF2E72F" w14:textId="77777777">
      <w:pPr>
        <w:pStyle w:val="BodyText"/>
        <w:spacing w:before="1"/>
        <w:ind w:left="0"/>
      </w:pPr>
    </w:p>
    <w:p w:rsidR="00753896" w:rsidRDefault="00803B20" w14:paraId="6D9BE6EA" w14:textId="46E981C6">
      <w:pPr>
        <w:pStyle w:val="ListParagraph"/>
        <w:numPr>
          <w:ilvl w:val="0"/>
          <w:numId w:val="2"/>
        </w:numPr>
        <w:tabs>
          <w:tab w:val="left" w:pos="583"/>
          <w:tab w:val="left" w:pos="584"/>
        </w:tabs>
        <w:ind w:right="1032"/>
        <w:jc w:val="left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representation</w:t>
      </w:r>
      <w:r>
        <w:rPr>
          <w:spacing w:val="-5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England</w:t>
      </w:r>
      <w:r>
        <w:rPr>
          <w:spacing w:val="-4"/>
        </w:rPr>
        <w:t xml:space="preserve"> </w:t>
      </w:r>
      <w:r>
        <w:t>(NE).</w:t>
      </w:r>
    </w:p>
    <w:p w:rsidR="00753896" w:rsidRDefault="00803B20" w14:paraId="10F68DFB" w14:textId="77777777">
      <w:pPr>
        <w:pStyle w:val="ListParagraph"/>
        <w:numPr>
          <w:ilvl w:val="0"/>
          <w:numId w:val="2"/>
        </w:numPr>
        <w:tabs>
          <w:tab w:val="left" w:pos="583"/>
          <w:tab w:val="left" w:pos="584"/>
        </w:tabs>
        <w:spacing w:before="181"/>
        <w:ind w:right="229"/>
        <w:jc w:val="left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39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determining applications under Article 12 of the 1967 </w:t>
      </w:r>
      <w:proofErr w:type="gramStart"/>
      <w:r>
        <w:t>Act:-</w:t>
      </w:r>
      <w:proofErr w:type="gramEnd"/>
    </w:p>
    <w:p w:rsidR="00753896" w:rsidRDefault="00803B20" w14:paraId="5DB18A1B" w14:textId="2B4BE60C">
      <w:pPr>
        <w:pStyle w:val="ListParagraph"/>
        <w:numPr>
          <w:ilvl w:val="1"/>
          <w:numId w:val="2"/>
        </w:numPr>
        <w:tabs>
          <w:tab w:val="left" w:pos="1009"/>
        </w:tabs>
        <w:spacing w:before="180"/>
        <w:ind w:right="726"/>
      </w:pPr>
      <w:r>
        <w:t>the</w:t>
      </w:r>
      <w:r>
        <w:rPr>
          <w:spacing w:val="-2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occupying,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in particular persons exercising rights of common over it</w:t>
      </w:r>
      <w:proofErr w:type="gramStart"/>
      <w:r>
        <w:t>);</w:t>
      </w:r>
      <w:proofErr w:type="gramEnd"/>
    </w:p>
    <w:p w:rsidR="00753896" w:rsidRDefault="00803B20" w14:paraId="7F0C2949" w14:textId="406690C4">
      <w:pPr>
        <w:pStyle w:val="ListParagraph"/>
        <w:numPr>
          <w:ilvl w:val="1"/>
          <w:numId w:val="2"/>
        </w:numPr>
        <w:tabs>
          <w:tab w:val="left" w:pos="1009"/>
        </w:tabs>
        <w:spacing w:before="178"/>
        <w:ind w:hanging="285"/>
      </w:pPr>
      <w:r>
        <w:t>the</w:t>
      </w:r>
      <w:r>
        <w:rPr>
          <w:spacing w:val="-3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2"/>
        </w:rPr>
        <w:t>neighbourhood</w:t>
      </w:r>
      <w:proofErr w:type="spellEnd"/>
      <w:r>
        <w:rPr>
          <w:spacing w:val="-2"/>
        </w:rPr>
        <w:t>;</w:t>
      </w:r>
      <w:proofErr w:type="gramEnd"/>
    </w:p>
    <w:p w:rsidRPr="007E44B4" w:rsidR="00753896" w:rsidP="007E44B4" w:rsidRDefault="00803B20" w14:paraId="017A842E" w14:textId="4B89817E">
      <w:pPr>
        <w:pStyle w:val="ListParagraph"/>
        <w:numPr>
          <w:ilvl w:val="1"/>
          <w:numId w:val="2"/>
        </w:numPr>
        <w:tabs>
          <w:tab w:val="left" w:pos="1009"/>
        </w:tabs>
        <w:spacing w:before="181"/>
        <w:ind w:left="993" w:right="753" w:hanging="269"/>
      </w:pP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(Section</w:t>
      </w:r>
      <w:r>
        <w:rPr>
          <w:spacing w:val="-4"/>
        </w:rPr>
        <w:t xml:space="preserve"> </w:t>
      </w:r>
      <w:r>
        <w:t>39(2)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interest includes the public interest in; nature conservation; the conservation of the</w:t>
      </w:r>
      <w:r w:rsidR="007E44B4">
        <w:t xml:space="preserve"> </w:t>
      </w:r>
      <w:r>
        <w:t>landscape;</w:t>
      </w:r>
      <w:r w:rsidRPr="007E44B4">
        <w:rPr>
          <w:spacing w:val="-2"/>
        </w:rPr>
        <w:t xml:space="preserve"> </w:t>
      </w:r>
      <w:r>
        <w:t>the</w:t>
      </w:r>
      <w:r w:rsidRPr="007E44B4">
        <w:rPr>
          <w:spacing w:val="-2"/>
        </w:rPr>
        <w:t xml:space="preserve"> </w:t>
      </w:r>
      <w:r>
        <w:t>protection</w:t>
      </w:r>
      <w:r w:rsidRPr="007E44B4">
        <w:rPr>
          <w:spacing w:val="-4"/>
        </w:rPr>
        <w:t xml:space="preserve"> </w:t>
      </w:r>
      <w:r>
        <w:t>of</w:t>
      </w:r>
      <w:r w:rsidRPr="007E44B4">
        <w:rPr>
          <w:spacing w:val="-4"/>
        </w:rPr>
        <w:t xml:space="preserve"> </w:t>
      </w:r>
      <w:r>
        <w:t>public</w:t>
      </w:r>
      <w:r w:rsidRPr="007E44B4">
        <w:rPr>
          <w:spacing w:val="-3"/>
        </w:rPr>
        <w:t xml:space="preserve"> </w:t>
      </w:r>
      <w:r>
        <w:t>rights</w:t>
      </w:r>
      <w:r w:rsidRPr="007E44B4">
        <w:rPr>
          <w:spacing w:val="-3"/>
        </w:rPr>
        <w:t xml:space="preserve"> </w:t>
      </w:r>
      <w:r>
        <w:t>of</w:t>
      </w:r>
      <w:r w:rsidRPr="007E44B4">
        <w:rPr>
          <w:spacing w:val="-1"/>
        </w:rPr>
        <w:t xml:space="preserve"> </w:t>
      </w:r>
      <w:r>
        <w:t>access</w:t>
      </w:r>
      <w:r w:rsidRPr="007E44B4">
        <w:rPr>
          <w:spacing w:val="-3"/>
        </w:rPr>
        <w:t xml:space="preserve"> </w:t>
      </w:r>
      <w:r>
        <w:t>to</w:t>
      </w:r>
      <w:r w:rsidRPr="007E44B4">
        <w:rPr>
          <w:spacing w:val="-2"/>
        </w:rPr>
        <w:t xml:space="preserve"> </w:t>
      </w:r>
      <w:r>
        <w:t>any</w:t>
      </w:r>
      <w:r w:rsidRPr="007E44B4">
        <w:rPr>
          <w:spacing w:val="-5"/>
        </w:rPr>
        <w:t xml:space="preserve"> </w:t>
      </w:r>
      <w:r>
        <w:t>area</w:t>
      </w:r>
      <w:r w:rsidRPr="007E44B4">
        <w:rPr>
          <w:spacing w:val="-3"/>
        </w:rPr>
        <w:t xml:space="preserve"> </w:t>
      </w:r>
      <w:r>
        <w:t>of</w:t>
      </w:r>
      <w:r w:rsidRPr="007E44B4">
        <w:rPr>
          <w:spacing w:val="-3"/>
        </w:rPr>
        <w:t xml:space="preserve"> </w:t>
      </w:r>
      <w:r>
        <w:t>land;</w:t>
      </w:r>
      <w:r w:rsidRPr="007E44B4">
        <w:rPr>
          <w:spacing w:val="-2"/>
        </w:rPr>
        <w:t xml:space="preserve"> </w:t>
      </w:r>
      <w:r>
        <w:t>and</w:t>
      </w:r>
      <w:r w:rsidRPr="007E44B4">
        <w:rPr>
          <w:spacing w:val="-4"/>
        </w:rPr>
        <w:t xml:space="preserve"> </w:t>
      </w:r>
      <w:r>
        <w:t>the protection of archaeological remains and features of historic interest.); and</w:t>
      </w:r>
    </w:p>
    <w:p w:rsidR="00753896" w:rsidRDefault="00803B20" w14:paraId="542D9567" w14:textId="77777777">
      <w:pPr>
        <w:pStyle w:val="ListParagraph"/>
        <w:numPr>
          <w:ilvl w:val="1"/>
          <w:numId w:val="2"/>
        </w:numPr>
        <w:tabs>
          <w:tab w:val="left" w:pos="1009"/>
        </w:tabs>
        <w:spacing w:before="180"/>
        <w:ind w:hanging="285"/>
      </w:pP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relevant.</w:t>
      </w:r>
    </w:p>
    <w:p w:rsidR="00753896" w:rsidRDefault="00753896" w14:paraId="73C96F33" w14:textId="77777777">
      <w:pPr>
        <w:pStyle w:val="BodyText"/>
        <w:spacing w:before="1"/>
        <w:ind w:left="0"/>
      </w:pPr>
    </w:p>
    <w:p w:rsidR="00D75AF8" w:rsidRDefault="00D75AF8" w14:paraId="15526BDC" w14:textId="77777777">
      <w:pPr>
        <w:pStyle w:val="Heading1"/>
        <w:rPr>
          <w:spacing w:val="-2"/>
        </w:rPr>
      </w:pPr>
    </w:p>
    <w:p w:rsidR="00753896" w:rsidRDefault="00803B20" w14:paraId="11BBFA95" w14:textId="308910B3">
      <w:pPr>
        <w:pStyle w:val="Heading1"/>
      </w:pPr>
      <w:r>
        <w:rPr>
          <w:spacing w:val="-2"/>
        </w:rPr>
        <w:lastRenderedPageBreak/>
        <w:t>Reasons</w:t>
      </w:r>
    </w:p>
    <w:p w:rsidR="00753896" w:rsidRDefault="00803B20" w14:paraId="7388CDC3" w14:textId="77777777">
      <w:pPr>
        <w:pStyle w:val="Heading2"/>
        <w:spacing w:before="179"/>
      </w:pPr>
      <w:r>
        <w:t>The</w:t>
      </w:r>
      <w:r>
        <w:rPr>
          <w:spacing w:val="-6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occupying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4"/>
        </w:rPr>
        <w:t>land</w:t>
      </w:r>
    </w:p>
    <w:p w:rsidR="00753896" w:rsidRDefault="00803B20" w14:paraId="624AB56A" w14:textId="08CF1E01">
      <w:pPr>
        <w:pStyle w:val="ListParagraph"/>
        <w:numPr>
          <w:ilvl w:val="0"/>
          <w:numId w:val="2"/>
        </w:numPr>
        <w:tabs>
          <w:tab w:val="left" w:pos="583"/>
          <w:tab w:val="left" w:pos="584"/>
        </w:tabs>
        <w:spacing w:before="179"/>
        <w:ind w:right="221"/>
        <w:jc w:val="left"/>
      </w:pPr>
      <w:r>
        <w:t>The</w:t>
      </w:r>
      <w:r w:rsidR="0084636C">
        <w:t xml:space="preserve"> applicant has advised that the</w:t>
      </w:r>
      <w:r>
        <w:t xml:space="preserve"> common is owned</w:t>
      </w:r>
      <w:r w:rsidR="0084636C">
        <w:t xml:space="preserve"> by </w:t>
      </w:r>
      <w:r w:rsidR="001D7499">
        <w:t>the</w:t>
      </w:r>
      <w:r w:rsidR="0084636C">
        <w:t xml:space="preserve"> Earl of Dartmouth</w:t>
      </w:r>
      <w:r>
        <w:t>.</w:t>
      </w:r>
      <w:r w:rsidR="001D7499">
        <w:t xml:space="preserve"> The landowner has been consulted </w:t>
      </w:r>
      <w:r w:rsidR="003160B3">
        <w:t xml:space="preserve">about the application </w:t>
      </w:r>
      <w:r w:rsidR="001D7499">
        <w:t>and has made no objection.</w:t>
      </w:r>
      <w:r>
        <w:t xml:space="preserve"> There are no rights of common registered.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satisfied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occupying</w:t>
      </w:r>
      <w:r>
        <w:rPr>
          <w:spacing w:val="-4"/>
        </w:rPr>
        <w:t xml:space="preserve"> </w:t>
      </w:r>
      <w:r>
        <w:t>the land and the interests of those having rights is not at issue.</w:t>
      </w:r>
    </w:p>
    <w:p w:rsidR="00753896" w:rsidRDefault="00803B20" w14:paraId="671E7BD9" w14:textId="77777777">
      <w:pPr>
        <w:pStyle w:val="Heading2"/>
        <w:spacing w:before="182"/>
      </w:pPr>
      <w:r>
        <w:t>The</w:t>
      </w:r>
      <w:r>
        <w:rPr>
          <w:spacing w:val="-8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neighbourhood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access</w:t>
      </w:r>
    </w:p>
    <w:p w:rsidR="00880D8D" w:rsidP="00880D8D" w:rsidRDefault="00803B20" w14:paraId="0B3A2DCD" w14:textId="516A0C36">
      <w:pPr>
        <w:pStyle w:val="ListParagraph"/>
        <w:numPr>
          <w:ilvl w:val="0"/>
          <w:numId w:val="2"/>
        </w:numPr>
        <w:spacing w:before="179"/>
        <w:ind w:right="404"/>
        <w:jc w:val="left"/>
      </w:pPr>
      <w:r>
        <w:t>The</w:t>
      </w:r>
      <w:r w:rsidRPr="00880D8D">
        <w:rPr>
          <w:spacing w:val="-2"/>
        </w:rPr>
        <w:t xml:space="preserve"> </w:t>
      </w:r>
      <w:r>
        <w:t>interests</w:t>
      </w:r>
      <w:r w:rsidRPr="00880D8D">
        <w:rPr>
          <w:spacing w:val="-5"/>
        </w:rPr>
        <w:t xml:space="preserve"> </w:t>
      </w:r>
      <w:r>
        <w:t>of</w:t>
      </w:r>
      <w:r w:rsidRPr="00880D8D">
        <w:rPr>
          <w:spacing w:val="-3"/>
        </w:rPr>
        <w:t xml:space="preserve"> </w:t>
      </w:r>
      <w:r>
        <w:t>the</w:t>
      </w:r>
      <w:r w:rsidRPr="00880D8D">
        <w:rPr>
          <w:spacing w:val="-1"/>
        </w:rPr>
        <w:t xml:space="preserve"> </w:t>
      </w:r>
      <w:proofErr w:type="spellStart"/>
      <w:r>
        <w:t>neighbourhood</w:t>
      </w:r>
      <w:proofErr w:type="spellEnd"/>
      <w:r w:rsidRPr="00880D8D">
        <w:rPr>
          <w:spacing w:val="-3"/>
        </w:rPr>
        <w:t xml:space="preserve"> </w:t>
      </w:r>
      <w:r>
        <w:t>test</w:t>
      </w:r>
      <w:r w:rsidRPr="00880D8D">
        <w:rPr>
          <w:spacing w:val="-3"/>
        </w:rPr>
        <w:t xml:space="preserve"> </w:t>
      </w:r>
      <w:proofErr w:type="gramStart"/>
      <w:r>
        <w:t>relates</w:t>
      </w:r>
      <w:proofErr w:type="gramEnd"/>
      <w:r w:rsidRPr="00880D8D">
        <w:rPr>
          <w:spacing w:val="-2"/>
        </w:rPr>
        <w:t xml:space="preserve"> </w:t>
      </w:r>
      <w:r>
        <w:t>to</w:t>
      </w:r>
      <w:r w:rsidRPr="00880D8D">
        <w:rPr>
          <w:spacing w:val="-2"/>
        </w:rPr>
        <w:t xml:space="preserve"> </w:t>
      </w:r>
      <w:r>
        <w:t>whether</w:t>
      </w:r>
      <w:r w:rsidRPr="00880D8D">
        <w:rPr>
          <w:spacing w:val="-2"/>
        </w:rPr>
        <w:t xml:space="preserve"> </w:t>
      </w:r>
      <w:r>
        <w:t>the</w:t>
      </w:r>
      <w:r w:rsidRPr="00880D8D">
        <w:rPr>
          <w:spacing w:val="-1"/>
        </w:rPr>
        <w:t xml:space="preserve"> </w:t>
      </w:r>
      <w:r>
        <w:t>works</w:t>
      </w:r>
      <w:r w:rsidRPr="00880D8D">
        <w:rPr>
          <w:spacing w:val="-2"/>
        </w:rPr>
        <w:t xml:space="preserve"> </w:t>
      </w:r>
      <w:r>
        <w:t>will</w:t>
      </w:r>
      <w:r w:rsidRPr="00880D8D">
        <w:rPr>
          <w:spacing w:val="-3"/>
        </w:rPr>
        <w:t xml:space="preserve"> </w:t>
      </w:r>
      <w:r>
        <w:t>impact</w:t>
      </w:r>
      <w:r w:rsidRPr="00880D8D">
        <w:rPr>
          <w:spacing w:val="-3"/>
        </w:rPr>
        <w:t xml:space="preserve"> </w:t>
      </w:r>
      <w:r>
        <w:t>the</w:t>
      </w:r>
      <w:r w:rsidRPr="00880D8D">
        <w:rPr>
          <w:spacing w:val="-1"/>
        </w:rPr>
        <w:t xml:space="preserve"> </w:t>
      </w:r>
      <w:r>
        <w:t>way the common land is used by local people. The works</w:t>
      </w:r>
      <w:r w:rsidR="00186F89">
        <w:t xml:space="preserve"> </w:t>
      </w:r>
      <w:r w:rsidR="00DC30A6">
        <w:t>will</w:t>
      </w:r>
      <w:r w:rsidR="00186F89">
        <w:t xml:space="preserve"> create a natural style play space</w:t>
      </w:r>
      <w:r w:rsidR="00032686">
        <w:t>,</w:t>
      </w:r>
      <w:r w:rsidR="00186F89">
        <w:t xml:space="preserve"> </w:t>
      </w:r>
      <w:r w:rsidR="00032686">
        <w:t>using</w:t>
      </w:r>
      <w:r w:rsidR="00186F89">
        <w:t xml:space="preserve"> a derelict piece of land</w:t>
      </w:r>
      <w:r w:rsidR="00032686">
        <w:t>,</w:t>
      </w:r>
      <w:r w:rsidRPr="00032686" w:rsidR="00032686">
        <w:t xml:space="preserve"> </w:t>
      </w:r>
      <w:r w:rsidR="00032686">
        <w:t xml:space="preserve">for children to play and their </w:t>
      </w:r>
      <w:proofErr w:type="spellStart"/>
      <w:r w:rsidR="00032686">
        <w:t>carers</w:t>
      </w:r>
      <w:proofErr w:type="spellEnd"/>
      <w:r w:rsidR="00032686">
        <w:t xml:space="preserve"> to meet. The applicant has identified a shortage of play areas in the area</w:t>
      </w:r>
      <w:r w:rsidR="00D57DE1">
        <w:t xml:space="preserve"> and </w:t>
      </w:r>
      <w:r w:rsidR="00DC30A6">
        <w:t>has advised</w:t>
      </w:r>
      <w:r w:rsidR="00024D0F">
        <w:t xml:space="preserve"> that planning permission</w:t>
      </w:r>
      <w:r w:rsidR="00A0586D">
        <w:t xml:space="preserve"> (DC/22/128558)</w:t>
      </w:r>
      <w:r w:rsidR="00024D0F">
        <w:t xml:space="preserve"> has </w:t>
      </w:r>
      <w:r w:rsidR="00DC30A6">
        <w:t xml:space="preserve">been granted </w:t>
      </w:r>
      <w:r w:rsidR="00032686">
        <w:t xml:space="preserve">for </w:t>
      </w:r>
      <w:r w:rsidR="00300B3C">
        <w:t>the</w:t>
      </w:r>
      <w:r w:rsidR="00032686">
        <w:t xml:space="preserve"> works. </w:t>
      </w:r>
    </w:p>
    <w:p w:rsidR="00753896" w:rsidP="00880D8D" w:rsidRDefault="009D59FD" w14:paraId="743666F0" w14:textId="3B8D916C">
      <w:pPr>
        <w:pStyle w:val="ListParagraph"/>
        <w:numPr>
          <w:ilvl w:val="0"/>
          <w:numId w:val="2"/>
        </w:numPr>
        <w:spacing w:before="179"/>
        <w:ind w:right="404"/>
        <w:jc w:val="left"/>
      </w:pPr>
      <w:r>
        <w:t>I note that the works are supported by</w:t>
      </w:r>
      <w:r w:rsidR="009411F5">
        <w:t xml:space="preserve"> the</w:t>
      </w:r>
      <w:r>
        <w:t xml:space="preserve"> local community and </w:t>
      </w:r>
      <w:r w:rsidR="009411F5">
        <w:t>will provide a</w:t>
      </w:r>
      <w:r w:rsidR="00FB4585">
        <w:t xml:space="preserve"> valuable</w:t>
      </w:r>
      <w:r w:rsidR="00B76B8A">
        <w:t xml:space="preserve"> </w:t>
      </w:r>
      <w:r w:rsidR="009411F5">
        <w:t>amenity</w:t>
      </w:r>
      <w:r w:rsidR="00FB4585">
        <w:t xml:space="preserve"> that is currently lacking in this location</w:t>
      </w:r>
      <w:r w:rsidR="00353E85">
        <w:t xml:space="preserve">. I </w:t>
      </w:r>
      <w:r w:rsidR="009411F5">
        <w:t>am satisfied</w:t>
      </w:r>
      <w:r w:rsidR="00353E85">
        <w:t xml:space="preserve"> that the works will improve </w:t>
      </w:r>
      <w:r w:rsidR="00B76B8A">
        <w:t>recreation</w:t>
      </w:r>
      <w:r w:rsidR="00A5451C">
        <w:t xml:space="preserve"> on the </w:t>
      </w:r>
      <w:r w:rsidR="006C480F">
        <w:t>common</w:t>
      </w:r>
      <w:r w:rsidR="00353E85">
        <w:t xml:space="preserve">, particularly for young children and their </w:t>
      </w:r>
      <w:proofErr w:type="spellStart"/>
      <w:r w:rsidR="00353E85">
        <w:t>carers</w:t>
      </w:r>
      <w:proofErr w:type="spellEnd"/>
      <w:r w:rsidR="00A5451C">
        <w:t>,</w:t>
      </w:r>
      <w:r w:rsidR="00FB4585">
        <w:t xml:space="preserve"> and will not interfere with </w:t>
      </w:r>
      <w:r w:rsidR="0097054E">
        <w:t>other</w:t>
      </w:r>
      <w:r w:rsidR="00FB4585">
        <w:t xml:space="preserve"> way</w:t>
      </w:r>
      <w:r w:rsidR="0097054E">
        <w:t>s in which</w:t>
      </w:r>
      <w:r w:rsidR="00FB4585">
        <w:t xml:space="preserve"> the common is used by local people</w:t>
      </w:r>
      <w:r w:rsidR="0097054E">
        <w:t>, such as access</w:t>
      </w:r>
      <w:r w:rsidR="00B76B8A">
        <w:t>.</w:t>
      </w:r>
      <w:r w:rsidR="00353E85">
        <w:t xml:space="preserve"> I </w:t>
      </w:r>
      <w:r w:rsidR="00803B20">
        <w:t xml:space="preserve">conclude that the works will benefit the interests of the </w:t>
      </w:r>
      <w:proofErr w:type="spellStart"/>
      <w:r w:rsidR="00803B20">
        <w:t>neighbourhood</w:t>
      </w:r>
      <w:proofErr w:type="spellEnd"/>
      <w:r w:rsidR="00803B20">
        <w:t xml:space="preserve"> and wi</w:t>
      </w:r>
      <w:r w:rsidR="00FB4585">
        <w:t>ll maintain</w:t>
      </w:r>
      <w:r w:rsidR="00803B20">
        <w:t xml:space="preserve"> public rights of access.</w:t>
      </w:r>
    </w:p>
    <w:p w:rsidR="00753896" w:rsidRDefault="00803B20" w14:paraId="6617F248" w14:textId="77777777">
      <w:pPr>
        <w:pStyle w:val="Heading2"/>
      </w:pPr>
      <w:r>
        <w:t>Conservation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landscape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conservation</w:t>
      </w:r>
      <w:r>
        <w:rPr>
          <w:spacing w:val="-4"/>
        </w:rPr>
        <w:t xml:space="preserve"> </w:t>
      </w:r>
      <w:r>
        <w:rPr>
          <w:spacing w:val="-2"/>
        </w:rPr>
        <w:t>interests</w:t>
      </w:r>
    </w:p>
    <w:p w:rsidR="003A336F" w:rsidP="003A336F" w:rsidRDefault="003A336F" w14:paraId="6BEE75A8" w14:textId="38E0CBAE">
      <w:pPr>
        <w:pStyle w:val="BodyText"/>
        <w:tabs>
          <w:tab w:val="left" w:pos="583"/>
        </w:tabs>
        <w:spacing w:before="179"/>
        <w:ind w:right="354" w:hanging="425"/>
      </w:pPr>
      <w:r>
        <w:rPr>
          <w:spacing w:val="-6"/>
        </w:rPr>
        <w:t>10</w:t>
      </w:r>
      <w:r w:rsidR="00803B20">
        <w:rPr>
          <w:spacing w:val="-6"/>
        </w:rPr>
        <w:t>.</w:t>
      </w:r>
      <w:r w:rsidR="00803B20">
        <w:tab/>
      </w:r>
      <w:r w:rsidR="00803B20">
        <w:t xml:space="preserve">The applicant explains that the </w:t>
      </w:r>
      <w:r w:rsidR="003E56A4">
        <w:t xml:space="preserve">works cover a triangular </w:t>
      </w:r>
      <w:r w:rsidR="00186F89">
        <w:t>area</w:t>
      </w:r>
      <w:r w:rsidR="003E56A4">
        <w:t xml:space="preserve"> of</w:t>
      </w:r>
      <w:r w:rsidR="00186F89">
        <w:t xml:space="preserve"> currently derelict</w:t>
      </w:r>
      <w:r w:rsidR="003E56A4">
        <w:t xml:space="preserve"> land</w:t>
      </w:r>
      <w:r w:rsidR="00A5451C">
        <w:t>,</w:t>
      </w:r>
      <w:r w:rsidR="0009217E">
        <w:t xml:space="preserve"> at the edge of the </w:t>
      </w:r>
      <w:r w:rsidR="00515606">
        <w:t>common</w:t>
      </w:r>
      <w:r w:rsidR="009411F5">
        <w:t xml:space="preserve"> and are part of a scheme to regenerate former changing rooms.</w:t>
      </w:r>
      <w:r w:rsidR="003E56A4">
        <w:t xml:space="preserve"> </w:t>
      </w:r>
      <w:r w:rsidR="007B39B0">
        <w:t>The</w:t>
      </w:r>
      <w:r w:rsidR="00D55372">
        <w:t xml:space="preserve"> play area is designed from n</w:t>
      </w:r>
      <w:r w:rsidR="007B39B0">
        <w:t>atural</w:t>
      </w:r>
      <w:r w:rsidR="00873C1A">
        <w:t xml:space="preserve"> and reclaimed</w:t>
      </w:r>
      <w:r w:rsidR="007B39B0">
        <w:t xml:space="preserve"> materials</w:t>
      </w:r>
      <w:r w:rsidR="00A5451C">
        <w:t xml:space="preserve"> including</w:t>
      </w:r>
      <w:r w:rsidR="007B39B0">
        <w:t xml:space="preserve"> </w:t>
      </w:r>
      <w:r w:rsidR="00873C1A">
        <w:t xml:space="preserve">logs, </w:t>
      </w:r>
      <w:r w:rsidR="007B39B0">
        <w:t>timber and stone which can be removed or interchanged as required</w:t>
      </w:r>
      <w:r w:rsidR="00D55372">
        <w:t xml:space="preserve">. The works, which include the retention of existing trees and additional planting, will help create a more diverse habitat, </w:t>
      </w:r>
      <w:r w:rsidR="00032686">
        <w:t>screen an existing building</w:t>
      </w:r>
      <w:r w:rsidR="00D55372">
        <w:t xml:space="preserve"> and </w:t>
      </w:r>
      <w:r w:rsidR="00A5451C">
        <w:t>are</w:t>
      </w:r>
      <w:r w:rsidR="00D55372">
        <w:t xml:space="preserve"> in keeping with the landscape while being barely visible from the </w:t>
      </w:r>
      <w:r w:rsidR="001D4D3E">
        <w:t>common</w:t>
      </w:r>
      <w:r w:rsidR="00D55372">
        <w:t>.</w:t>
      </w:r>
    </w:p>
    <w:p w:rsidR="00753896" w:rsidP="003A336F" w:rsidRDefault="003A336F" w14:paraId="714392D8" w14:textId="6D06685A">
      <w:pPr>
        <w:pStyle w:val="BodyText"/>
        <w:tabs>
          <w:tab w:val="left" w:pos="583"/>
        </w:tabs>
        <w:spacing w:before="179"/>
        <w:ind w:right="354" w:hanging="425"/>
      </w:pPr>
      <w:r>
        <w:t>11.</w:t>
      </w:r>
      <w:r w:rsidR="00DC30A6">
        <w:t xml:space="preserve"> </w:t>
      </w:r>
      <w:r w:rsidR="00803B20">
        <w:t>NE</w:t>
      </w:r>
      <w:r w:rsidRPr="003A336F" w:rsidR="00803B20">
        <w:rPr>
          <w:spacing w:val="-3"/>
        </w:rPr>
        <w:t xml:space="preserve"> </w:t>
      </w:r>
      <w:r w:rsidR="00186F89">
        <w:t>does not object to the works</w:t>
      </w:r>
      <w:r w:rsidR="00556605">
        <w:t xml:space="preserve"> and comments that there are potential benefits to nature conservation</w:t>
      </w:r>
      <w:r w:rsidR="00422F00">
        <w:t xml:space="preserve"> as the current levels of biodiversity could be improved following completion of planned works to introduce a variety of plants and plant fruit trees and seeds sourced locally from the </w:t>
      </w:r>
      <w:r w:rsidR="00A430EA">
        <w:t>common</w:t>
      </w:r>
      <w:r w:rsidR="00186F89">
        <w:t>.</w:t>
      </w:r>
      <w:r w:rsidR="009411F5">
        <w:t xml:space="preserve"> </w:t>
      </w:r>
      <w:r w:rsidR="00803B20">
        <w:t xml:space="preserve">I </w:t>
      </w:r>
      <w:r w:rsidR="00422F00">
        <w:t>conclude</w:t>
      </w:r>
      <w:r w:rsidR="00803B20">
        <w:t xml:space="preserve"> that the works </w:t>
      </w:r>
      <w:r w:rsidR="00422F00">
        <w:t>may offer some benefits to</w:t>
      </w:r>
      <w:r w:rsidR="00803B20">
        <w:t xml:space="preserve"> nature conservation interests and </w:t>
      </w:r>
      <w:r w:rsidR="00D629DC">
        <w:t xml:space="preserve">are likely to </w:t>
      </w:r>
      <w:r w:rsidR="00803B20">
        <w:t xml:space="preserve">enhance the landscape value of the </w:t>
      </w:r>
      <w:r w:rsidRPr="003A336F" w:rsidR="00803B20">
        <w:rPr>
          <w:spacing w:val="-2"/>
        </w:rPr>
        <w:t>common.</w:t>
      </w:r>
    </w:p>
    <w:p w:rsidR="00753896" w:rsidRDefault="00803B20" w14:paraId="48656A3F" w14:textId="77777777">
      <w:pPr>
        <w:pStyle w:val="Heading2"/>
      </w:pPr>
      <w:r>
        <w:t>Archaeological</w:t>
      </w:r>
      <w:r>
        <w:rPr>
          <w:spacing w:val="-11"/>
        </w:rPr>
        <w:t xml:space="preserve"> </w:t>
      </w:r>
      <w:r>
        <w:t>remains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features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historic</w:t>
      </w:r>
      <w:r>
        <w:rPr>
          <w:spacing w:val="-8"/>
        </w:rPr>
        <w:t xml:space="preserve"> </w:t>
      </w:r>
      <w:r>
        <w:rPr>
          <w:spacing w:val="-2"/>
        </w:rPr>
        <w:t>interest</w:t>
      </w:r>
    </w:p>
    <w:p w:rsidR="00753896" w:rsidP="003A336F" w:rsidRDefault="00803B20" w14:paraId="75A9BD70" w14:textId="26ECD873">
      <w:pPr>
        <w:pStyle w:val="ListParagraph"/>
        <w:numPr>
          <w:ilvl w:val="0"/>
          <w:numId w:val="4"/>
        </w:numPr>
        <w:tabs>
          <w:tab w:val="left" w:pos="584"/>
        </w:tabs>
        <w:spacing w:before="179"/>
        <w:ind w:left="567" w:right="205" w:hanging="425"/>
      </w:pPr>
      <w:r>
        <w:t>Historic England did not wish to offer any comments on the proposal. I am satisfied that there</w:t>
      </w:r>
      <w:r w:rsidRPr="003A336F">
        <w:rPr>
          <w:spacing w:val="-3"/>
        </w:rPr>
        <w:t xml:space="preserve"> </w:t>
      </w:r>
      <w:r>
        <w:t>is</w:t>
      </w:r>
      <w:r w:rsidRPr="003A336F">
        <w:rPr>
          <w:spacing w:val="-3"/>
        </w:rPr>
        <w:t xml:space="preserve"> </w:t>
      </w:r>
      <w:r>
        <w:t>no</w:t>
      </w:r>
      <w:r w:rsidRPr="003A336F">
        <w:rPr>
          <w:spacing w:val="-3"/>
        </w:rPr>
        <w:t xml:space="preserve"> </w:t>
      </w:r>
      <w:r>
        <w:t>evidence</w:t>
      </w:r>
      <w:r w:rsidRPr="003A336F">
        <w:rPr>
          <w:spacing w:val="-2"/>
        </w:rPr>
        <w:t xml:space="preserve"> </w:t>
      </w:r>
      <w:r>
        <w:t>before</w:t>
      </w:r>
      <w:r w:rsidRPr="003A336F">
        <w:rPr>
          <w:spacing w:val="-2"/>
        </w:rPr>
        <w:t xml:space="preserve"> </w:t>
      </w:r>
      <w:r>
        <w:t>me</w:t>
      </w:r>
      <w:r w:rsidRPr="003A336F">
        <w:rPr>
          <w:spacing w:val="-2"/>
        </w:rPr>
        <w:t xml:space="preserve"> </w:t>
      </w:r>
      <w:r>
        <w:t>to</w:t>
      </w:r>
      <w:r w:rsidRPr="003A336F">
        <w:rPr>
          <w:spacing w:val="-2"/>
        </w:rPr>
        <w:t xml:space="preserve"> </w:t>
      </w:r>
      <w:r>
        <w:t>indicate</w:t>
      </w:r>
      <w:r w:rsidRPr="003A336F">
        <w:rPr>
          <w:spacing w:val="-2"/>
        </w:rPr>
        <w:t xml:space="preserve"> </w:t>
      </w:r>
      <w:r>
        <w:t>that</w:t>
      </w:r>
      <w:r w:rsidRPr="003A336F">
        <w:rPr>
          <w:spacing w:val="-3"/>
        </w:rPr>
        <w:t xml:space="preserve"> </w:t>
      </w:r>
      <w:r>
        <w:t>the</w:t>
      </w:r>
      <w:r w:rsidRPr="003A336F">
        <w:rPr>
          <w:spacing w:val="-3"/>
        </w:rPr>
        <w:t xml:space="preserve"> </w:t>
      </w:r>
      <w:r>
        <w:t>works</w:t>
      </w:r>
      <w:r w:rsidRPr="003A336F">
        <w:rPr>
          <w:spacing w:val="-3"/>
        </w:rPr>
        <w:t xml:space="preserve"> </w:t>
      </w:r>
      <w:r>
        <w:t>will</w:t>
      </w:r>
      <w:r w:rsidRPr="003A336F">
        <w:rPr>
          <w:spacing w:val="-4"/>
        </w:rPr>
        <w:t xml:space="preserve"> </w:t>
      </w:r>
      <w:r>
        <w:t>harm</w:t>
      </w:r>
      <w:r w:rsidRPr="003A336F">
        <w:rPr>
          <w:spacing w:val="-2"/>
        </w:rPr>
        <w:t xml:space="preserve"> </w:t>
      </w:r>
      <w:r>
        <w:t>archaeological</w:t>
      </w:r>
      <w:r w:rsidRPr="003A336F">
        <w:rPr>
          <w:spacing w:val="-4"/>
        </w:rPr>
        <w:t xml:space="preserve"> </w:t>
      </w:r>
      <w:r>
        <w:t>remains and features of historic interests.</w:t>
      </w:r>
    </w:p>
    <w:p w:rsidR="00753896" w:rsidRDefault="00803B20" w14:paraId="0BD567A1" w14:textId="77777777">
      <w:pPr>
        <w:pStyle w:val="Heading1"/>
        <w:spacing w:before="179"/>
      </w:pPr>
      <w:r>
        <w:rPr>
          <w:spacing w:val="-2"/>
        </w:rPr>
        <w:t>Conclusion</w:t>
      </w:r>
    </w:p>
    <w:p w:rsidR="008D3544" w:rsidP="003A336F" w:rsidRDefault="00803B20" w14:paraId="29D092F5" w14:textId="491E4924">
      <w:pPr>
        <w:pStyle w:val="ListParagraph"/>
        <w:numPr>
          <w:ilvl w:val="0"/>
          <w:numId w:val="4"/>
        </w:numPr>
        <w:tabs>
          <w:tab w:val="left" w:pos="584"/>
        </w:tabs>
        <w:spacing w:before="182"/>
        <w:ind w:left="567" w:right="179" w:hanging="425"/>
      </w:pPr>
      <w:r>
        <w:t xml:space="preserve">I conclude that the works are likely to benefit the interests of the </w:t>
      </w:r>
      <w:proofErr w:type="spellStart"/>
      <w:r>
        <w:t>neighbourhood</w:t>
      </w:r>
      <w:proofErr w:type="spellEnd"/>
      <w:r w:rsidR="00D629DC">
        <w:rPr>
          <w:spacing w:val="-2"/>
        </w:rPr>
        <w:t>,</w:t>
      </w:r>
      <w:r w:rsidRPr="003A336F">
        <w:rPr>
          <w:spacing w:val="-3"/>
        </w:rPr>
        <w:t xml:space="preserve"> </w:t>
      </w:r>
      <w:r>
        <w:t>public</w:t>
      </w:r>
      <w:r w:rsidRPr="003A336F">
        <w:rPr>
          <w:spacing w:val="-2"/>
        </w:rPr>
        <w:t xml:space="preserve"> </w:t>
      </w:r>
      <w:r>
        <w:t>rights</w:t>
      </w:r>
      <w:r w:rsidRPr="003A336F">
        <w:rPr>
          <w:spacing w:val="-2"/>
        </w:rPr>
        <w:t xml:space="preserve"> </w:t>
      </w:r>
      <w:r>
        <w:t>of</w:t>
      </w:r>
      <w:r w:rsidRPr="003A336F">
        <w:rPr>
          <w:spacing w:val="-3"/>
        </w:rPr>
        <w:t xml:space="preserve"> </w:t>
      </w:r>
      <w:r>
        <w:t>access</w:t>
      </w:r>
      <w:r w:rsidR="00422F00">
        <w:t>, nature conservation</w:t>
      </w:r>
      <w:r w:rsidRPr="003A336F">
        <w:rPr>
          <w:spacing w:val="-1"/>
        </w:rPr>
        <w:t xml:space="preserve"> </w:t>
      </w:r>
      <w:r>
        <w:t>and</w:t>
      </w:r>
      <w:r w:rsidRPr="003A336F">
        <w:rPr>
          <w:spacing w:val="-2"/>
        </w:rPr>
        <w:t xml:space="preserve"> </w:t>
      </w:r>
      <w:r w:rsidR="00D629DC">
        <w:rPr>
          <w:spacing w:val="-2"/>
        </w:rPr>
        <w:t xml:space="preserve">the landscape </w:t>
      </w:r>
      <w:r w:rsidR="00422F00">
        <w:rPr>
          <w:spacing w:val="-2"/>
        </w:rPr>
        <w:t xml:space="preserve">and </w:t>
      </w:r>
      <w:r>
        <w:t>will</w:t>
      </w:r>
      <w:r w:rsidRPr="003A336F">
        <w:rPr>
          <w:spacing w:val="-3"/>
        </w:rPr>
        <w:t xml:space="preserve"> </w:t>
      </w:r>
      <w:r>
        <w:t>not</w:t>
      </w:r>
      <w:r w:rsidRPr="003A336F">
        <w:rPr>
          <w:spacing w:val="-3"/>
        </w:rPr>
        <w:t xml:space="preserve"> </w:t>
      </w:r>
      <w:r w:rsidR="00816474">
        <w:rPr>
          <w:spacing w:val="-3"/>
        </w:rPr>
        <w:t>harm</w:t>
      </w:r>
      <w:r w:rsidRPr="003A336F">
        <w:rPr>
          <w:spacing w:val="-2"/>
        </w:rPr>
        <w:t xml:space="preserve"> </w:t>
      </w:r>
      <w:r>
        <w:t>the</w:t>
      </w:r>
      <w:r w:rsidRPr="003A336F">
        <w:rPr>
          <w:spacing w:val="-1"/>
        </w:rPr>
        <w:t xml:space="preserve"> </w:t>
      </w:r>
      <w:r>
        <w:t>other</w:t>
      </w:r>
      <w:r w:rsidRPr="003A336F">
        <w:rPr>
          <w:spacing w:val="-3"/>
        </w:rPr>
        <w:t xml:space="preserve"> </w:t>
      </w:r>
      <w:r>
        <w:t>interests</w:t>
      </w:r>
      <w:r w:rsidRPr="003A336F">
        <w:rPr>
          <w:spacing w:val="-2"/>
        </w:rPr>
        <w:t xml:space="preserve"> </w:t>
      </w:r>
      <w:r>
        <w:t>set</w:t>
      </w:r>
      <w:r w:rsidRPr="003A336F">
        <w:rPr>
          <w:spacing w:val="-2"/>
        </w:rPr>
        <w:t xml:space="preserve"> </w:t>
      </w:r>
      <w:r>
        <w:t>out</w:t>
      </w:r>
      <w:r w:rsidRPr="003A336F">
        <w:rPr>
          <w:spacing w:val="-3"/>
        </w:rPr>
        <w:t xml:space="preserve"> </w:t>
      </w:r>
      <w:r>
        <w:t>in paragraph</w:t>
      </w:r>
      <w:r w:rsidRPr="003A336F">
        <w:rPr>
          <w:spacing w:val="-2"/>
        </w:rPr>
        <w:t xml:space="preserve"> </w:t>
      </w:r>
      <w:r>
        <w:t>6 above. Consent</w:t>
      </w:r>
      <w:r w:rsidRPr="003A336F">
        <w:rPr>
          <w:spacing w:val="-2"/>
        </w:rPr>
        <w:t xml:space="preserve"> </w:t>
      </w:r>
      <w:r>
        <w:t>for</w:t>
      </w:r>
      <w:r w:rsidRPr="003A336F">
        <w:rPr>
          <w:spacing w:val="-2"/>
        </w:rPr>
        <w:t xml:space="preserve"> </w:t>
      </w:r>
      <w:r>
        <w:t>the</w:t>
      </w:r>
      <w:r w:rsidRPr="003A336F">
        <w:rPr>
          <w:spacing w:val="-1"/>
        </w:rPr>
        <w:t xml:space="preserve"> </w:t>
      </w:r>
      <w:r>
        <w:t>works</w:t>
      </w:r>
      <w:r w:rsidRPr="003A336F">
        <w:rPr>
          <w:spacing w:val="-1"/>
        </w:rPr>
        <w:t xml:space="preserve"> </w:t>
      </w:r>
      <w:r>
        <w:t>is</w:t>
      </w:r>
      <w:r w:rsidRPr="003A336F">
        <w:rPr>
          <w:spacing w:val="-1"/>
        </w:rPr>
        <w:t xml:space="preserve"> </w:t>
      </w:r>
      <w:r>
        <w:t>therefore granted</w:t>
      </w:r>
      <w:r w:rsidRPr="003A336F">
        <w:rPr>
          <w:spacing w:val="-2"/>
        </w:rPr>
        <w:t xml:space="preserve"> </w:t>
      </w:r>
      <w:r>
        <w:t>subject</w:t>
      </w:r>
      <w:r w:rsidRPr="003A336F">
        <w:rPr>
          <w:spacing w:val="-1"/>
        </w:rPr>
        <w:t xml:space="preserve"> </w:t>
      </w:r>
      <w:r>
        <w:t>to</w:t>
      </w:r>
      <w:r w:rsidRPr="003A336F">
        <w:rPr>
          <w:spacing w:val="-1"/>
        </w:rPr>
        <w:t xml:space="preserve"> </w:t>
      </w:r>
      <w:r>
        <w:t>the condition</w:t>
      </w:r>
      <w:r w:rsidRPr="003A336F">
        <w:rPr>
          <w:spacing w:val="-2"/>
        </w:rPr>
        <w:t xml:space="preserve"> </w:t>
      </w:r>
      <w:r>
        <w:t>set out at paragraph 1</w:t>
      </w:r>
      <w:r w:rsidR="008D3544">
        <w:t>.</w:t>
      </w:r>
    </w:p>
    <w:p w:rsidR="008D3544" w:rsidP="008D3544" w:rsidRDefault="008D3544" w14:paraId="1C1A5842" w14:textId="77777777">
      <w:pPr>
        <w:tabs>
          <w:tab w:val="left" w:pos="584"/>
        </w:tabs>
        <w:spacing w:before="182"/>
        <w:ind w:right="179"/>
      </w:pPr>
    </w:p>
    <w:p w:rsidR="008D3544" w:rsidP="008D3544" w:rsidRDefault="008D3544" w14:paraId="7A07D3ED" w14:textId="1807EB41">
      <w:pPr>
        <w:tabs>
          <w:tab w:val="left" w:pos="584"/>
        </w:tabs>
        <w:spacing w:before="182"/>
        <w:ind w:right="179"/>
      </w:pPr>
      <w:r>
        <w:rPr>
          <w:rFonts w:ascii="Monotype Corsiva"/>
          <w:b/>
          <w:i/>
          <w:sz w:val="36"/>
        </w:rPr>
        <w:t>Richard</w:t>
      </w:r>
      <w:r>
        <w:rPr>
          <w:rFonts w:ascii="Monotype Corsiva"/>
          <w:b/>
          <w:i/>
          <w:spacing w:val="-15"/>
          <w:sz w:val="36"/>
        </w:rPr>
        <w:t xml:space="preserve"> </w:t>
      </w:r>
      <w:r>
        <w:rPr>
          <w:rFonts w:ascii="Monotype Corsiva"/>
          <w:b/>
          <w:i/>
          <w:spacing w:val="-2"/>
          <w:sz w:val="36"/>
        </w:rPr>
        <w:t>Holland</w:t>
      </w:r>
    </w:p>
    <w:p w:rsidR="008D3544" w:rsidP="008D3544" w:rsidRDefault="008D3544" w14:paraId="34FC668C" w14:textId="77777777">
      <w:pPr>
        <w:tabs>
          <w:tab w:val="left" w:pos="584"/>
        </w:tabs>
        <w:spacing w:before="182"/>
        <w:ind w:right="179"/>
      </w:pPr>
    </w:p>
    <w:p w:rsidR="008D3544" w:rsidP="008D3544" w:rsidRDefault="008D3544" w14:paraId="040285A1" w14:textId="77777777">
      <w:pPr>
        <w:tabs>
          <w:tab w:val="left" w:pos="584"/>
        </w:tabs>
        <w:spacing w:before="182"/>
        <w:ind w:right="179"/>
      </w:pPr>
    </w:p>
    <w:p w:rsidR="008D3544" w:rsidP="008D3544" w:rsidRDefault="008D3544" w14:paraId="1E5A288F" w14:textId="51F6CC25">
      <w:pPr>
        <w:tabs>
          <w:tab w:val="left" w:pos="584"/>
        </w:tabs>
        <w:spacing w:before="182"/>
        <w:ind w:right="179"/>
        <w:sectPr w:rsidR="008D3544" w:rsidSect="007E44B4">
          <w:pgSz w:w="11910" w:h="16840"/>
          <w:pgMar w:top="620" w:right="853" w:bottom="280" w:left="420" w:header="720" w:footer="720" w:gutter="0"/>
          <w:cols w:space="720"/>
        </w:sectPr>
      </w:pPr>
    </w:p>
    <w:p w:rsidR="00753896" w:rsidP="0037512B" w:rsidRDefault="0012464D" w14:paraId="2D19B5A4" w14:textId="4694D660">
      <w:pPr>
        <w:pStyle w:val="BodyText"/>
        <w:ind w:left="0"/>
        <w:rPr>
          <w:rFonts w:ascii="Monotype Corsiva"/>
          <w:sz w:val="20"/>
        </w:rPr>
      </w:pPr>
      <w:r w:rsidRPr="0012464D">
        <w:rPr>
          <w:rFonts w:ascii="Monotype Corsiva"/>
          <w:noProof/>
          <w:sz w:val="20"/>
        </w:rPr>
        <w:lastRenderedPageBreak/>
        <w:drawing>
          <wp:inline distT="0" distB="0" distL="0" distR="0" wp14:anchorId="1EDB084F" wp14:editId="7ED7EE28">
            <wp:extent cx="8735855" cy="6453505"/>
            <wp:effectExtent l="0" t="1905" r="6350" b="63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77424" cy="648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896" w:rsidSect="00920B08">
      <w:pgSz w:w="11910" w:h="16840"/>
      <w:pgMar w:top="280" w:right="420" w:bottom="2665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5E08"/>
    <w:multiLevelType w:val="hybridMultilevel"/>
    <w:tmpl w:val="433496CA"/>
    <w:lvl w:ilvl="0" w:tplc="38626F60">
      <w:start w:val="10"/>
      <w:numFmt w:val="decimal"/>
      <w:lvlText w:val="%1."/>
      <w:lvlJc w:val="left"/>
      <w:pPr>
        <w:ind w:left="583" w:hanging="425"/>
      </w:pPr>
      <w:rPr>
        <w:rFonts w:hint="default" w:ascii="Verdana" w:hAnsi="Verdana" w:eastAsia="Verdana" w:cs="Verdana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2D41DD8">
      <w:numFmt w:val="bullet"/>
      <w:lvlText w:val="•"/>
      <w:lvlJc w:val="left"/>
      <w:pPr>
        <w:ind w:left="1608" w:hanging="425"/>
      </w:pPr>
      <w:rPr>
        <w:rFonts w:hint="default"/>
        <w:lang w:val="en-US" w:eastAsia="en-US" w:bidi="ar-SA"/>
      </w:rPr>
    </w:lvl>
    <w:lvl w:ilvl="2" w:tplc="2B84AB48">
      <w:numFmt w:val="bullet"/>
      <w:lvlText w:val="•"/>
      <w:lvlJc w:val="left"/>
      <w:pPr>
        <w:ind w:left="2637" w:hanging="425"/>
      </w:pPr>
      <w:rPr>
        <w:rFonts w:hint="default"/>
        <w:lang w:val="en-US" w:eastAsia="en-US" w:bidi="ar-SA"/>
      </w:rPr>
    </w:lvl>
    <w:lvl w:ilvl="3" w:tplc="93908E28">
      <w:numFmt w:val="bullet"/>
      <w:lvlText w:val="•"/>
      <w:lvlJc w:val="left"/>
      <w:pPr>
        <w:ind w:left="3665" w:hanging="425"/>
      </w:pPr>
      <w:rPr>
        <w:rFonts w:hint="default"/>
        <w:lang w:val="en-US" w:eastAsia="en-US" w:bidi="ar-SA"/>
      </w:rPr>
    </w:lvl>
    <w:lvl w:ilvl="4" w:tplc="3E6AD5AC">
      <w:numFmt w:val="bullet"/>
      <w:lvlText w:val="•"/>
      <w:lvlJc w:val="left"/>
      <w:pPr>
        <w:ind w:left="4694" w:hanging="425"/>
      </w:pPr>
      <w:rPr>
        <w:rFonts w:hint="default"/>
        <w:lang w:val="en-US" w:eastAsia="en-US" w:bidi="ar-SA"/>
      </w:rPr>
    </w:lvl>
    <w:lvl w:ilvl="5" w:tplc="E3B8B55A">
      <w:numFmt w:val="bullet"/>
      <w:lvlText w:val="•"/>
      <w:lvlJc w:val="left"/>
      <w:pPr>
        <w:ind w:left="5723" w:hanging="425"/>
      </w:pPr>
      <w:rPr>
        <w:rFonts w:hint="default"/>
        <w:lang w:val="en-US" w:eastAsia="en-US" w:bidi="ar-SA"/>
      </w:rPr>
    </w:lvl>
    <w:lvl w:ilvl="6" w:tplc="AC085F04">
      <w:numFmt w:val="bullet"/>
      <w:lvlText w:val="•"/>
      <w:lvlJc w:val="left"/>
      <w:pPr>
        <w:ind w:left="6751" w:hanging="425"/>
      </w:pPr>
      <w:rPr>
        <w:rFonts w:hint="default"/>
        <w:lang w:val="en-US" w:eastAsia="en-US" w:bidi="ar-SA"/>
      </w:rPr>
    </w:lvl>
    <w:lvl w:ilvl="7" w:tplc="AB127156">
      <w:numFmt w:val="bullet"/>
      <w:lvlText w:val="•"/>
      <w:lvlJc w:val="left"/>
      <w:pPr>
        <w:ind w:left="7780" w:hanging="425"/>
      </w:pPr>
      <w:rPr>
        <w:rFonts w:hint="default"/>
        <w:lang w:val="en-US" w:eastAsia="en-US" w:bidi="ar-SA"/>
      </w:rPr>
    </w:lvl>
    <w:lvl w:ilvl="8" w:tplc="497EF96C">
      <w:numFmt w:val="bullet"/>
      <w:lvlText w:val="•"/>
      <w:lvlJc w:val="left"/>
      <w:pPr>
        <w:ind w:left="8809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46E175C0"/>
    <w:multiLevelType w:val="hybridMultilevel"/>
    <w:tmpl w:val="5F2A2DF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11C4"/>
    <w:multiLevelType w:val="hybridMultilevel"/>
    <w:tmpl w:val="62385A36"/>
    <w:lvl w:ilvl="0" w:tplc="3F2AB8AE">
      <w:numFmt w:val="bullet"/>
      <w:lvlText w:val=""/>
      <w:lvlJc w:val="left"/>
      <w:pPr>
        <w:ind w:left="58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D5436C0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2" w:tplc="F1C8401C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D318D0FE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4" w:tplc="1A00E966">
      <w:numFmt w:val="bullet"/>
      <w:lvlText w:val="•"/>
      <w:lvlJc w:val="left"/>
      <w:pPr>
        <w:ind w:left="4694" w:hanging="360"/>
      </w:pPr>
      <w:rPr>
        <w:rFonts w:hint="default"/>
        <w:lang w:val="en-US" w:eastAsia="en-US" w:bidi="ar-SA"/>
      </w:rPr>
    </w:lvl>
    <w:lvl w:ilvl="5" w:tplc="7E90BD4E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6" w:tplc="F9B89662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ar-SA"/>
      </w:rPr>
    </w:lvl>
    <w:lvl w:ilvl="7" w:tplc="C80C112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175A42DA"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F121D50"/>
    <w:multiLevelType w:val="hybridMultilevel"/>
    <w:tmpl w:val="94CCF2A4"/>
    <w:lvl w:ilvl="0" w:tplc="14A8CFEA">
      <w:start w:val="1"/>
      <w:numFmt w:val="decimal"/>
      <w:lvlText w:val="%1."/>
      <w:lvlJc w:val="left"/>
      <w:pPr>
        <w:ind w:left="583" w:hanging="425"/>
        <w:jc w:val="righ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9E685D0">
      <w:start w:val="1"/>
      <w:numFmt w:val="lowerLetter"/>
      <w:lvlText w:val="%2."/>
      <w:lvlJc w:val="left"/>
      <w:pPr>
        <w:ind w:left="1008" w:hanging="282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0B087E76">
      <w:numFmt w:val="bullet"/>
      <w:lvlText w:val="•"/>
      <w:lvlJc w:val="left"/>
      <w:pPr>
        <w:ind w:left="2096" w:hanging="282"/>
      </w:pPr>
      <w:rPr>
        <w:rFonts w:hint="default"/>
        <w:lang w:val="en-US" w:eastAsia="en-US" w:bidi="ar-SA"/>
      </w:rPr>
    </w:lvl>
    <w:lvl w:ilvl="3" w:tplc="EE1095B4">
      <w:numFmt w:val="bullet"/>
      <w:lvlText w:val="•"/>
      <w:lvlJc w:val="left"/>
      <w:pPr>
        <w:ind w:left="3192" w:hanging="282"/>
      </w:pPr>
      <w:rPr>
        <w:rFonts w:hint="default"/>
        <w:lang w:val="en-US" w:eastAsia="en-US" w:bidi="ar-SA"/>
      </w:rPr>
    </w:lvl>
    <w:lvl w:ilvl="4" w:tplc="A112A7A0">
      <w:numFmt w:val="bullet"/>
      <w:lvlText w:val="•"/>
      <w:lvlJc w:val="left"/>
      <w:pPr>
        <w:ind w:left="4288" w:hanging="282"/>
      </w:pPr>
      <w:rPr>
        <w:rFonts w:hint="default"/>
        <w:lang w:val="en-US" w:eastAsia="en-US" w:bidi="ar-SA"/>
      </w:rPr>
    </w:lvl>
    <w:lvl w:ilvl="5" w:tplc="3844DC98">
      <w:numFmt w:val="bullet"/>
      <w:lvlText w:val="•"/>
      <w:lvlJc w:val="left"/>
      <w:pPr>
        <w:ind w:left="5385" w:hanging="282"/>
      </w:pPr>
      <w:rPr>
        <w:rFonts w:hint="default"/>
        <w:lang w:val="en-US" w:eastAsia="en-US" w:bidi="ar-SA"/>
      </w:rPr>
    </w:lvl>
    <w:lvl w:ilvl="6" w:tplc="748452E0">
      <w:numFmt w:val="bullet"/>
      <w:lvlText w:val="•"/>
      <w:lvlJc w:val="left"/>
      <w:pPr>
        <w:ind w:left="6481" w:hanging="282"/>
      </w:pPr>
      <w:rPr>
        <w:rFonts w:hint="default"/>
        <w:lang w:val="en-US" w:eastAsia="en-US" w:bidi="ar-SA"/>
      </w:rPr>
    </w:lvl>
    <w:lvl w:ilvl="7" w:tplc="DAD6D744">
      <w:numFmt w:val="bullet"/>
      <w:lvlText w:val="•"/>
      <w:lvlJc w:val="left"/>
      <w:pPr>
        <w:ind w:left="7577" w:hanging="282"/>
      </w:pPr>
      <w:rPr>
        <w:rFonts w:hint="default"/>
        <w:lang w:val="en-US" w:eastAsia="en-US" w:bidi="ar-SA"/>
      </w:rPr>
    </w:lvl>
    <w:lvl w:ilvl="8" w:tplc="D19A8CAA">
      <w:numFmt w:val="bullet"/>
      <w:lvlText w:val="•"/>
      <w:lvlJc w:val="left"/>
      <w:pPr>
        <w:ind w:left="8673" w:hanging="282"/>
      </w:pPr>
      <w:rPr>
        <w:rFonts w:hint="default"/>
        <w:lang w:val="en-US" w:eastAsia="en-US" w:bidi="ar-SA"/>
      </w:rPr>
    </w:lvl>
  </w:abstractNum>
  <w:num w:numId="1" w16cid:durableId="957686409">
    <w:abstractNumId w:val="0"/>
  </w:num>
  <w:num w:numId="2" w16cid:durableId="1815172248">
    <w:abstractNumId w:val="3"/>
  </w:num>
  <w:num w:numId="3" w16cid:durableId="1732539579">
    <w:abstractNumId w:val="2"/>
  </w:num>
  <w:num w:numId="4" w16cid:durableId="22723031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96"/>
    <w:rsid w:val="00024D0F"/>
    <w:rsid w:val="00032686"/>
    <w:rsid w:val="00067288"/>
    <w:rsid w:val="0009217E"/>
    <w:rsid w:val="0012464D"/>
    <w:rsid w:val="00154EF7"/>
    <w:rsid w:val="00186F89"/>
    <w:rsid w:val="001D4D3E"/>
    <w:rsid w:val="001D7499"/>
    <w:rsid w:val="00205B4E"/>
    <w:rsid w:val="002142EC"/>
    <w:rsid w:val="002C7E07"/>
    <w:rsid w:val="00300B3C"/>
    <w:rsid w:val="003160B3"/>
    <w:rsid w:val="00353E85"/>
    <w:rsid w:val="0037512B"/>
    <w:rsid w:val="003A336F"/>
    <w:rsid w:val="003E56A4"/>
    <w:rsid w:val="00422F00"/>
    <w:rsid w:val="004D08AA"/>
    <w:rsid w:val="00515606"/>
    <w:rsid w:val="00556605"/>
    <w:rsid w:val="00616036"/>
    <w:rsid w:val="00684DB9"/>
    <w:rsid w:val="006C480F"/>
    <w:rsid w:val="00725ACE"/>
    <w:rsid w:val="00726D71"/>
    <w:rsid w:val="00753896"/>
    <w:rsid w:val="007A0210"/>
    <w:rsid w:val="007B39B0"/>
    <w:rsid w:val="007E44B4"/>
    <w:rsid w:val="007F4BA1"/>
    <w:rsid w:val="00803B20"/>
    <w:rsid w:val="00816474"/>
    <w:rsid w:val="0084636C"/>
    <w:rsid w:val="008512A3"/>
    <w:rsid w:val="00873C1A"/>
    <w:rsid w:val="00880D8D"/>
    <w:rsid w:val="00884A1A"/>
    <w:rsid w:val="008C3A32"/>
    <w:rsid w:val="008D3544"/>
    <w:rsid w:val="00920B08"/>
    <w:rsid w:val="009411F5"/>
    <w:rsid w:val="00950F72"/>
    <w:rsid w:val="0097054E"/>
    <w:rsid w:val="009D59FD"/>
    <w:rsid w:val="00A0586D"/>
    <w:rsid w:val="00A430EA"/>
    <w:rsid w:val="00A5451C"/>
    <w:rsid w:val="00AD0B1A"/>
    <w:rsid w:val="00B474D5"/>
    <w:rsid w:val="00B539A1"/>
    <w:rsid w:val="00B76B8A"/>
    <w:rsid w:val="00BB0026"/>
    <w:rsid w:val="00BF1EA0"/>
    <w:rsid w:val="00C36001"/>
    <w:rsid w:val="00C81B6B"/>
    <w:rsid w:val="00D55372"/>
    <w:rsid w:val="00D57DE1"/>
    <w:rsid w:val="00D629DC"/>
    <w:rsid w:val="00D75AF8"/>
    <w:rsid w:val="00DC30A6"/>
    <w:rsid w:val="00E96524"/>
    <w:rsid w:val="00F52201"/>
    <w:rsid w:val="00F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6305"/>
  <w15:docId w15:val="{7870365B-699C-4980-BD0C-A7ED7FCDC0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Verdana" w:hAnsi="Verdana" w:eastAsia="Verdana" w:cs="Verdana"/>
    </w:rPr>
  </w:style>
  <w:style w:type="paragraph" w:styleId="Heading1">
    <w:name w:val="heading 1"/>
    <w:basedOn w:val="Normal"/>
    <w:uiPriority w:val="9"/>
    <w:qFormat/>
    <w:pPr>
      <w:ind w:left="158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81"/>
      <w:ind w:left="158"/>
      <w:outlineLvl w:val="1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3"/>
    </w:pPr>
  </w:style>
  <w:style w:type="paragraph" w:styleId="ListParagraph">
    <w:name w:val="List Paragraph"/>
    <w:basedOn w:val="Normal"/>
    <w:uiPriority w:val="1"/>
    <w:qFormat/>
    <w:pPr>
      <w:ind w:left="583" w:hanging="425"/>
    </w:pPr>
  </w:style>
  <w:style w:type="paragraph" w:styleId="TableParagraph" w:customStyle="1">
    <w:name w:val="Table Paragraph"/>
    <w:basedOn w:val="Normal"/>
    <w:uiPriority w:val="1"/>
    <w:qFormat/>
    <w:pPr>
      <w:spacing w:before="1"/>
      <w:ind w:left="14"/>
    </w:pPr>
  </w:style>
  <w:style w:type="paragraph" w:styleId="Revision">
    <w:name w:val="Revision"/>
    <w:hidden/>
    <w:uiPriority w:val="99"/>
    <w:semiHidden/>
    <w:rsid w:val="003160B3"/>
    <w:pPr>
      <w:widowControl/>
      <w:autoSpaceDE/>
      <w:autoSpaceDN/>
    </w:pPr>
    <w:rPr>
      <w:rFonts w:ascii="Verdana" w:hAnsi="Verdana" w:eastAsia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950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F7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50F72"/>
    <w:rPr>
      <w:rFonts w:ascii="Verdana" w:hAnsi="Verdana" w:eastAsia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F7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0F72"/>
    <w:rPr>
      <w:rFonts w:ascii="Verdana" w:hAnsi="Verdana" w:eastAsia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e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  <SharedWithUsers xmlns="9a4cad7d-cde0-4c4b-9900-a6ca365b2969">
      <UserInfo>
        <DisplayName>Holland, Richard</DisplayName>
        <AccountId>39</AccountId>
        <AccountType/>
      </UserInfo>
      <UserInfo>
        <DisplayName>Margoum, Naoual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795C4-C500-4914-B7C8-781BC7079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38A77-E51B-4B16-8468-20A70F41B85E}">
  <ds:schemaRefs>
    <ds:schemaRef ds:uri="171a6d4e-846b-4045-8024-24f3590889e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a4cad7d-cde0-4c4b-9900-a6ca365b29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9C8428-4CCF-44D9-B13B-653501EA7B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954</Words>
  <Characters>4842</Characters>
  <Application>Microsoft Office Word</Application>
  <DocSecurity>0</DocSecurity>
  <Lines>96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Hollan_r2</dc:creator>
  <cp:lastModifiedBy>Margoum, Naoual</cp:lastModifiedBy>
  <cp:revision>47</cp:revision>
  <dcterms:created xsi:type="dcterms:W3CDTF">2023-01-31T11:37:00Z</dcterms:created>
  <dcterms:modified xsi:type="dcterms:W3CDTF">2023-02-21T08:03:00Z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0x0101002AA54CDEF871A647AC44520C841F1B03</vt:lpwstr>
  </property>
  <property fmtid="{D5CDD505-2E9C-101B-9397-08002B2CF9AE}" pid="7" name="MediaServiceImageTags">
    <vt:lpwstr/>
  </property>
</Properties>
</file>