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ACA16" w14:textId="05BA522A" w:rsidR="0043710B" w:rsidRDefault="00E002E5">
      <w:pPr>
        <w:spacing w:after="0" w:line="240" w:lineRule="auto"/>
        <w:rPr>
          <w:rFonts w:ascii="Arial" w:hAnsi="Arial" w:cs="Arial"/>
          <w:sz w:val="24"/>
          <w:szCs w:val="24"/>
        </w:rPr>
      </w:pPr>
      <w:r w:rsidRPr="00E002E5">
        <w:rPr>
          <w:rFonts w:cs="Arial"/>
          <w:noProof/>
          <w:sz w:val="24"/>
          <w:lang w:eastAsia="en-GB"/>
        </w:rPr>
        <mc:AlternateContent>
          <mc:Choice Requires="wps">
            <w:drawing>
              <wp:anchor distT="45720" distB="45720" distL="114300" distR="114300" simplePos="0" relativeHeight="251660288" behindDoc="0" locked="0" layoutInCell="1" allowOverlap="1" wp14:anchorId="57EECD3A" wp14:editId="337970C5">
                <wp:simplePos x="0" y="0"/>
                <wp:positionH relativeFrom="column">
                  <wp:posOffset>3314700</wp:posOffset>
                </wp:positionH>
                <wp:positionV relativeFrom="paragraph">
                  <wp:posOffset>9114790</wp:posOffset>
                </wp:positionV>
                <wp:extent cx="1914525" cy="390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9052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65A4FE3D" w14:textId="2D858003" w:rsidR="00E8497D" w:rsidRPr="00E002E5" w:rsidRDefault="00E8497D" w:rsidP="00E002E5">
                            <w:pPr>
                              <w:rPr>
                                <w:b/>
                                <w:color w:val="FFFFFF" w:themeColor="background1"/>
                                <w:sz w:val="32"/>
                              </w:rPr>
                            </w:pPr>
                            <w:r w:rsidRPr="00E002E5">
                              <w:rPr>
                                <w:b/>
                                <w:color w:val="FFFFFF" w:themeColor="background1"/>
                                <w:sz w:val="32"/>
                              </w:rPr>
                              <w:t>Second Edition 202</w:t>
                            </w:r>
                            <w:r w:rsidR="009A62BB">
                              <w:rPr>
                                <w:b/>
                                <w:color w:val="FFFFFF" w:themeColor="background1"/>
                                <w:sz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ECD3A" id="_x0000_t202" coordsize="21600,21600" o:spt="202" path="m,l,21600r21600,l21600,xe">
                <v:stroke joinstyle="miter"/>
                <v:path gradientshapeok="t" o:connecttype="rect"/>
              </v:shapetype>
              <v:shape id="Text Box 2" o:spid="_x0000_s1026" type="#_x0000_t202" style="position:absolute;margin-left:261pt;margin-top:717.7pt;width:150.75pt;height:3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" fillcolor="black [3200]" strokecolor="black [1600]" strokeweight="1pt">
                <v:textbox>
                  <w:txbxContent>
                    <w:p w14:paraId="65A4FE3D" w14:textId="2D858003" w:rsidR="00E8497D" w:rsidRPr="00E002E5" w:rsidRDefault="00E8497D" w:rsidP="00E002E5">
                      <w:pPr>
                        <w:rPr>
                          <w:b/>
                          <w:color w:val="FFFFFF" w:themeColor="background1"/>
                          <w:sz w:val="32"/>
                        </w:rPr>
                      </w:pPr>
                      <w:r w:rsidRPr="00E002E5">
                        <w:rPr>
                          <w:b/>
                          <w:color w:val="FFFFFF" w:themeColor="background1"/>
                          <w:sz w:val="32"/>
                        </w:rPr>
                        <w:t>Second Edition 202</w:t>
                      </w:r>
                      <w:r w:rsidR="009A62BB">
                        <w:rPr>
                          <w:b/>
                          <w:color w:val="FFFFFF" w:themeColor="background1"/>
                          <w:sz w:val="32"/>
                        </w:rPr>
                        <w:t>2</w:t>
                      </w:r>
                    </w:p>
                  </w:txbxContent>
                </v:textbox>
                <w10:wrap type="square"/>
              </v:shape>
            </w:pict>
          </mc:Fallback>
        </mc:AlternateContent>
      </w:r>
      <w:r w:rsidR="00D870BE">
        <w:rPr>
          <w:rFonts w:ascii="Arial" w:hAnsi="Arial" w:cs="Arial"/>
          <w:noProof/>
          <w:sz w:val="24"/>
          <w:szCs w:val="24"/>
          <w:lang w:eastAsia="en-GB"/>
        </w:rPr>
        <w:drawing>
          <wp:anchor distT="0" distB="0" distL="114300" distR="114300" simplePos="0" relativeHeight="251658240" behindDoc="0" locked="0" layoutInCell="1" allowOverlap="1" wp14:anchorId="5AA45C32" wp14:editId="529CA185">
            <wp:simplePos x="914400" y="914400"/>
            <wp:positionH relativeFrom="page">
              <wp:posOffset>0</wp:posOffset>
            </wp:positionH>
            <wp:positionV relativeFrom="page">
              <wp:posOffset>0</wp:posOffset>
            </wp:positionV>
            <wp:extent cx="7656830" cy="1072642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manual cover (2019).jpe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656830" cy="1072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10B">
        <w:rPr>
          <w:rFonts w:ascii="Arial" w:hAnsi="Arial" w:cs="Arial"/>
          <w:sz w:val="24"/>
          <w:szCs w:val="24"/>
        </w:rPr>
        <w:br w:type="page"/>
      </w:r>
    </w:p>
    <w:p w14:paraId="06377EB2" w14:textId="707B35F0" w:rsidR="0043710B" w:rsidRDefault="0043710B">
      <w:pPr>
        <w:spacing w:after="0" w:line="240" w:lineRule="auto"/>
        <w:rPr>
          <w:rFonts w:ascii="Arial" w:hAnsi="Arial" w:cs="Arial"/>
          <w:sz w:val="24"/>
          <w:szCs w:val="24"/>
        </w:rPr>
      </w:pPr>
    </w:p>
    <w:p w14:paraId="1A0417D5" w14:textId="77777777" w:rsidR="00EC778C" w:rsidRDefault="00EC778C" w:rsidP="001F12C1">
      <w:pPr>
        <w:tabs>
          <w:tab w:val="center" w:pos="4156"/>
          <w:tab w:val="left" w:pos="6663"/>
        </w:tabs>
        <w:spacing w:after="0" w:line="240" w:lineRule="auto"/>
        <w:jc w:val="both"/>
        <w:rPr>
          <w:rFonts w:ascii="Arial" w:hAnsi="Arial" w:cs="Arial"/>
          <w:sz w:val="24"/>
          <w:szCs w:val="24"/>
        </w:rPr>
        <w:sectPr w:rsidR="00EC778C" w:rsidSect="002115EE">
          <w:footerReference w:type="even" r:id="rId12"/>
          <w:footerReference w:type="default" r:id="rId13"/>
          <w:pgSz w:w="11906" w:h="16838" w:code="9"/>
          <w:pgMar w:top="1440" w:right="1440" w:bottom="568" w:left="1440" w:header="709" w:footer="170" w:gutter="0"/>
          <w:cols w:space="708"/>
          <w:vAlign w:val="center"/>
          <w:titlePg/>
          <w:docGrid w:linePitch="360"/>
        </w:sectPr>
      </w:pPr>
    </w:p>
    <w:p w14:paraId="2A12FD74" w14:textId="77777777" w:rsidR="005474F7" w:rsidRPr="00993DAF" w:rsidRDefault="00F81443" w:rsidP="00EC778C">
      <w:pPr>
        <w:spacing w:line="360" w:lineRule="auto"/>
        <w:jc w:val="center"/>
        <w:rPr>
          <w:rFonts w:ascii="Arial" w:hAnsi="Arial" w:cs="Arial"/>
          <w:b/>
          <w:sz w:val="24"/>
          <w:szCs w:val="24"/>
        </w:rPr>
      </w:pPr>
      <w:r w:rsidRPr="00993DAF">
        <w:rPr>
          <w:rFonts w:ascii="Arial" w:hAnsi="Arial" w:cs="Arial"/>
          <w:b/>
          <w:sz w:val="24"/>
          <w:szCs w:val="24"/>
        </w:rPr>
        <w:lastRenderedPageBreak/>
        <w:t>Contents</w:t>
      </w:r>
    </w:p>
    <w:p w14:paraId="35921206" w14:textId="77777777" w:rsidR="005474F7" w:rsidRPr="00DB405E" w:rsidRDefault="005474F7" w:rsidP="00DB405E"/>
    <w:p w14:paraId="7CCB3816" w14:textId="5F2374E9" w:rsidR="00316350" w:rsidRDefault="00D25F7D">
      <w:pPr>
        <w:pStyle w:val="TOC1"/>
        <w:tabs>
          <w:tab w:val="right" w:leader="dot" w:pos="9016"/>
        </w:tabs>
        <w:rPr>
          <w:rFonts w:asciiTheme="minorHAnsi" w:eastAsiaTheme="minorEastAsia" w:hAnsiTheme="minorHAnsi" w:cstheme="minorBidi"/>
          <w:b w:val="0"/>
          <w:noProof/>
          <w:szCs w:val="22"/>
          <w:lang w:eastAsia="en-GB"/>
        </w:rPr>
      </w:pPr>
      <w:r>
        <w:rPr>
          <w:rFonts w:cs="Arial"/>
          <w:sz w:val="24"/>
        </w:rPr>
        <w:fldChar w:fldCharType="begin"/>
      </w:r>
      <w:r>
        <w:rPr>
          <w:rFonts w:cs="Arial"/>
          <w:sz w:val="24"/>
        </w:rPr>
        <w:instrText xml:space="preserve"> TOC \o "1-1" \h \z \t "Heading 2,2,Heading 3,3,ParaLevel2,2,ParaLevel3,3" </w:instrText>
      </w:r>
      <w:r>
        <w:rPr>
          <w:rFonts w:cs="Arial"/>
          <w:sz w:val="24"/>
        </w:rPr>
        <w:fldChar w:fldCharType="separate"/>
      </w:r>
      <w:hyperlink w:anchor="_Toc3904876" w:history="1">
        <w:r w:rsidR="00316350" w:rsidRPr="00B55E80">
          <w:rPr>
            <w:rStyle w:val="Hyperlink"/>
            <w:noProof/>
          </w:rPr>
          <w:t>Foreword by the Attorney General</w:t>
        </w:r>
        <w:r w:rsidR="00316350">
          <w:rPr>
            <w:noProof/>
            <w:webHidden/>
          </w:rPr>
          <w:tab/>
        </w:r>
        <w:r w:rsidR="00316350">
          <w:rPr>
            <w:noProof/>
            <w:webHidden/>
          </w:rPr>
          <w:fldChar w:fldCharType="begin"/>
        </w:r>
        <w:r w:rsidR="00316350">
          <w:rPr>
            <w:noProof/>
            <w:webHidden/>
          </w:rPr>
          <w:instrText xml:space="preserve"> PAGEREF _Toc3904876 \h </w:instrText>
        </w:r>
        <w:r w:rsidR="00316350">
          <w:rPr>
            <w:noProof/>
            <w:webHidden/>
          </w:rPr>
        </w:r>
        <w:r w:rsidR="00316350">
          <w:rPr>
            <w:noProof/>
            <w:webHidden/>
          </w:rPr>
          <w:fldChar w:fldCharType="separate"/>
        </w:r>
        <w:r w:rsidR="00316350">
          <w:rPr>
            <w:noProof/>
            <w:webHidden/>
          </w:rPr>
          <w:t>5</w:t>
        </w:r>
        <w:r w:rsidR="00316350">
          <w:rPr>
            <w:noProof/>
            <w:webHidden/>
          </w:rPr>
          <w:fldChar w:fldCharType="end"/>
        </w:r>
      </w:hyperlink>
    </w:p>
    <w:p w14:paraId="1B33AF83" w14:textId="6B609339" w:rsidR="00316350" w:rsidRDefault="00000000">
      <w:pPr>
        <w:pStyle w:val="TOC1"/>
        <w:tabs>
          <w:tab w:val="right" w:leader="dot" w:pos="9016"/>
        </w:tabs>
        <w:rPr>
          <w:rFonts w:asciiTheme="minorHAnsi" w:eastAsiaTheme="minorEastAsia" w:hAnsiTheme="minorHAnsi" w:cstheme="minorBidi"/>
          <w:b w:val="0"/>
          <w:noProof/>
          <w:szCs w:val="22"/>
          <w:lang w:eastAsia="en-GB"/>
        </w:rPr>
      </w:pPr>
      <w:hyperlink w:anchor="_Toc3904877" w:history="1">
        <w:r w:rsidR="00316350" w:rsidRPr="00B55E80">
          <w:rPr>
            <w:rStyle w:val="Hyperlink"/>
            <w:noProof/>
          </w:rPr>
          <w:t>PART I – Introduction</w:t>
        </w:r>
        <w:r w:rsidR="00316350">
          <w:rPr>
            <w:noProof/>
            <w:webHidden/>
          </w:rPr>
          <w:tab/>
        </w:r>
        <w:r w:rsidR="00316350">
          <w:rPr>
            <w:noProof/>
            <w:webHidden/>
          </w:rPr>
          <w:fldChar w:fldCharType="begin"/>
        </w:r>
        <w:r w:rsidR="00316350">
          <w:rPr>
            <w:noProof/>
            <w:webHidden/>
          </w:rPr>
          <w:instrText xml:space="preserve"> PAGEREF _Toc3904877 \h </w:instrText>
        </w:r>
        <w:r w:rsidR="00316350">
          <w:rPr>
            <w:noProof/>
            <w:webHidden/>
          </w:rPr>
        </w:r>
        <w:r w:rsidR="00316350">
          <w:rPr>
            <w:noProof/>
            <w:webHidden/>
          </w:rPr>
          <w:fldChar w:fldCharType="separate"/>
        </w:r>
        <w:r w:rsidR="00316350">
          <w:rPr>
            <w:noProof/>
            <w:webHidden/>
          </w:rPr>
          <w:t>6</w:t>
        </w:r>
        <w:r w:rsidR="00316350">
          <w:rPr>
            <w:noProof/>
            <w:webHidden/>
          </w:rPr>
          <w:fldChar w:fldCharType="end"/>
        </w:r>
      </w:hyperlink>
    </w:p>
    <w:p w14:paraId="28E0F076" w14:textId="5DCCB375" w:rsidR="00316350" w:rsidRDefault="00000000">
      <w:pPr>
        <w:pStyle w:val="TOC2"/>
        <w:rPr>
          <w:rFonts w:asciiTheme="minorHAnsi" w:eastAsiaTheme="minorEastAsia" w:hAnsiTheme="minorHAnsi" w:cstheme="minorBidi"/>
          <w:szCs w:val="22"/>
          <w:lang w:eastAsia="en-GB"/>
        </w:rPr>
      </w:pPr>
      <w:hyperlink w:anchor="_Toc3904878" w:history="1">
        <w:r w:rsidR="00316350" w:rsidRPr="00B55E80">
          <w:rPr>
            <w:rStyle w:val="Hyperlink"/>
          </w:rPr>
          <w:t>Glossary</w:t>
        </w:r>
        <w:r w:rsidR="00316350">
          <w:rPr>
            <w:webHidden/>
          </w:rPr>
          <w:tab/>
        </w:r>
        <w:r w:rsidR="00316350">
          <w:rPr>
            <w:webHidden/>
          </w:rPr>
          <w:fldChar w:fldCharType="begin"/>
        </w:r>
        <w:r w:rsidR="00316350">
          <w:rPr>
            <w:webHidden/>
          </w:rPr>
          <w:instrText xml:space="preserve"> PAGEREF _Toc3904878 \h </w:instrText>
        </w:r>
        <w:r w:rsidR="00316350">
          <w:rPr>
            <w:webHidden/>
          </w:rPr>
        </w:r>
        <w:r w:rsidR="00316350">
          <w:rPr>
            <w:webHidden/>
          </w:rPr>
          <w:fldChar w:fldCharType="separate"/>
        </w:r>
        <w:r w:rsidR="00316350">
          <w:rPr>
            <w:webHidden/>
          </w:rPr>
          <w:t>7</w:t>
        </w:r>
        <w:r w:rsidR="00316350">
          <w:rPr>
            <w:webHidden/>
          </w:rPr>
          <w:fldChar w:fldCharType="end"/>
        </w:r>
      </w:hyperlink>
    </w:p>
    <w:p w14:paraId="5875975D" w14:textId="39439422" w:rsidR="00316350" w:rsidRDefault="00000000">
      <w:pPr>
        <w:pStyle w:val="TOC1"/>
        <w:tabs>
          <w:tab w:val="right" w:leader="dot" w:pos="9016"/>
        </w:tabs>
        <w:rPr>
          <w:rFonts w:asciiTheme="minorHAnsi" w:eastAsiaTheme="minorEastAsia" w:hAnsiTheme="minorHAnsi" w:cstheme="minorBidi"/>
          <w:b w:val="0"/>
          <w:noProof/>
          <w:szCs w:val="22"/>
          <w:lang w:eastAsia="en-GB"/>
        </w:rPr>
      </w:pPr>
      <w:hyperlink w:anchor="_Toc3904879" w:history="1">
        <w:r w:rsidR="00316350" w:rsidRPr="00B55E80">
          <w:rPr>
            <w:rStyle w:val="Hyperlink"/>
            <w:noProof/>
          </w:rPr>
          <w:t>PART II – A Brief History and Overview</w:t>
        </w:r>
        <w:r w:rsidR="00316350">
          <w:rPr>
            <w:noProof/>
            <w:webHidden/>
          </w:rPr>
          <w:tab/>
        </w:r>
        <w:r w:rsidR="00316350">
          <w:rPr>
            <w:noProof/>
            <w:webHidden/>
          </w:rPr>
          <w:fldChar w:fldCharType="begin"/>
        </w:r>
        <w:r w:rsidR="00316350">
          <w:rPr>
            <w:noProof/>
            <w:webHidden/>
          </w:rPr>
          <w:instrText xml:space="preserve"> PAGEREF _Toc3904879 \h </w:instrText>
        </w:r>
        <w:r w:rsidR="00316350">
          <w:rPr>
            <w:noProof/>
            <w:webHidden/>
          </w:rPr>
        </w:r>
        <w:r w:rsidR="00316350">
          <w:rPr>
            <w:noProof/>
            <w:webHidden/>
          </w:rPr>
          <w:fldChar w:fldCharType="separate"/>
        </w:r>
        <w:r w:rsidR="00316350">
          <w:rPr>
            <w:noProof/>
            <w:webHidden/>
          </w:rPr>
          <w:t>10</w:t>
        </w:r>
        <w:r w:rsidR="00316350">
          <w:rPr>
            <w:noProof/>
            <w:webHidden/>
          </w:rPr>
          <w:fldChar w:fldCharType="end"/>
        </w:r>
      </w:hyperlink>
    </w:p>
    <w:p w14:paraId="323CA2FA" w14:textId="0F8C11A0" w:rsidR="00316350" w:rsidRDefault="00000000">
      <w:pPr>
        <w:pStyle w:val="TOC2"/>
        <w:rPr>
          <w:rFonts w:asciiTheme="minorHAnsi" w:eastAsiaTheme="minorEastAsia" w:hAnsiTheme="minorHAnsi" w:cstheme="minorBidi"/>
          <w:szCs w:val="22"/>
          <w:lang w:eastAsia="en-GB"/>
        </w:rPr>
      </w:pPr>
      <w:hyperlink w:anchor="_Toc3904880" w:history="1">
        <w:r w:rsidR="00316350" w:rsidRPr="00B55E80">
          <w:rPr>
            <w:rStyle w:val="Hyperlink"/>
          </w:rPr>
          <w:t>The creation of the role of Special Advocate</w:t>
        </w:r>
        <w:r w:rsidR="00316350">
          <w:rPr>
            <w:webHidden/>
          </w:rPr>
          <w:tab/>
        </w:r>
        <w:r w:rsidR="00316350">
          <w:rPr>
            <w:webHidden/>
          </w:rPr>
          <w:fldChar w:fldCharType="begin"/>
        </w:r>
        <w:r w:rsidR="00316350">
          <w:rPr>
            <w:webHidden/>
          </w:rPr>
          <w:instrText xml:space="preserve"> PAGEREF _Toc3904880 \h </w:instrText>
        </w:r>
        <w:r w:rsidR="00316350">
          <w:rPr>
            <w:webHidden/>
          </w:rPr>
        </w:r>
        <w:r w:rsidR="00316350">
          <w:rPr>
            <w:webHidden/>
          </w:rPr>
          <w:fldChar w:fldCharType="separate"/>
        </w:r>
        <w:r w:rsidR="00316350">
          <w:rPr>
            <w:webHidden/>
          </w:rPr>
          <w:t>10</w:t>
        </w:r>
        <w:r w:rsidR="00316350">
          <w:rPr>
            <w:webHidden/>
          </w:rPr>
          <w:fldChar w:fldCharType="end"/>
        </w:r>
      </w:hyperlink>
    </w:p>
    <w:p w14:paraId="5B4522A4" w14:textId="0360A8FA" w:rsidR="00316350" w:rsidRDefault="00000000">
      <w:pPr>
        <w:pStyle w:val="TOC2"/>
        <w:rPr>
          <w:rFonts w:asciiTheme="minorHAnsi" w:eastAsiaTheme="minorEastAsia" w:hAnsiTheme="minorHAnsi" w:cstheme="minorBidi"/>
          <w:szCs w:val="22"/>
          <w:lang w:eastAsia="en-GB"/>
        </w:rPr>
      </w:pPr>
      <w:hyperlink w:anchor="_Toc3904881" w:history="1">
        <w:r w:rsidR="00316350" w:rsidRPr="00B55E80">
          <w:rPr>
            <w:rStyle w:val="Hyperlink"/>
          </w:rPr>
          <w:t>Post-1997: the Special Immigration Appeals Commission</w:t>
        </w:r>
        <w:r w:rsidR="00316350">
          <w:rPr>
            <w:webHidden/>
          </w:rPr>
          <w:tab/>
        </w:r>
        <w:r w:rsidR="00316350">
          <w:rPr>
            <w:webHidden/>
          </w:rPr>
          <w:fldChar w:fldCharType="begin"/>
        </w:r>
        <w:r w:rsidR="00316350">
          <w:rPr>
            <w:webHidden/>
          </w:rPr>
          <w:instrText xml:space="preserve"> PAGEREF _Toc3904881 \h </w:instrText>
        </w:r>
        <w:r w:rsidR="00316350">
          <w:rPr>
            <w:webHidden/>
          </w:rPr>
        </w:r>
        <w:r w:rsidR="00316350">
          <w:rPr>
            <w:webHidden/>
          </w:rPr>
          <w:fldChar w:fldCharType="separate"/>
        </w:r>
        <w:r w:rsidR="00316350">
          <w:rPr>
            <w:webHidden/>
          </w:rPr>
          <w:t>11</w:t>
        </w:r>
        <w:r w:rsidR="00316350">
          <w:rPr>
            <w:webHidden/>
          </w:rPr>
          <w:fldChar w:fldCharType="end"/>
        </w:r>
      </w:hyperlink>
    </w:p>
    <w:p w14:paraId="064ED4E8" w14:textId="0A8E06F1" w:rsidR="00316350" w:rsidRDefault="00000000">
      <w:pPr>
        <w:pStyle w:val="TOC2"/>
        <w:rPr>
          <w:rFonts w:asciiTheme="minorHAnsi" w:eastAsiaTheme="minorEastAsia" w:hAnsiTheme="minorHAnsi" w:cstheme="minorBidi"/>
          <w:szCs w:val="22"/>
          <w:lang w:eastAsia="en-GB"/>
        </w:rPr>
      </w:pPr>
      <w:hyperlink w:anchor="_Toc3904882" w:history="1">
        <w:r w:rsidR="00316350" w:rsidRPr="00B55E80">
          <w:rPr>
            <w:rStyle w:val="Hyperlink"/>
          </w:rPr>
          <w:t>Post-1997: the use of Special Advocates outside of SIAC</w:t>
        </w:r>
        <w:r w:rsidR="00316350">
          <w:rPr>
            <w:webHidden/>
          </w:rPr>
          <w:tab/>
        </w:r>
        <w:r w:rsidR="00316350">
          <w:rPr>
            <w:webHidden/>
          </w:rPr>
          <w:fldChar w:fldCharType="begin"/>
        </w:r>
        <w:r w:rsidR="00316350">
          <w:rPr>
            <w:webHidden/>
          </w:rPr>
          <w:instrText xml:space="preserve"> PAGEREF _Toc3904882 \h </w:instrText>
        </w:r>
        <w:r w:rsidR="00316350">
          <w:rPr>
            <w:webHidden/>
          </w:rPr>
        </w:r>
        <w:r w:rsidR="00316350">
          <w:rPr>
            <w:webHidden/>
          </w:rPr>
          <w:fldChar w:fldCharType="separate"/>
        </w:r>
        <w:r w:rsidR="00316350">
          <w:rPr>
            <w:webHidden/>
          </w:rPr>
          <w:t>12</w:t>
        </w:r>
        <w:r w:rsidR="00316350">
          <w:rPr>
            <w:webHidden/>
          </w:rPr>
          <w:fldChar w:fldCharType="end"/>
        </w:r>
      </w:hyperlink>
    </w:p>
    <w:p w14:paraId="194A8E44" w14:textId="1BA17493" w:rsidR="00316350" w:rsidRDefault="00000000">
      <w:pPr>
        <w:pStyle w:val="TOC1"/>
        <w:tabs>
          <w:tab w:val="right" w:leader="dot" w:pos="9016"/>
        </w:tabs>
        <w:rPr>
          <w:rFonts w:asciiTheme="minorHAnsi" w:eastAsiaTheme="minorEastAsia" w:hAnsiTheme="minorHAnsi" w:cstheme="minorBidi"/>
          <w:b w:val="0"/>
          <w:noProof/>
          <w:szCs w:val="22"/>
          <w:lang w:eastAsia="en-GB"/>
        </w:rPr>
      </w:pPr>
      <w:hyperlink w:anchor="_Toc3904883" w:history="1">
        <w:r w:rsidR="00316350" w:rsidRPr="00B55E80">
          <w:rPr>
            <w:rStyle w:val="Hyperlink"/>
            <w:noProof/>
          </w:rPr>
          <w:t>Part III – Special Advocates and CLOSED material</w:t>
        </w:r>
        <w:r w:rsidR="00316350">
          <w:rPr>
            <w:noProof/>
            <w:webHidden/>
          </w:rPr>
          <w:tab/>
        </w:r>
        <w:r w:rsidR="00316350">
          <w:rPr>
            <w:noProof/>
            <w:webHidden/>
          </w:rPr>
          <w:fldChar w:fldCharType="begin"/>
        </w:r>
        <w:r w:rsidR="00316350">
          <w:rPr>
            <w:noProof/>
            <w:webHidden/>
          </w:rPr>
          <w:instrText xml:space="preserve"> PAGEREF _Toc3904883 \h </w:instrText>
        </w:r>
        <w:r w:rsidR="00316350">
          <w:rPr>
            <w:noProof/>
            <w:webHidden/>
          </w:rPr>
        </w:r>
        <w:r w:rsidR="00316350">
          <w:rPr>
            <w:noProof/>
            <w:webHidden/>
          </w:rPr>
          <w:fldChar w:fldCharType="separate"/>
        </w:r>
        <w:r w:rsidR="00316350">
          <w:rPr>
            <w:noProof/>
            <w:webHidden/>
          </w:rPr>
          <w:t>13</w:t>
        </w:r>
        <w:r w:rsidR="00316350">
          <w:rPr>
            <w:noProof/>
            <w:webHidden/>
          </w:rPr>
          <w:fldChar w:fldCharType="end"/>
        </w:r>
      </w:hyperlink>
    </w:p>
    <w:p w14:paraId="5C409334" w14:textId="0A679B86" w:rsidR="00316350" w:rsidRDefault="00000000">
      <w:pPr>
        <w:pStyle w:val="TOC2"/>
        <w:rPr>
          <w:rFonts w:asciiTheme="minorHAnsi" w:eastAsiaTheme="minorEastAsia" w:hAnsiTheme="minorHAnsi" w:cstheme="minorBidi"/>
          <w:szCs w:val="22"/>
          <w:lang w:eastAsia="en-GB"/>
        </w:rPr>
      </w:pPr>
      <w:hyperlink w:anchor="_Toc3904884" w:history="1">
        <w:r w:rsidR="00316350" w:rsidRPr="00B55E80">
          <w:rPr>
            <w:rStyle w:val="Hyperlink"/>
          </w:rPr>
          <w:t>Recruitment of Special Advocates</w:t>
        </w:r>
        <w:r w:rsidR="00316350">
          <w:rPr>
            <w:webHidden/>
          </w:rPr>
          <w:tab/>
        </w:r>
        <w:r w:rsidR="00316350">
          <w:rPr>
            <w:webHidden/>
          </w:rPr>
          <w:fldChar w:fldCharType="begin"/>
        </w:r>
        <w:r w:rsidR="00316350">
          <w:rPr>
            <w:webHidden/>
          </w:rPr>
          <w:instrText xml:space="preserve"> PAGEREF _Toc3904884 \h </w:instrText>
        </w:r>
        <w:r w:rsidR="00316350">
          <w:rPr>
            <w:webHidden/>
          </w:rPr>
        </w:r>
        <w:r w:rsidR="00316350">
          <w:rPr>
            <w:webHidden/>
          </w:rPr>
          <w:fldChar w:fldCharType="separate"/>
        </w:r>
        <w:r w:rsidR="00316350">
          <w:rPr>
            <w:webHidden/>
          </w:rPr>
          <w:t>13</w:t>
        </w:r>
        <w:r w:rsidR="00316350">
          <w:rPr>
            <w:webHidden/>
          </w:rPr>
          <w:fldChar w:fldCharType="end"/>
        </w:r>
      </w:hyperlink>
    </w:p>
    <w:p w14:paraId="345C1D30" w14:textId="3C8ADCEF" w:rsidR="00316350" w:rsidRDefault="00000000">
      <w:pPr>
        <w:pStyle w:val="TOC2"/>
        <w:rPr>
          <w:rFonts w:asciiTheme="minorHAnsi" w:eastAsiaTheme="minorEastAsia" w:hAnsiTheme="minorHAnsi" w:cstheme="minorBidi"/>
          <w:szCs w:val="22"/>
          <w:lang w:eastAsia="en-GB"/>
        </w:rPr>
      </w:pPr>
      <w:hyperlink w:anchor="_Toc3904885" w:history="1">
        <w:r w:rsidR="00316350" w:rsidRPr="00B55E80">
          <w:rPr>
            <w:rStyle w:val="Hyperlink"/>
          </w:rPr>
          <w:t>Selection and nomination of a Special Advocate</w:t>
        </w:r>
        <w:r w:rsidR="00316350">
          <w:rPr>
            <w:webHidden/>
          </w:rPr>
          <w:tab/>
        </w:r>
        <w:r w:rsidR="00316350">
          <w:rPr>
            <w:webHidden/>
          </w:rPr>
          <w:fldChar w:fldCharType="begin"/>
        </w:r>
        <w:r w:rsidR="00316350">
          <w:rPr>
            <w:webHidden/>
          </w:rPr>
          <w:instrText xml:space="preserve"> PAGEREF _Toc3904885 \h </w:instrText>
        </w:r>
        <w:r w:rsidR="00316350">
          <w:rPr>
            <w:webHidden/>
          </w:rPr>
        </w:r>
        <w:r w:rsidR="00316350">
          <w:rPr>
            <w:webHidden/>
          </w:rPr>
          <w:fldChar w:fldCharType="separate"/>
        </w:r>
        <w:r w:rsidR="00316350">
          <w:rPr>
            <w:webHidden/>
          </w:rPr>
          <w:t>13</w:t>
        </w:r>
        <w:r w:rsidR="00316350">
          <w:rPr>
            <w:webHidden/>
          </w:rPr>
          <w:fldChar w:fldCharType="end"/>
        </w:r>
      </w:hyperlink>
    </w:p>
    <w:p w14:paraId="4CD89879" w14:textId="67711278" w:rsidR="00316350" w:rsidRDefault="00000000">
      <w:pPr>
        <w:pStyle w:val="TOC2"/>
        <w:rPr>
          <w:rFonts w:asciiTheme="minorHAnsi" w:eastAsiaTheme="minorEastAsia" w:hAnsiTheme="minorHAnsi" w:cstheme="minorBidi"/>
          <w:szCs w:val="22"/>
          <w:lang w:eastAsia="en-GB"/>
        </w:rPr>
      </w:pPr>
      <w:hyperlink w:anchor="_Toc3904886" w:history="1">
        <w:r w:rsidR="00316350" w:rsidRPr="00B55E80">
          <w:rPr>
            <w:rStyle w:val="Hyperlink"/>
          </w:rPr>
          <w:t>OPEN and CLOSED Material</w:t>
        </w:r>
        <w:r w:rsidR="00316350">
          <w:rPr>
            <w:webHidden/>
          </w:rPr>
          <w:tab/>
        </w:r>
        <w:r w:rsidR="00316350">
          <w:rPr>
            <w:webHidden/>
          </w:rPr>
          <w:fldChar w:fldCharType="begin"/>
        </w:r>
        <w:r w:rsidR="00316350">
          <w:rPr>
            <w:webHidden/>
          </w:rPr>
          <w:instrText xml:space="preserve"> PAGEREF _Toc3904886 \h </w:instrText>
        </w:r>
        <w:r w:rsidR="00316350">
          <w:rPr>
            <w:webHidden/>
          </w:rPr>
        </w:r>
        <w:r w:rsidR="00316350">
          <w:rPr>
            <w:webHidden/>
          </w:rPr>
          <w:fldChar w:fldCharType="separate"/>
        </w:r>
        <w:r w:rsidR="00316350">
          <w:rPr>
            <w:webHidden/>
          </w:rPr>
          <w:t>15</w:t>
        </w:r>
        <w:r w:rsidR="00316350">
          <w:rPr>
            <w:webHidden/>
          </w:rPr>
          <w:fldChar w:fldCharType="end"/>
        </w:r>
      </w:hyperlink>
    </w:p>
    <w:p w14:paraId="2C5E3239" w14:textId="2453CD94" w:rsidR="00316350" w:rsidRDefault="00000000">
      <w:pPr>
        <w:pStyle w:val="TOC2"/>
        <w:rPr>
          <w:rFonts w:asciiTheme="minorHAnsi" w:eastAsiaTheme="minorEastAsia" w:hAnsiTheme="minorHAnsi" w:cstheme="minorBidi"/>
          <w:szCs w:val="22"/>
          <w:lang w:eastAsia="en-GB"/>
        </w:rPr>
      </w:pPr>
      <w:hyperlink w:anchor="_Toc3904887" w:history="1">
        <w:r w:rsidR="00316350" w:rsidRPr="00B55E80">
          <w:rPr>
            <w:rStyle w:val="Hyperlink"/>
          </w:rPr>
          <w:t>Confidentiality rings and W (Algeria) Orders</w:t>
        </w:r>
        <w:r w:rsidR="00316350">
          <w:rPr>
            <w:webHidden/>
          </w:rPr>
          <w:tab/>
        </w:r>
        <w:r w:rsidR="00316350">
          <w:rPr>
            <w:webHidden/>
          </w:rPr>
          <w:fldChar w:fldCharType="begin"/>
        </w:r>
        <w:r w:rsidR="00316350">
          <w:rPr>
            <w:webHidden/>
          </w:rPr>
          <w:instrText xml:space="preserve"> PAGEREF _Toc3904887 \h </w:instrText>
        </w:r>
        <w:r w:rsidR="00316350">
          <w:rPr>
            <w:webHidden/>
          </w:rPr>
        </w:r>
        <w:r w:rsidR="00316350">
          <w:rPr>
            <w:webHidden/>
          </w:rPr>
          <w:fldChar w:fldCharType="separate"/>
        </w:r>
        <w:r w:rsidR="00316350">
          <w:rPr>
            <w:webHidden/>
          </w:rPr>
          <w:t>16</w:t>
        </w:r>
        <w:r w:rsidR="00316350">
          <w:rPr>
            <w:webHidden/>
          </w:rPr>
          <w:fldChar w:fldCharType="end"/>
        </w:r>
      </w:hyperlink>
    </w:p>
    <w:p w14:paraId="34B98D80" w14:textId="557226F3" w:rsidR="00316350" w:rsidRDefault="00000000">
      <w:pPr>
        <w:pStyle w:val="TOC2"/>
        <w:rPr>
          <w:rFonts w:asciiTheme="minorHAnsi" w:eastAsiaTheme="minorEastAsia" w:hAnsiTheme="minorHAnsi" w:cstheme="minorBidi"/>
          <w:szCs w:val="22"/>
          <w:lang w:eastAsia="en-GB"/>
        </w:rPr>
      </w:pPr>
      <w:hyperlink w:anchor="_Toc3904888" w:history="1">
        <w:r w:rsidR="00316350" w:rsidRPr="00B55E80">
          <w:rPr>
            <w:rStyle w:val="Hyperlink"/>
          </w:rPr>
          <w:t>The Special Advocates’ Support Office (“SASO”)</w:t>
        </w:r>
        <w:r w:rsidR="00316350">
          <w:rPr>
            <w:webHidden/>
          </w:rPr>
          <w:tab/>
        </w:r>
        <w:r w:rsidR="00316350">
          <w:rPr>
            <w:webHidden/>
          </w:rPr>
          <w:fldChar w:fldCharType="begin"/>
        </w:r>
        <w:r w:rsidR="00316350">
          <w:rPr>
            <w:webHidden/>
          </w:rPr>
          <w:instrText xml:space="preserve"> PAGEREF _Toc3904888 \h </w:instrText>
        </w:r>
        <w:r w:rsidR="00316350">
          <w:rPr>
            <w:webHidden/>
          </w:rPr>
        </w:r>
        <w:r w:rsidR="00316350">
          <w:rPr>
            <w:webHidden/>
          </w:rPr>
          <w:fldChar w:fldCharType="separate"/>
        </w:r>
        <w:r w:rsidR="00316350">
          <w:rPr>
            <w:webHidden/>
          </w:rPr>
          <w:t>16</w:t>
        </w:r>
        <w:r w:rsidR="00316350">
          <w:rPr>
            <w:webHidden/>
          </w:rPr>
          <w:fldChar w:fldCharType="end"/>
        </w:r>
      </w:hyperlink>
    </w:p>
    <w:p w14:paraId="4D762457" w14:textId="357B961D" w:rsidR="00316350" w:rsidRDefault="00000000">
      <w:pPr>
        <w:pStyle w:val="TOC3"/>
        <w:tabs>
          <w:tab w:val="right" w:leader="dot" w:pos="9016"/>
        </w:tabs>
        <w:rPr>
          <w:rFonts w:asciiTheme="minorHAnsi" w:eastAsiaTheme="minorEastAsia" w:hAnsiTheme="minorHAnsi" w:cstheme="minorBidi"/>
          <w:noProof/>
          <w:szCs w:val="22"/>
          <w:lang w:eastAsia="en-GB"/>
        </w:rPr>
      </w:pPr>
      <w:hyperlink w:anchor="_Toc3904889" w:history="1">
        <w:r w:rsidR="00316350" w:rsidRPr="00B55E80">
          <w:rPr>
            <w:rStyle w:val="Hyperlink"/>
            <w:noProof/>
          </w:rPr>
          <w:t>SASO’s Role</w:t>
        </w:r>
        <w:r w:rsidR="00316350">
          <w:rPr>
            <w:noProof/>
            <w:webHidden/>
          </w:rPr>
          <w:tab/>
        </w:r>
        <w:r w:rsidR="00316350">
          <w:rPr>
            <w:noProof/>
            <w:webHidden/>
          </w:rPr>
          <w:fldChar w:fldCharType="begin"/>
        </w:r>
        <w:r w:rsidR="00316350">
          <w:rPr>
            <w:noProof/>
            <w:webHidden/>
          </w:rPr>
          <w:instrText xml:space="preserve"> PAGEREF _Toc3904889 \h </w:instrText>
        </w:r>
        <w:r w:rsidR="00316350">
          <w:rPr>
            <w:noProof/>
            <w:webHidden/>
          </w:rPr>
        </w:r>
        <w:r w:rsidR="00316350">
          <w:rPr>
            <w:noProof/>
            <w:webHidden/>
          </w:rPr>
          <w:fldChar w:fldCharType="separate"/>
        </w:r>
        <w:r w:rsidR="00316350">
          <w:rPr>
            <w:noProof/>
            <w:webHidden/>
          </w:rPr>
          <w:t>17</w:t>
        </w:r>
        <w:r w:rsidR="00316350">
          <w:rPr>
            <w:noProof/>
            <w:webHidden/>
          </w:rPr>
          <w:fldChar w:fldCharType="end"/>
        </w:r>
      </w:hyperlink>
    </w:p>
    <w:p w14:paraId="485D0A54" w14:textId="635693D5" w:rsidR="00316350" w:rsidRDefault="00000000">
      <w:pPr>
        <w:pStyle w:val="TOC2"/>
        <w:rPr>
          <w:rFonts w:asciiTheme="minorHAnsi" w:eastAsiaTheme="minorEastAsia" w:hAnsiTheme="minorHAnsi" w:cstheme="minorBidi"/>
          <w:szCs w:val="22"/>
          <w:lang w:eastAsia="en-GB"/>
        </w:rPr>
      </w:pPr>
      <w:hyperlink w:anchor="_Toc3904890" w:history="1">
        <w:r w:rsidR="00316350" w:rsidRPr="00B55E80">
          <w:rPr>
            <w:rStyle w:val="Hyperlink"/>
          </w:rPr>
          <w:t>The role of a Special Advocate</w:t>
        </w:r>
        <w:r w:rsidR="00316350">
          <w:rPr>
            <w:webHidden/>
          </w:rPr>
          <w:tab/>
        </w:r>
        <w:r w:rsidR="00316350">
          <w:rPr>
            <w:webHidden/>
          </w:rPr>
          <w:fldChar w:fldCharType="begin"/>
        </w:r>
        <w:r w:rsidR="00316350">
          <w:rPr>
            <w:webHidden/>
          </w:rPr>
          <w:instrText xml:space="preserve"> PAGEREF _Toc3904890 \h </w:instrText>
        </w:r>
        <w:r w:rsidR="00316350">
          <w:rPr>
            <w:webHidden/>
          </w:rPr>
        </w:r>
        <w:r w:rsidR="00316350">
          <w:rPr>
            <w:webHidden/>
          </w:rPr>
          <w:fldChar w:fldCharType="separate"/>
        </w:r>
        <w:r w:rsidR="00316350">
          <w:rPr>
            <w:webHidden/>
          </w:rPr>
          <w:t>18</w:t>
        </w:r>
        <w:r w:rsidR="00316350">
          <w:rPr>
            <w:webHidden/>
          </w:rPr>
          <w:fldChar w:fldCharType="end"/>
        </w:r>
      </w:hyperlink>
    </w:p>
    <w:p w14:paraId="3462017F" w14:textId="5D983DEF" w:rsidR="00316350" w:rsidRDefault="00000000">
      <w:pPr>
        <w:pStyle w:val="TOC2"/>
        <w:rPr>
          <w:rFonts w:asciiTheme="minorHAnsi" w:eastAsiaTheme="minorEastAsia" w:hAnsiTheme="minorHAnsi" w:cstheme="minorBidi"/>
          <w:szCs w:val="22"/>
          <w:lang w:eastAsia="en-GB"/>
        </w:rPr>
      </w:pPr>
      <w:hyperlink w:anchor="_Toc3904891" w:history="1">
        <w:r w:rsidR="00316350" w:rsidRPr="00B55E80">
          <w:rPr>
            <w:rStyle w:val="Hyperlink"/>
          </w:rPr>
          <w:t>Tainting</w:t>
        </w:r>
        <w:r w:rsidR="00316350">
          <w:rPr>
            <w:webHidden/>
          </w:rPr>
          <w:tab/>
        </w:r>
        <w:r w:rsidR="00316350">
          <w:rPr>
            <w:webHidden/>
          </w:rPr>
          <w:fldChar w:fldCharType="begin"/>
        </w:r>
        <w:r w:rsidR="00316350">
          <w:rPr>
            <w:webHidden/>
          </w:rPr>
          <w:instrText xml:space="preserve"> PAGEREF _Toc3904891 \h </w:instrText>
        </w:r>
        <w:r w:rsidR="00316350">
          <w:rPr>
            <w:webHidden/>
          </w:rPr>
        </w:r>
        <w:r w:rsidR="00316350">
          <w:rPr>
            <w:webHidden/>
          </w:rPr>
          <w:fldChar w:fldCharType="separate"/>
        </w:r>
        <w:r w:rsidR="00316350">
          <w:rPr>
            <w:webHidden/>
          </w:rPr>
          <w:t>19</w:t>
        </w:r>
        <w:r w:rsidR="00316350">
          <w:rPr>
            <w:webHidden/>
          </w:rPr>
          <w:fldChar w:fldCharType="end"/>
        </w:r>
      </w:hyperlink>
    </w:p>
    <w:p w14:paraId="2EE03BD5" w14:textId="4C37120D" w:rsidR="00316350" w:rsidRDefault="00000000">
      <w:pPr>
        <w:pStyle w:val="TOC2"/>
        <w:rPr>
          <w:rFonts w:asciiTheme="minorHAnsi" w:eastAsiaTheme="minorEastAsia" w:hAnsiTheme="minorHAnsi" w:cstheme="minorBidi"/>
          <w:szCs w:val="22"/>
          <w:lang w:eastAsia="en-GB"/>
        </w:rPr>
      </w:pPr>
      <w:hyperlink w:anchor="_Toc3904892" w:history="1">
        <w:r w:rsidR="00316350" w:rsidRPr="00B55E80">
          <w:rPr>
            <w:rStyle w:val="Hyperlink"/>
          </w:rPr>
          <w:t>Conflicts of interest</w:t>
        </w:r>
        <w:r w:rsidR="00316350">
          <w:rPr>
            <w:webHidden/>
          </w:rPr>
          <w:tab/>
        </w:r>
        <w:r w:rsidR="00316350">
          <w:rPr>
            <w:webHidden/>
          </w:rPr>
          <w:fldChar w:fldCharType="begin"/>
        </w:r>
        <w:r w:rsidR="00316350">
          <w:rPr>
            <w:webHidden/>
          </w:rPr>
          <w:instrText xml:space="preserve"> PAGEREF _Toc3904892 \h </w:instrText>
        </w:r>
        <w:r w:rsidR="00316350">
          <w:rPr>
            <w:webHidden/>
          </w:rPr>
        </w:r>
        <w:r w:rsidR="00316350">
          <w:rPr>
            <w:webHidden/>
          </w:rPr>
          <w:fldChar w:fldCharType="separate"/>
        </w:r>
        <w:r w:rsidR="00316350">
          <w:rPr>
            <w:webHidden/>
          </w:rPr>
          <w:t>21</w:t>
        </w:r>
        <w:r w:rsidR="00316350">
          <w:rPr>
            <w:webHidden/>
          </w:rPr>
          <w:fldChar w:fldCharType="end"/>
        </w:r>
      </w:hyperlink>
    </w:p>
    <w:p w14:paraId="6B6413EC" w14:textId="31DB95C0" w:rsidR="00316350" w:rsidRDefault="00000000">
      <w:pPr>
        <w:pStyle w:val="TOC1"/>
        <w:tabs>
          <w:tab w:val="right" w:leader="dot" w:pos="9016"/>
        </w:tabs>
        <w:rPr>
          <w:rFonts w:asciiTheme="minorHAnsi" w:eastAsiaTheme="minorEastAsia" w:hAnsiTheme="minorHAnsi" w:cstheme="minorBidi"/>
          <w:b w:val="0"/>
          <w:noProof/>
          <w:szCs w:val="22"/>
          <w:lang w:eastAsia="en-GB"/>
        </w:rPr>
      </w:pPr>
      <w:hyperlink w:anchor="_Toc3904893" w:history="1">
        <w:r w:rsidR="00316350" w:rsidRPr="00B55E80">
          <w:rPr>
            <w:rStyle w:val="Hyperlink"/>
            <w:noProof/>
          </w:rPr>
          <w:t>Part IV - The Typical Format of CLOSED proceedings</w:t>
        </w:r>
        <w:r w:rsidR="00316350">
          <w:rPr>
            <w:noProof/>
            <w:webHidden/>
          </w:rPr>
          <w:tab/>
        </w:r>
        <w:r w:rsidR="00316350">
          <w:rPr>
            <w:noProof/>
            <w:webHidden/>
          </w:rPr>
          <w:fldChar w:fldCharType="begin"/>
        </w:r>
        <w:r w:rsidR="00316350">
          <w:rPr>
            <w:noProof/>
            <w:webHidden/>
          </w:rPr>
          <w:instrText xml:space="preserve"> PAGEREF _Toc3904893 \h </w:instrText>
        </w:r>
        <w:r w:rsidR="00316350">
          <w:rPr>
            <w:noProof/>
            <w:webHidden/>
          </w:rPr>
        </w:r>
        <w:r w:rsidR="00316350">
          <w:rPr>
            <w:noProof/>
            <w:webHidden/>
          </w:rPr>
          <w:fldChar w:fldCharType="separate"/>
        </w:r>
        <w:r w:rsidR="00316350">
          <w:rPr>
            <w:noProof/>
            <w:webHidden/>
          </w:rPr>
          <w:t>22</w:t>
        </w:r>
        <w:r w:rsidR="00316350">
          <w:rPr>
            <w:noProof/>
            <w:webHidden/>
          </w:rPr>
          <w:fldChar w:fldCharType="end"/>
        </w:r>
      </w:hyperlink>
    </w:p>
    <w:p w14:paraId="795D31C0" w14:textId="16F7D4D4" w:rsidR="00316350" w:rsidRDefault="00000000">
      <w:pPr>
        <w:pStyle w:val="TOC2"/>
        <w:rPr>
          <w:rFonts w:asciiTheme="minorHAnsi" w:eastAsiaTheme="minorEastAsia" w:hAnsiTheme="minorHAnsi" w:cstheme="minorBidi"/>
          <w:szCs w:val="22"/>
          <w:lang w:eastAsia="en-GB"/>
        </w:rPr>
      </w:pPr>
      <w:hyperlink w:anchor="_Toc3904894" w:history="1">
        <w:r w:rsidR="00316350" w:rsidRPr="00B55E80">
          <w:rPr>
            <w:rStyle w:val="Hyperlink"/>
          </w:rPr>
          <w:t>Conference with the Excluded Party and the OPEN Representatives</w:t>
        </w:r>
        <w:r w:rsidR="00316350">
          <w:rPr>
            <w:webHidden/>
          </w:rPr>
          <w:tab/>
        </w:r>
        <w:r w:rsidR="00316350">
          <w:rPr>
            <w:webHidden/>
          </w:rPr>
          <w:fldChar w:fldCharType="begin"/>
        </w:r>
        <w:r w:rsidR="00316350">
          <w:rPr>
            <w:webHidden/>
          </w:rPr>
          <w:instrText xml:space="preserve"> PAGEREF _Toc3904894 \h </w:instrText>
        </w:r>
        <w:r w:rsidR="00316350">
          <w:rPr>
            <w:webHidden/>
          </w:rPr>
        </w:r>
        <w:r w:rsidR="00316350">
          <w:rPr>
            <w:webHidden/>
          </w:rPr>
          <w:fldChar w:fldCharType="separate"/>
        </w:r>
        <w:r w:rsidR="00316350">
          <w:rPr>
            <w:webHidden/>
          </w:rPr>
          <w:t>22</w:t>
        </w:r>
        <w:r w:rsidR="00316350">
          <w:rPr>
            <w:webHidden/>
          </w:rPr>
          <w:fldChar w:fldCharType="end"/>
        </w:r>
      </w:hyperlink>
    </w:p>
    <w:p w14:paraId="074A9E0C" w14:textId="1C9AECDA" w:rsidR="00316350" w:rsidRDefault="00000000">
      <w:pPr>
        <w:pStyle w:val="TOC2"/>
        <w:rPr>
          <w:rFonts w:asciiTheme="minorHAnsi" w:eastAsiaTheme="minorEastAsia" w:hAnsiTheme="minorHAnsi" w:cstheme="minorBidi"/>
          <w:szCs w:val="22"/>
          <w:lang w:eastAsia="en-GB"/>
        </w:rPr>
      </w:pPr>
      <w:hyperlink w:anchor="_Toc3904895" w:history="1">
        <w:r w:rsidR="00316350" w:rsidRPr="00B55E80">
          <w:rPr>
            <w:rStyle w:val="Hyperlink"/>
          </w:rPr>
          <w:t>Service of OPEN material</w:t>
        </w:r>
        <w:r w:rsidR="00316350">
          <w:rPr>
            <w:webHidden/>
          </w:rPr>
          <w:tab/>
        </w:r>
        <w:r w:rsidR="00316350">
          <w:rPr>
            <w:webHidden/>
          </w:rPr>
          <w:fldChar w:fldCharType="begin"/>
        </w:r>
        <w:r w:rsidR="00316350">
          <w:rPr>
            <w:webHidden/>
          </w:rPr>
          <w:instrText xml:space="preserve"> PAGEREF _Toc3904895 \h </w:instrText>
        </w:r>
        <w:r w:rsidR="00316350">
          <w:rPr>
            <w:webHidden/>
          </w:rPr>
        </w:r>
        <w:r w:rsidR="00316350">
          <w:rPr>
            <w:webHidden/>
          </w:rPr>
          <w:fldChar w:fldCharType="separate"/>
        </w:r>
        <w:r w:rsidR="00316350">
          <w:rPr>
            <w:webHidden/>
          </w:rPr>
          <w:t>22</w:t>
        </w:r>
        <w:r w:rsidR="00316350">
          <w:rPr>
            <w:webHidden/>
          </w:rPr>
          <w:fldChar w:fldCharType="end"/>
        </w:r>
      </w:hyperlink>
    </w:p>
    <w:p w14:paraId="549DD93F" w14:textId="775B1934" w:rsidR="00316350" w:rsidRDefault="00000000">
      <w:pPr>
        <w:pStyle w:val="TOC2"/>
        <w:rPr>
          <w:rFonts w:asciiTheme="minorHAnsi" w:eastAsiaTheme="minorEastAsia" w:hAnsiTheme="minorHAnsi" w:cstheme="minorBidi"/>
          <w:szCs w:val="22"/>
          <w:lang w:eastAsia="en-GB"/>
        </w:rPr>
      </w:pPr>
      <w:hyperlink w:anchor="_Toc3904896" w:history="1">
        <w:r w:rsidR="00316350" w:rsidRPr="00B55E80">
          <w:rPr>
            <w:rStyle w:val="Hyperlink"/>
          </w:rPr>
          <w:t>Service of CLOSED material</w:t>
        </w:r>
        <w:r w:rsidR="00316350">
          <w:rPr>
            <w:webHidden/>
          </w:rPr>
          <w:tab/>
        </w:r>
        <w:r w:rsidR="00316350">
          <w:rPr>
            <w:webHidden/>
          </w:rPr>
          <w:fldChar w:fldCharType="begin"/>
        </w:r>
        <w:r w:rsidR="00316350">
          <w:rPr>
            <w:webHidden/>
          </w:rPr>
          <w:instrText xml:space="preserve"> PAGEREF _Toc3904896 \h </w:instrText>
        </w:r>
        <w:r w:rsidR="00316350">
          <w:rPr>
            <w:webHidden/>
          </w:rPr>
        </w:r>
        <w:r w:rsidR="00316350">
          <w:rPr>
            <w:webHidden/>
          </w:rPr>
          <w:fldChar w:fldCharType="separate"/>
        </w:r>
        <w:r w:rsidR="00316350">
          <w:rPr>
            <w:webHidden/>
          </w:rPr>
          <w:t>22</w:t>
        </w:r>
        <w:r w:rsidR="00316350">
          <w:rPr>
            <w:webHidden/>
          </w:rPr>
          <w:fldChar w:fldCharType="end"/>
        </w:r>
      </w:hyperlink>
    </w:p>
    <w:p w14:paraId="46A42A24" w14:textId="2171FFB8" w:rsidR="00316350" w:rsidRDefault="00000000">
      <w:pPr>
        <w:pStyle w:val="TOC2"/>
        <w:rPr>
          <w:rFonts w:asciiTheme="minorHAnsi" w:eastAsiaTheme="minorEastAsia" w:hAnsiTheme="minorHAnsi" w:cstheme="minorBidi"/>
          <w:szCs w:val="22"/>
          <w:lang w:eastAsia="en-GB"/>
        </w:rPr>
      </w:pPr>
      <w:hyperlink w:anchor="_Toc3904897" w:history="1">
        <w:r w:rsidR="00316350" w:rsidRPr="00B55E80">
          <w:rPr>
            <w:rStyle w:val="Hyperlink"/>
          </w:rPr>
          <w:t>Communication Requests</w:t>
        </w:r>
        <w:r w:rsidR="00316350">
          <w:rPr>
            <w:webHidden/>
          </w:rPr>
          <w:tab/>
        </w:r>
        <w:r w:rsidR="00316350">
          <w:rPr>
            <w:webHidden/>
          </w:rPr>
          <w:fldChar w:fldCharType="begin"/>
        </w:r>
        <w:r w:rsidR="00316350">
          <w:rPr>
            <w:webHidden/>
          </w:rPr>
          <w:instrText xml:space="preserve"> PAGEREF _Toc3904897 \h </w:instrText>
        </w:r>
        <w:r w:rsidR="00316350">
          <w:rPr>
            <w:webHidden/>
          </w:rPr>
        </w:r>
        <w:r w:rsidR="00316350">
          <w:rPr>
            <w:webHidden/>
          </w:rPr>
          <w:fldChar w:fldCharType="separate"/>
        </w:r>
        <w:r w:rsidR="00316350">
          <w:rPr>
            <w:webHidden/>
          </w:rPr>
          <w:t>22</w:t>
        </w:r>
        <w:r w:rsidR="00316350">
          <w:rPr>
            <w:webHidden/>
          </w:rPr>
          <w:fldChar w:fldCharType="end"/>
        </w:r>
      </w:hyperlink>
    </w:p>
    <w:p w14:paraId="22F18245" w14:textId="2D442FD3" w:rsidR="00316350" w:rsidRDefault="00000000">
      <w:pPr>
        <w:pStyle w:val="TOC2"/>
        <w:rPr>
          <w:rFonts w:asciiTheme="minorHAnsi" w:eastAsiaTheme="minorEastAsia" w:hAnsiTheme="minorHAnsi" w:cstheme="minorBidi"/>
          <w:szCs w:val="22"/>
          <w:lang w:eastAsia="en-GB"/>
        </w:rPr>
      </w:pPr>
      <w:hyperlink w:anchor="_Toc3904898" w:history="1">
        <w:r w:rsidR="00316350" w:rsidRPr="00B55E80">
          <w:rPr>
            <w:rStyle w:val="Hyperlink"/>
          </w:rPr>
          <w:t>Disclosure</w:t>
        </w:r>
        <w:r w:rsidR="00316350">
          <w:rPr>
            <w:webHidden/>
          </w:rPr>
          <w:tab/>
        </w:r>
        <w:r w:rsidR="00316350">
          <w:rPr>
            <w:webHidden/>
          </w:rPr>
          <w:fldChar w:fldCharType="begin"/>
        </w:r>
        <w:r w:rsidR="00316350">
          <w:rPr>
            <w:webHidden/>
          </w:rPr>
          <w:instrText xml:space="preserve"> PAGEREF _Toc3904898 \h </w:instrText>
        </w:r>
        <w:r w:rsidR="00316350">
          <w:rPr>
            <w:webHidden/>
          </w:rPr>
        </w:r>
        <w:r w:rsidR="00316350">
          <w:rPr>
            <w:webHidden/>
          </w:rPr>
          <w:fldChar w:fldCharType="separate"/>
        </w:r>
        <w:r w:rsidR="00316350">
          <w:rPr>
            <w:webHidden/>
          </w:rPr>
          <w:t>24</w:t>
        </w:r>
        <w:r w:rsidR="00316350">
          <w:rPr>
            <w:webHidden/>
          </w:rPr>
          <w:fldChar w:fldCharType="end"/>
        </w:r>
      </w:hyperlink>
    </w:p>
    <w:p w14:paraId="261F46B8" w14:textId="4411B5F2" w:rsidR="00316350" w:rsidRDefault="00000000">
      <w:pPr>
        <w:pStyle w:val="TOC2"/>
        <w:rPr>
          <w:rFonts w:asciiTheme="minorHAnsi" w:eastAsiaTheme="minorEastAsia" w:hAnsiTheme="minorHAnsi" w:cstheme="minorBidi"/>
          <w:szCs w:val="22"/>
          <w:lang w:eastAsia="en-GB"/>
        </w:rPr>
      </w:pPr>
      <w:hyperlink w:anchor="_Toc3904899" w:history="1">
        <w:r w:rsidR="00316350" w:rsidRPr="00B55E80">
          <w:rPr>
            <w:rStyle w:val="Hyperlink"/>
          </w:rPr>
          <w:t>The substantive hearing</w:t>
        </w:r>
        <w:r w:rsidR="00316350">
          <w:rPr>
            <w:webHidden/>
          </w:rPr>
          <w:tab/>
        </w:r>
        <w:r w:rsidR="00316350">
          <w:rPr>
            <w:webHidden/>
          </w:rPr>
          <w:fldChar w:fldCharType="begin"/>
        </w:r>
        <w:r w:rsidR="00316350">
          <w:rPr>
            <w:webHidden/>
          </w:rPr>
          <w:instrText xml:space="preserve"> PAGEREF _Toc3904899 \h </w:instrText>
        </w:r>
        <w:r w:rsidR="00316350">
          <w:rPr>
            <w:webHidden/>
          </w:rPr>
        </w:r>
        <w:r w:rsidR="00316350">
          <w:rPr>
            <w:webHidden/>
          </w:rPr>
          <w:fldChar w:fldCharType="separate"/>
        </w:r>
        <w:r w:rsidR="00316350">
          <w:rPr>
            <w:webHidden/>
          </w:rPr>
          <w:t>26</w:t>
        </w:r>
        <w:r w:rsidR="00316350">
          <w:rPr>
            <w:webHidden/>
          </w:rPr>
          <w:fldChar w:fldCharType="end"/>
        </w:r>
      </w:hyperlink>
    </w:p>
    <w:p w14:paraId="18E8B66C" w14:textId="6150A499" w:rsidR="00316350" w:rsidRDefault="00000000">
      <w:pPr>
        <w:pStyle w:val="TOC2"/>
        <w:rPr>
          <w:rFonts w:asciiTheme="minorHAnsi" w:eastAsiaTheme="minorEastAsia" w:hAnsiTheme="minorHAnsi" w:cstheme="minorBidi"/>
          <w:szCs w:val="22"/>
          <w:lang w:eastAsia="en-GB"/>
        </w:rPr>
      </w:pPr>
      <w:hyperlink w:anchor="_Toc3904900" w:history="1">
        <w:r w:rsidR="00316350" w:rsidRPr="00B55E80">
          <w:rPr>
            <w:rStyle w:val="Hyperlink"/>
          </w:rPr>
          <w:t>Ancillary hearings</w:t>
        </w:r>
        <w:r w:rsidR="00316350">
          <w:rPr>
            <w:webHidden/>
          </w:rPr>
          <w:tab/>
        </w:r>
        <w:r w:rsidR="00316350">
          <w:rPr>
            <w:webHidden/>
          </w:rPr>
          <w:fldChar w:fldCharType="begin"/>
        </w:r>
        <w:r w:rsidR="00316350">
          <w:rPr>
            <w:webHidden/>
          </w:rPr>
          <w:instrText xml:space="preserve"> PAGEREF _Toc3904900 \h </w:instrText>
        </w:r>
        <w:r w:rsidR="00316350">
          <w:rPr>
            <w:webHidden/>
          </w:rPr>
        </w:r>
        <w:r w:rsidR="00316350">
          <w:rPr>
            <w:webHidden/>
          </w:rPr>
          <w:fldChar w:fldCharType="separate"/>
        </w:r>
        <w:r w:rsidR="00316350">
          <w:rPr>
            <w:webHidden/>
          </w:rPr>
          <w:t>27</w:t>
        </w:r>
        <w:r w:rsidR="00316350">
          <w:rPr>
            <w:webHidden/>
          </w:rPr>
          <w:fldChar w:fldCharType="end"/>
        </w:r>
      </w:hyperlink>
    </w:p>
    <w:p w14:paraId="32AAFBD7" w14:textId="239DB3CB" w:rsidR="00316350" w:rsidRDefault="00000000">
      <w:pPr>
        <w:pStyle w:val="TOC2"/>
        <w:rPr>
          <w:rFonts w:asciiTheme="minorHAnsi" w:eastAsiaTheme="minorEastAsia" w:hAnsiTheme="minorHAnsi" w:cstheme="minorBidi"/>
          <w:szCs w:val="22"/>
          <w:lang w:eastAsia="en-GB"/>
        </w:rPr>
      </w:pPr>
      <w:hyperlink w:anchor="_Toc3904901" w:history="1">
        <w:r w:rsidR="00316350" w:rsidRPr="00B55E80">
          <w:rPr>
            <w:rStyle w:val="Hyperlink"/>
          </w:rPr>
          <w:t>Judgment and security checking</w:t>
        </w:r>
        <w:r w:rsidR="00316350">
          <w:rPr>
            <w:webHidden/>
          </w:rPr>
          <w:tab/>
        </w:r>
        <w:r w:rsidR="00316350">
          <w:rPr>
            <w:webHidden/>
          </w:rPr>
          <w:fldChar w:fldCharType="begin"/>
        </w:r>
        <w:r w:rsidR="00316350">
          <w:rPr>
            <w:webHidden/>
          </w:rPr>
          <w:instrText xml:space="preserve"> PAGEREF _Toc3904901 \h </w:instrText>
        </w:r>
        <w:r w:rsidR="00316350">
          <w:rPr>
            <w:webHidden/>
          </w:rPr>
        </w:r>
        <w:r w:rsidR="00316350">
          <w:rPr>
            <w:webHidden/>
          </w:rPr>
          <w:fldChar w:fldCharType="separate"/>
        </w:r>
        <w:r w:rsidR="00316350">
          <w:rPr>
            <w:webHidden/>
          </w:rPr>
          <w:t>27</w:t>
        </w:r>
        <w:r w:rsidR="00316350">
          <w:rPr>
            <w:webHidden/>
          </w:rPr>
          <w:fldChar w:fldCharType="end"/>
        </w:r>
      </w:hyperlink>
    </w:p>
    <w:p w14:paraId="648C4031" w14:textId="1D4BC8AD" w:rsidR="00316350" w:rsidRDefault="00000000">
      <w:pPr>
        <w:pStyle w:val="TOC2"/>
        <w:rPr>
          <w:rFonts w:asciiTheme="minorHAnsi" w:eastAsiaTheme="minorEastAsia" w:hAnsiTheme="minorHAnsi" w:cstheme="minorBidi"/>
          <w:szCs w:val="22"/>
          <w:lang w:eastAsia="en-GB"/>
        </w:rPr>
      </w:pPr>
      <w:hyperlink w:anchor="_Toc3904902" w:history="1">
        <w:r w:rsidR="00316350" w:rsidRPr="00B55E80">
          <w:rPr>
            <w:rStyle w:val="Hyperlink"/>
          </w:rPr>
          <w:t>Appeals</w:t>
        </w:r>
        <w:r w:rsidR="00316350">
          <w:rPr>
            <w:webHidden/>
          </w:rPr>
          <w:tab/>
        </w:r>
        <w:r w:rsidR="00316350">
          <w:rPr>
            <w:webHidden/>
          </w:rPr>
          <w:fldChar w:fldCharType="begin"/>
        </w:r>
        <w:r w:rsidR="00316350">
          <w:rPr>
            <w:webHidden/>
          </w:rPr>
          <w:instrText xml:space="preserve"> PAGEREF _Toc3904902 \h </w:instrText>
        </w:r>
        <w:r w:rsidR="00316350">
          <w:rPr>
            <w:webHidden/>
          </w:rPr>
        </w:r>
        <w:r w:rsidR="00316350">
          <w:rPr>
            <w:webHidden/>
          </w:rPr>
          <w:fldChar w:fldCharType="separate"/>
        </w:r>
        <w:r w:rsidR="00316350">
          <w:rPr>
            <w:webHidden/>
          </w:rPr>
          <w:t>28</w:t>
        </w:r>
        <w:r w:rsidR="00316350">
          <w:rPr>
            <w:webHidden/>
          </w:rPr>
          <w:fldChar w:fldCharType="end"/>
        </w:r>
      </w:hyperlink>
    </w:p>
    <w:p w14:paraId="738796E0" w14:textId="42967263" w:rsidR="00316350" w:rsidRDefault="00000000">
      <w:pPr>
        <w:pStyle w:val="TOC2"/>
        <w:rPr>
          <w:rFonts w:asciiTheme="minorHAnsi" w:eastAsiaTheme="minorEastAsia" w:hAnsiTheme="minorHAnsi" w:cstheme="minorBidi"/>
          <w:szCs w:val="22"/>
          <w:lang w:eastAsia="en-GB"/>
        </w:rPr>
      </w:pPr>
      <w:hyperlink w:anchor="_Toc3904903" w:history="1">
        <w:r w:rsidR="00316350" w:rsidRPr="00B55E80">
          <w:rPr>
            <w:rStyle w:val="Hyperlink"/>
          </w:rPr>
          <w:t>Costs</w:t>
        </w:r>
        <w:r w:rsidR="00316350">
          <w:rPr>
            <w:webHidden/>
          </w:rPr>
          <w:tab/>
        </w:r>
        <w:r w:rsidR="00316350">
          <w:rPr>
            <w:webHidden/>
          </w:rPr>
          <w:fldChar w:fldCharType="begin"/>
        </w:r>
        <w:r w:rsidR="00316350">
          <w:rPr>
            <w:webHidden/>
          </w:rPr>
          <w:instrText xml:space="preserve"> PAGEREF _Toc3904903 \h </w:instrText>
        </w:r>
        <w:r w:rsidR="00316350">
          <w:rPr>
            <w:webHidden/>
          </w:rPr>
        </w:r>
        <w:r w:rsidR="00316350">
          <w:rPr>
            <w:webHidden/>
          </w:rPr>
          <w:fldChar w:fldCharType="separate"/>
        </w:r>
        <w:r w:rsidR="00316350">
          <w:rPr>
            <w:webHidden/>
          </w:rPr>
          <w:t>29</w:t>
        </w:r>
        <w:r w:rsidR="00316350">
          <w:rPr>
            <w:webHidden/>
          </w:rPr>
          <w:fldChar w:fldCharType="end"/>
        </w:r>
      </w:hyperlink>
    </w:p>
    <w:p w14:paraId="33B411FA" w14:textId="31D0C908" w:rsidR="00316350" w:rsidRDefault="00000000">
      <w:pPr>
        <w:pStyle w:val="TOC1"/>
        <w:tabs>
          <w:tab w:val="right" w:leader="dot" w:pos="9016"/>
        </w:tabs>
        <w:rPr>
          <w:rFonts w:asciiTheme="minorHAnsi" w:eastAsiaTheme="minorEastAsia" w:hAnsiTheme="minorHAnsi" w:cstheme="minorBidi"/>
          <w:b w:val="0"/>
          <w:noProof/>
          <w:szCs w:val="22"/>
          <w:lang w:eastAsia="en-GB"/>
        </w:rPr>
      </w:pPr>
      <w:hyperlink w:anchor="_Toc3904904" w:history="1">
        <w:r w:rsidR="00316350" w:rsidRPr="00B55E80">
          <w:rPr>
            <w:rStyle w:val="Hyperlink"/>
            <w:noProof/>
          </w:rPr>
          <w:t>Part V – Disclosure</w:t>
        </w:r>
        <w:r w:rsidR="00316350">
          <w:rPr>
            <w:noProof/>
            <w:webHidden/>
          </w:rPr>
          <w:tab/>
        </w:r>
        <w:r w:rsidR="00316350">
          <w:rPr>
            <w:noProof/>
            <w:webHidden/>
          </w:rPr>
          <w:fldChar w:fldCharType="begin"/>
        </w:r>
        <w:r w:rsidR="00316350">
          <w:rPr>
            <w:noProof/>
            <w:webHidden/>
          </w:rPr>
          <w:instrText xml:space="preserve"> PAGEREF _Toc3904904 \h </w:instrText>
        </w:r>
        <w:r w:rsidR="00316350">
          <w:rPr>
            <w:noProof/>
            <w:webHidden/>
          </w:rPr>
        </w:r>
        <w:r w:rsidR="00316350">
          <w:rPr>
            <w:noProof/>
            <w:webHidden/>
          </w:rPr>
          <w:fldChar w:fldCharType="separate"/>
        </w:r>
        <w:r w:rsidR="00316350">
          <w:rPr>
            <w:noProof/>
            <w:webHidden/>
          </w:rPr>
          <w:t>31</w:t>
        </w:r>
        <w:r w:rsidR="00316350">
          <w:rPr>
            <w:noProof/>
            <w:webHidden/>
          </w:rPr>
          <w:fldChar w:fldCharType="end"/>
        </w:r>
      </w:hyperlink>
    </w:p>
    <w:p w14:paraId="1E226E60" w14:textId="2E903F2E" w:rsidR="00316350" w:rsidRDefault="00000000">
      <w:pPr>
        <w:pStyle w:val="TOC2"/>
        <w:rPr>
          <w:rFonts w:asciiTheme="minorHAnsi" w:eastAsiaTheme="minorEastAsia" w:hAnsiTheme="minorHAnsi" w:cstheme="minorBidi"/>
          <w:szCs w:val="22"/>
          <w:lang w:eastAsia="en-GB"/>
        </w:rPr>
      </w:pPr>
      <w:hyperlink w:anchor="_Toc3904905" w:history="1">
        <w:r w:rsidR="00316350" w:rsidRPr="00B55E80">
          <w:rPr>
            <w:rStyle w:val="Hyperlink"/>
          </w:rPr>
          <w:t>Case law</w:t>
        </w:r>
        <w:r w:rsidR="00316350">
          <w:rPr>
            <w:webHidden/>
          </w:rPr>
          <w:tab/>
        </w:r>
        <w:r w:rsidR="00316350">
          <w:rPr>
            <w:webHidden/>
          </w:rPr>
          <w:fldChar w:fldCharType="begin"/>
        </w:r>
        <w:r w:rsidR="00316350">
          <w:rPr>
            <w:webHidden/>
          </w:rPr>
          <w:instrText xml:space="preserve"> PAGEREF _Toc3904905 \h </w:instrText>
        </w:r>
        <w:r w:rsidR="00316350">
          <w:rPr>
            <w:webHidden/>
          </w:rPr>
        </w:r>
        <w:r w:rsidR="00316350">
          <w:rPr>
            <w:webHidden/>
          </w:rPr>
          <w:fldChar w:fldCharType="separate"/>
        </w:r>
        <w:r w:rsidR="00316350">
          <w:rPr>
            <w:webHidden/>
          </w:rPr>
          <w:t>31</w:t>
        </w:r>
        <w:r w:rsidR="00316350">
          <w:rPr>
            <w:webHidden/>
          </w:rPr>
          <w:fldChar w:fldCharType="end"/>
        </w:r>
      </w:hyperlink>
    </w:p>
    <w:p w14:paraId="29F12873" w14:textId="04E5F8FF" w:rsidR="00316350" w:rsidRDefault="00000000">
      <w:pPr>
        <w:pStyle w:val="TOC2"/>
        <w:rPr>
          <w:rFonts w:asciiTheme="minorHAnsi" w:eastAsiaTheme="minorEastAsia" w:hAnsiTheme="minorHAnsi" w:cstheme="minorBidi"/>
          <w:szCs w:val="22"/>
          <w:lang w:eastAsia="en-GB"/>
        </w:rPr>
      </w:pPr>
      <w:hyperlink w:anchor="_Toc3904906" w:history="1">
        <w:r w:rsidR="00316350" w:rsidRPr="00B55E80">
          <w:rPr>
            <w:rStyle w:val="Hyperlink"/>
          </w:rPr>
          <w:t>Employment Tribunal Proceedings</w:t>
        </w:r>
        <w:r w:rsidR="00316350">
          <w:rPr>
            <w:webHidden/>
          </w:rPr>
          <w:tab/>
        </w:r>
        <w:r w:rsidR="00316350">
          <w:rPr>
            <w:webHidden/>
          </w:rPr>
          <w:fldChar w:fldCharType="begin"/>
        </w:r>
        <w:r w:rsidR="00316350">
          <w:rPr>
            <w:webHidden/>
          </w:rPr>
          <w:instrText xml:space="preserve"> PAGEREF _Toc3904906 \h </w:instrText>
        </w:r>
        <w:r w:rsidR="00316350">
          <w:rPr>
            <w:webHidden/>
          </w:rPr>
        </w:r>
        <w:r w:rsidR="00316350">
          <w:rPr>
            <w:webHidden/>
          </w:rPr>
          <w:fldChar w:fldCharType="separate"/>
        </w:r>
        <w:r w:rsidR="00316350">
          <w:rPr>
            <w:webHidden/>
          </w:rPr>
          <w:t>37</w:t>
        </w:r>
        <w:r w:rsidR="00316350">
          <w:rPr>
            <w:webHidden/>
          </w:rPr>
          <w:fldChar w:fldCharType="end"/>
        </w:r>
      </w:hyperlink>
    </w:p>
    <w:p w14:paraId="23A999DF" w14:textId="27D7CFCB" w:rsidR="00316350" w:rsidRDefault="00000000">
      <w:pPr>
        <w:pStyle w:val="TOC1"/>
        <w:tabs>
          <w:tab w:val="right" w:leader="dot" w:pos="9016"/>
        </w:tabs>
        <w:rPr>
          <w:rFonts w:asciiTheme="minorHAnsi" w:eastAsiaTheme="minorEastAsia" w:hAnsiTheme="minorHAnsi" w:cstheme="minorBidi"/>
          <w:b w:val="0"/>
          <w:noProof/>
          <w:szCs w:val="22"/>
          <w:lang w:eastAsia="en-GB"/>
        </w:rPr>
      </w:pPr>
      <w:hyperlink w:anchor="_Toc3904907" w:history="1">
        <w:r w:rsidR="00316350" w:rsidRPr="00B55E80">
          <w:rPr>
            <w:rStyle w:val="Hyperlink"/>
            <w:noProof/>
          </w:rPr>
          <w:t>Part VI – Proceedings under the JSA 2013</w:t>
        </w:r>
        <w:r w:rsidR="00316350">
          <w:rPr>
            <w:noProof/>
            <w:webHidden/>
          </w:rPr>
          <w:tab/>
        </w:r>
        <w:r w:rsidR="00316350">
          <w:rPr>
            <w:noProof/>
            <w:webHidden/>
          </w:rPr>
          <w:fldChar w:fldCharType="begin"/>
        </w:r>
        <w:r w:rsidR="00316350">
          <w:rPr>
            <w:noProof/>
            <w:webHidden/>
          </w:rPr>
          <w:instrText xml:space="preserve"> PAGEREF _Toc3904907 \h </w:instrText>
        </w:r>
        <w:r w:rsidR="00316350">
          <w:rPr>
            <w:noProof/>
            <w:webHidden/>
          </w:rPr>
        </w:r>
        <w:r w:rsidR="00316350">
          <w:rPr>
            <w:noProof/>
            <w:webHidden/>
          </w:rPr>
          <w:fldChar w:fldCharType="separate"/>
        </w:r>
        <w:r w:rsidR="00316350">
          <w:rPr>
            <w:noProof/>
            <w:webHidden/>
          </w:rPr>
          <w:t>40</w:t>
        </w:r>
        <w:r w:rsidR="00316350">
          <w:rPr>
            <w:noProof/>
            <w:webHidden/>
          </w:rPr>
          <w:fldChar w:fldCharType="end"/>
        </w:r>
      </w:hyperlink>
    </w:p>
    <w:p w14:paraId="3C80CE89" w14:textId="5CB5DD61" w:rsidR="00316350" w:rsidRDefault="00000000">
      <w:pPr>
        <w:pStyle w:val="TOC2"/>
        <w:rPr>
          <w:rFonts w:asciiTheme="minorHAnsi" w:eastAsiaTheme="minorEastAsia" w:hAnsiTheme="minorHAnsi" w:cstheme="minorBidi"/>
          <w:szCs w:val="22"/>
          <w:lang w:eastAsia="en-GB"/>
        </w:rPr>
      </w:pPr>
      <w:hyperlink w:anchor="_Toc3904908" w:history="1">
        <w:r w:rsidR="00316350" w:rsidRPr="00B55E80">
          <w:rPr>
            <w:rStyle w:val="Hyperlink"/>
          </w:rPr>
          <w:t>Section 6 applications and the initial stages</w:t>
        </w:r>
        <w:r w:rsidR="00316350">
          <w:rPr>
            <w:webHidden/>
          </w:rPr>
          <w:tab/>
        </w:r>
        <w:r w:rsidR="00316350">
          <w:rPr>
            <w:webHidden/>
          </w:rPr>
          <w:fldChar w:fldCharType="begin"/>
        </w:r>
        <w:r w:rsidR="00316350">
          <w:rPr>
            <w:webHidden/>
          </w:rPr>
          <w:instrText xml:space="preserve"> PAGEREF _Toc3904908 \h </w:instrText>
        </w:r>
        <w:r w:rsidR="00316350">
          <w:rPr>
            <w:webHidden/>
          </w:rPr>
        </w:r>
        <w:r w:rsidR="00316350">
          <w:rPr>
            <w:webHidden/>
          </w:rPr>
          <w:fldChar w:fldCharType="separate"/>
        </w:r>
        <w:r w:rsidR="00316350">
          <w:rPr>
            <w:webHidden/>
          </w:rPr>
          <w:t>40</w:t>
        </w:r>
        <w:r w:rsidR="00316350">
          <w:rPr>
            <w:webHidden/>
          </w:rPr>
          <w:fldChar w:fldCharType="end"/>
        </w:r>
      </w:hyperlink>
    </w:p>
    <w:p w14:paraId="34804565" w14:textId="2728E385" w:rsidR="00316350" w:rsidRDefault="00000000">
      <w:pPr>
        <w:pStyle w:val="TOC2"/>
        <w:rPr>
          <w:rFonts w:asciiTheme="minorHAnsi" w:eastAsiaTheme="minorEastAsia" w:hAnsiTheme="minorHAnsi" w:cstheme="minorBidi"/>
          <w:szCs w:val="22"/>
          <w:lang w:eastAsia="en-GB"/>
        </w:rPr>
      </w:pPr>
      <w:hyperlink w:anchor="_Toc3904909" w:history="1">
        <w:r w:rsidR="00316350" w:rsidRPr="00B55E80">
          <w:rPr>
            <w:rStyle w:val="Hyperlink"/>
          </w:rPr>
          <w:t>Case law on section 6 of the JSA 2013</w:t>
        </w:r>
        <w:r w:rsidR="00316350">
          <w:rPr>
            <w:webHidden/>
          </w:rPr>
          <w:tab/>
        </w:r>
        <w:r w:rsidR="00316350">
          <w:rPr>
            <w:webHidden/>
          </w:rPr>
          <w:fldChar w:fldCharType="begin"/>
        </w:r>
        <w:r w:rsidR="00316350">
          <w:rPr>
            <w:webHidden/>
          </w:rPr>
          <w:instrText xml:space="preserve"> PAGEREF _Toc3904909 \h </w:instrText>
        </w:r>
        <w:r w:rsidR="00316350">
          <w:rPr>
            <w:webHidden/>
          </w:rPr>
        </w:r>
        <w:r w:rsidR="00316350">
          <w:rPr>
            <w:webHidden/>
          </w:rPr>
          <w:fldChar w:fldCharType="separate"/>
        </w:r>
        <w:r w:rsidR="00316350">
          <w:rPr>
            <w:webHidden/>
          </w:rPr>
          <w:t>42</w:t>
        </w:r>
        <w:r w:rsidR="00316350">
          <w:rPr>
            <w:webHidden/>
          </w:rPr>
          <w:fldChar w:fldCharType="end"/>
        </w:r>
      </w:hyperlink>
    </w:p>
    <w:p w14:paraId="37F3158C" w14:textId="3F750117" w:rsidR="00316350" w:rsidRDefault="00000000">
      <w:pPr>
        <w:pStyle w:val="TOC2"/>
        <w:rPr>
          <w:rFonts w:asciiTheme="minorHAnsi" w:eastAsiaTheme="minorEastAsia" w:hAnsiTheme="minorHAnsi" w:cstheme="minorBidi"/>
          <w:szCs w:val="22"/>
          <w:lang w:eastAsia="en-GB"/>
        </w:rPr>
      </w:pPr>
      <w:hyperlink w:anchor="_Toc3904910" w:history="1">
        <w:r w:rsidR="00316350" w:rsidRPr="00B55E80">
          <w:rPr>
            <w:rStyle w:val="Hyperlink"/>
          </w:rPr>
          <w:t>Standard of Disclosure in JSA proceedings</w:t>
        </w:r>
        <w:r w:rsidR="00316350">
          <w:rPr>
            <w:webHidden/>
          </w:rPr>
          <w:tab/>
        </w:r>
        <w:r w:rsidR="00316350">
          <w:rPr>
            <w:webHidden/>
          </w:rPr>
          <w:fldChar w:fldCharType="begin"/>
        </w:r>
        <w:r w:rsidR="00316350">
          <w:rPr>
            <w:webHidden/>
          </w:rPr>
          <w:instrText xml:space="preserve"> PAGEREF _Toc3904910 \h </w:instrText>
        </w:r>
        <w:r w:rsidR="00316350">
          <w:rPr>
            <w:webHidden/>
          </w:rPr>
        </w:r>
        <w:r w:rsidR="00316350">
          <w:rPr>
            <w:webHidden/>
          </w:rPr>
          <w:fldChar w:fldCharType="separate"/>
        </w:r>
        <w:r w:rsidR="00316350">
          <w:rPr>
            <w:webHidden/>
          </w:rPr>
          <w:t>42</w:t>
        </w:r>
        <w:r w:rsidR="00316350">
          <w:rPr>
            <w:webHidden/>
          </w:rPr>
          <w:fldChar w:fldCharType="end"/>
        </w:r>
      </w:hyperlink>
    </w:p>
    <w:p w14:paraId="038E7E3F" w14:textId="0F88CA5C" w:rsidR="00316350" w:rsidRDefault="00000000">
      <w:pPr>
        <w:pStyle w:val="TOC2"/>
        <w:rPr>
          <w:rFonts w:asciiTheme="minorHAnsi" w:eastAsiaTheme="minorEastAsia" w:hAnsiTheme="minorHAnsi" w:cstheme="minorBidi"/>
          <w:szCs w:val="22"/>
          <w:lang w:eastAsia="en-GB"/>
        </w:rPr>
      </w:pPr>
      <w:hyperlink w:anchor="_Toc3904911" w:history="1">
        <w:r w:rsidR="00316350" w:rsidRPr="00B55E80">
          <w:rPr>
            <w:rStyle w:val="Hyperlink"/>
          </w:rPr>
          <w:t>Norwich Pharmacal and similar jurisdictions</w:t>
        </w:r>
        <w:r w:rsidR="00316350">
          <w:rPr>
            <w:webHidden/>
          </w:rPr>
          <w:tab/>
        </w:r>
        <w:r w:rsidR="00316350">
          <w:rPr>
            <w:webHidden/>
          </w:rPr>
          <w:fldChar w:fldCharType="begin"/>
        </w:r>
        <w:r w:rsidR="00316350">
          <w:rPr>
            <w:webHidden/>
          </w:rPr>
          <w:instrText xml:space="preserve"> PAGEREF _Toc3904911 \h </w:instrText>
        </w:r>
        <w:r w:rsidR="00316350">
          <w:rPr>
            <w:webHidden/>
          </w:rPr>
        </w:r>
        <w:r w:rsidR="00316350">
          <w:rPr>
            <w:webHidden/>
          </w:rPr>
          <w:fldChar w:fldCharType="separate"/>
        </w:r>
        <w:r w:rsidR="00316350">
          <w:rPr>
            <w:webHidden/>
          </w:rPr>
          <w:t>44</w:t>
        </w:r>
        <w:r w:rsidR="00316350">
          <w:rPr>
            <w:webHidden/>
          </w:rPr>
          <w:fldChar w:fldCharType="end"/>
        </w:r>
      </w:hyperlink>
    </w:p>
    <w:p w14:paraId="0C8DD6F6" w14:textId="6334FE99" w:rsidR="00316350" w:rsidRDefault="00000000">
      <w:pPr>
        <w:pStyle w:val="TOC2"/>
        <w:rPr>
          <w:rFonts w:asciiTheme="minorHAnsi" w:eastAsiaTheme="minorEastAsia" w:hAnsiTheme="minorHAnsi" w:cstheme="minorBidi"/>
          <w:szCs w:val="22"/>
          <w:lang w:eastAsia="en-GB"/>
        </w:rPr>
      </w:pPr>
      <w:hyperlink w:anchor="_Toc3904912" w:history="1">
        <w:r w:rsidR="00316350" w:rsidRPr="00B55E80">
          <w:rPr>
            <w:rStyle w:val="Hyperlink"/>
          </w:rPr>
          <w:t>Royal Prerogative Cases</w:t>
        </w:r>
        <w:r w:rsidR="00316350">
          <w:rPr>
            <w:webHidden/>
          </w:rPr>
          <w:tab/>
        </w:r>
        <w:r w:rsidR="00316350">
          <w:rPr>
            <w:webHidden/>
          </w:rPr>
          <w:fldChar w:fldCharType="begin"/>
        </w:r>
        <w:r w:rsidR="00316350">
          <w:rPr>
            <w:webHidden/>
          </w:rPr>
          <w:instrText xml:space="preserve"> PAGEREF _Toc3904912 \h </w:instrText>
        </w:r>
        <w:r w:rsidR="00316350">
          <w:rPr>
            <w:webHidden/>
          </w:rPr>
        </w:r>
        <w:r w:rsidR="00316350">
          <w:rPr>
            <w:webHidden/>
          </w:rPr>
          <w:fldChar w:fldCharType="separate"/>
        </w:r>
        <w:r w:rsidR="00316350">
          <w:rPr>
            <w:webHidden/>
          </w:rPr>
          <w:t>44</w:t>
        </w:r>
        <w:r w:rsidR="00316350">
          <w:rPr>
            <w:webHidden/>
          </w:rPr>
          <w:fldChar w:fldCharType="end"/>
        </w:r>
      </w:hyperlink>
    </w:p>
    <w:p w14:paraId="387C44F4" w14:textId="1B8895DF" w:rsidR="00316350" w:rsidRDefault="00000000">
      <w:pPr>
        <w:pStyle w:val="TOC2"/>
        <w:rPr>
          <w:rFonts w:asciiTheme="minorHAnsi" w:eastAsiaTheme="minorEastAsia" w:hAnsiTheme="minorHAnsi" w:cstheme="minorBidi"/>
          <w:szCs w:val="22"/>
          <w:lang w:eastAsia="en-GB"/>
        </w:rPr>
      </w:pPr>
      <w:hyperlink w:anchor="_Toc3904913" w:history="1">
        <w:r w:rsidR="00316350" w:rsidRPr="00B55E80">
          <w:rPr>
            <w:rStyle w:val="Hyperlink"/>
          </w:rPr>
          <w:t>Judicial Review claims</w:t>
        </w:r>
        <w:r w:rsidR="00316350">
          <w:rPr>
            <w:webHidden/>
          </w:rPr>
          <w:tab/>
        </w:r>
        <w:r w:rsidR="00316350">
          <w:rPr>
            <w:webHidden/>
          </w:rPr>
          <w:fldChar w:fldCharType="begin"/>
        </w:r>
        <w:r w:rsidR="00316350">
          <w:rPr>
            <w:webHidden/>
          </w:rPr>
          <w:instrText xml:space="preserve"> PAGEREF _Toc3904913 \h </w:instrText>
        </w:r>
        <w:r w:rsidR="00316350">
          <w:rPr>
            <w:webHidden/>
          </w:rPr>
        </w:r>
        <w:r w:rsidR="00316350">
          <w:rPr>
            <w:webHidden/>
          </w:rPr>
          <w:fldChar w:fldCharType="separate"/>
        </w:r>
        <w:r w:rsidR="00316350">
          <w:rPr>
            <w:webHidden/>
          </w:rPr>
          <w:t>45</w:t>
        </w:r>
        <w:r w:rsidR="00316350">
          <w:rPr>
            <w:webHidden/>
          </w:rPr>
          <w:fldChar w:fldCharType="end"/>
        </w:r>
      </w:hyperlink>
    </w:p>
    <w:p w14:paraId="126E1737" w14:textId="53419BB1" w:rsidR="00316350" w:rsidRDefault="00000000">
      <w:pPr>
        <w:pStyle w:val="TOC2"/>
        <w:rPr>
          <w:rFonts w:asciiTheme="minorHAnsi" w:eastAsiaTheme="minorEastAsia" w:hAnsiTheme="minorHAnsi" w:cstheme="minorBidi"/>
          <w:szCs w:val="22"/>
          <w:lang w:eastAsia="en-GB"/>
        </w:rPr>
      </w:pPr>
      <w:hyperlink w:anchor="_Toc3904914" w:history="1">
        <w:r w:rsidR="00316350" w:rsidRPr="00B55E80">
          <w:rPr>
            <w:rStyle w:val="Hyperlink"/>
          </w:rPr>
          <w:t>Terrorism Prevention and Investigation Measures (“TPIMs”)</w:t>
        </w:r>
        <w:r w:rsidR="00316350">
          <w:rPr>
            <w:webHidden/>
          </w:rPr>
          <w:tab/>
        </w:r>
        <w:r w:rsidR="00316350">
          <w:rPr>
            <w:webHidden/>
          </w:rPr>
          <w:fldChar w:fldCharType="begin"/>
        </w:r>
        <w:r w:rsidR="00316350">
          <w:rPr>
            <w:webHidden/>
          </w:rPr>
          <w:instrText xml:space="preserve"> PAGEREF _Toc3904914 \h </w:instrText>
        </w:r>
        <w:r w:rsidR="00316350">
          <w:rPr>
            <w:webHidden/>
          </w:rPr>
        </w:r>
        <w:r w:rsidR="00316350">
          <w:rPr>
            <w:webHidden/>
          </w:rPr>
          <w:fldChar w:fldCharType="separate"/>
        </w:r>
        <w:r w:rsidR="00316350">
          <w:rPr>
            <w:webHidden/>
          </w:rPr>
          <w:t>46</w:t>
        </w:r>
        <w:r w:rsidR="00316350">
          <w:rPr>
            <w:webHidden/>
          </w:rPr>
          <w:fldChar w:fldCharType="end"/>
        </w:r>
      </w:hyperlink>
    </w:p>
    <w:p w14:paraId="247D52E7" w14:textId="1542FF6F" w:rsidR="00316350" w:rsidRDefault="00000000">
      <w:pPr>
        <w:pStyle w:val="TOC2"/>
        <w:rPr>
          <w:rFonts w:asciiTheme="minorHAnsi" w:eastAsiaTheme="minorEastAsia" w:hAnsiTheme="minorHAnsi" w:cstheme="minorBidi"/>
          <w:szCs w:val="22"/>
          <w:lang w:eastAsia="en-GB"/>
        </w:rPr>
      </w:pPr>
      <w:hyperlink w:anchor="_Toc3904915" w:history="1">
        <w:r w:rsidR="00316350" w:rsidRPr="00B55E80">
          <w:rPr>
            <w:rStyle w:val="Hyperlink"/>
          </w:rPr>
          <w:t>Asset-freezing designations</w:t>
        </w:r>
        <w:r w:rsidR="00316350">
          <w:rPr>
            <w:webHidden/>
          </w:rPr>
          <w:tab/>
        </w:r>
        <w:r w:rsidR="00316350">
          <w:rPr>
            <w:webHidden/>
          </w:rPr>
          <w:fldChar w:fldCharType="begin"/>
        </w:r>
        <w:r w:rsidR="00316350">
          <w:rPr>
            <w:webHidden/>
          </w:rPr>
          <w:instrText xml:space="preserve"> PAGEREF _Toc3904915 \h </w:instrText>
        </w:r>
        <w:r w:rsidR="00316350">
          <w:rPr>
            <w:webHidden/>
          </w:rPr>
        </w:r>
        <w:r w:rsidR="00316350">
          <w:rPr>
            <w:webHidden/>
          </w:rPr>
          <w:fldChar w:fldCharType="separate"/>
        </w:r>
        <w:r w:rsidR="00316350">
          <w:rPr>
            <w:webHidden/>
          </w:rPr>
          <w:t>47</w:t>
        </w:r>
        <w:r w:rsidR="00316350">
          <w:rPr>
            <w:webHidden/>
          </w:rPr>
          <w:fldChar w:fldCharType="end"/>
        </w:r>
      </w:hyperlink>
    </w:p>
    <w:p w14:paraId="76E22B0D" w14:textId="70703E10" w:rsidR="00316350" w:rsidRDefault="00000000">
      <w:pPr>
        <w:pStyle w:val="TOC1"/>
        <w:tabs>
          <w:tab w:val="right" w:leader="dot" w:pos="9016"/>
        </w:tabs>
        <w:rPr>
          <w:rFonts w:asciiTheme="minorHAnsi" w:eastAsiaTheme="minorEastAsia" w:hAnsiTheme="minorHAnsi" w:cstheme="minorBidi"/>
          <w:b w:val="0"/>
          <w:noProof/>
          <w:szCs w:val="22"/>
          <w:lang w:eastAsia="en-GB"/>
        </w:rPr>
      </w:pPr>
      <w:hyperlink w:anchor="_Toc3904916" w:history="1">
        <w:r w:rsidR="00316350" w:rsidRPr="00B55E80">
          <w:rPr>
            <w:rStyle w:val="Hyperlink"/>
            <w:noProof/>
          </w:rPr>
          <w:t>Part VII – Proceedings before SIAC</w:t>
        </w:r>
        <w:r w:rsidR="00316350">
          <w:rPr>
            <w:noProof/>
            <w:webHidden/>
          </w:rPr>
          <w:tab/>
        </w:r>
        <w:r w:rsidR="00316350">
          <w:rPr>
            <w:noProof/>
            <w:webHidden/>
          </w:rPr>
          <w:fldChar w:fldCharType="begin"/>
        </w:r>
        <w:r w:rsidR="00316350">
          <w:rPr>
            <w:noProof/>
            <w:webHidden/>
          </w:rPr>
          <w:instrText xml:space="preserve"> PAGEREF _Toc3904916 \h </w:instrText>
        </w:r>
        <w:r w:rsidR="00316350">
          <w:rPr>
            <w:noProof/>
            <w:webHidden/>
          </w:rPr>
        </w:r>
        <w:r w:rsidR="00316350">
          <w:rPr>
            <w:noProof/>
            <w:webHidden/>
          </w:rPr>
          <w:fldChar w:fldCharType="separate"/>
        </w:r>
        <w:r w:rsidR="00316350">
          <w:rPr>
            <w:noProof/>
            <w:webHidden/>
          </w:rPr>
          <w:t>49</w:t>
        </w:r>
        <w:r w:rsidR="00316350">
          <w:rPr>
            <w:noProof/>
            <w:webHidden/>
          </w:rPr>
          <w:fldChar w:fldCharType="end"/>
        </w:r>
      </w:hyperlink>
    </w:p>
    <w:p w14:paraId="5D9A8855" w14:textId="7FF3113E" w:rsidR="00316350" w:rsidRDefault="00000000">
      <w:pPr>
        <w:pStyle w:val="TOC2"/>
        <w:rPr>
          <w:rFonts w:asciiTheme="minorHAnsi" w:eastAsiaTheme="minorEastAsia" w:hAnsiTheme="minorHAnsi" w:cstheme="minorBidi"/>
          <w:szCs w:val="22"/>
          <w:lang w:eastAsia="en-GB"/>
        </w:rPr>
      </w:pPr>
      <w:hyperlink w:anchor="_Toc3904917" w:history="1">
        <w:r w:rsidR="00316350" w:rsidRPr="00B55E80">
          <w:rPr>
            <w:rStyle w:val="Hyperlink"/>
          </w:rPr>
          <w:t>Immigration and asylum cases</w:t>
        </w:r>
        <w:r w:rsidR="00316350">
          <w:rPr>
            <w:webHidden/>
          </w:rPr>
          <w:tab/>
        </w:r>
        <w:r w:rsidR="00316350">
          <w:rPr>
            <w:webHidden/>
          </w:rPr>
          <w:fldChar w:fldCharType="begin"/>
        </w:r>
        <w:r w:rsidR="00316350">
          <w:rPr>
            <w:webHidden/>
          </w:rPr>
          <w:instrText xml:space="preserve"> PAGEREF _Toc3904917 \h </w:instrText>
        </w:r>
        <w:r w:rsidR="00316350">
          <w:rPr>
            <w:webHidden/>
          </w:rPr>
        </w:r>
        <w:r w:rsidR="00316350">
          <w:rPr>
            <w:webHidden/>
          </w:rPr>
          <w:fldChar w:fldCharType="separate"/>
        </w:r>
        <w:r w:rsidR="00316350">
          <w:rPr>
            <w:webHidden/>
          </w:rPr>
          <w:t>49</w:t>
        </w:r>
        <w:r w:rsidR="00316350">
          <w:rPr>
            <w:webHidden/>
          </w:rPr>
          <w:fldChar w:fldCharType="end"/>
        </w:r>
      </w:hyperlink>
    </w:p>
    <w:p w14:paraId="0C6D1367" w14:textId="7CF836FF" w:rsidR="00316350" w:rsidRDefault="00000000">
      <w:pPr>
        <w:pStyle w:val="TOC2"/>
        <w:rPr>
          <w:rFonts w:asciiTheme="minorHAnsi" w:eastAsiaTheme="minorEastAsia" w:hAnsiTheme="minorHAnsi" w:cstheme="minorBidi"/>
          <w:szCs w:val="22"/>
          <w:lang w:eastAsia="en-GB"/>
        </w:rPr>
      </w:pPr>
      <w:hyperlink w:anchor="_Toc3904918" w:history="1">
        <w:r w:rsidR="00316350" w:rsidRPr="00B55E80">
          <w:rPr>
            <w:rStyle w:val="Hyperlink"/>
          </w:rPr>
          <w:t>Exclusion / deportation</w:t>
        </w:r>
        <w:r w:rsidR="00316350">
          <w:rPr>
            <w:webHidden/>
          </w:rPr>
          <w:tab/>
        </w:r>
        <w:r w:rsidR="00316350">
          <w:rPr>
            <w:webHidden/>
          </w:rPr>
          <w:fldChar w:fldCharType="begin"/>
        </w:r>
        <w:r w:rsidR="00316350">
          <w:rPr>
            <w:webHidden/>
          </w:rPr>
          <w:instrText xml:space="preserve"> PAGEREF _Toc3904918 \h </w:instrText>
        </w:r>
        <w:r w:rsidR="00316350">
          <w:rPr>
            <w:webHidden/>
          </w:rPr>
        </w:r>
        <w:r w:rsidR="00316350">
          <w:rPr>
            <w:webHidden/>
          </w:rPr>
          <w:fldChar w:fldCharType="separate"/>
        </w:r>
        <w:r w:rsidR="00316350">
          <w:rPr>
            <w:webHidden/>
          </w:rPr>
          <w:t>49</w:t>
        </w:r>
        <w:r w:rsidR="00316350">
          <w:rPr>
            <w:webHidden/>
          </w:rPr>
          <w:fldChar w:fldCharType="end"/>
        </w:r>
      </w:hyperlink>
    </w:p>
    <w:p w14:paraId="4F8E06D2" w14:textId="14C54D9D" w:rsidR="00316350" w:rsidRDefault="00000000">
      <w:pPr>
        <w:pStyle w:val="TOC2"/>
        <w:rPr>
          <w:rFonts w:asciiTheme="minorHAnsi" w:eastAsiaTheme="minorEastAsia" w:hAnsiTheme="minorHAnsi" w:cstheme="minorBidi"/>
          <w:szCs w:val="22"/>
          <w:lang w:eastAsia="en-GB"/>
        </w:rPr>
      </w:pPr>
      <w:hyperlink w:anchor="_Toc3904919" w:history="1">
        <w:r w:rsidR="00316350" w:rsidRPr="00B55E80">
          <w:rPr>
            <w:rStyle w:val="Hyperlink"/>
          </w:rPr>
          <w:t>Bail</w:t>
        </w:r>
        <w:r w:rsidR="00316350">
          <w:rPr>
            <w:webHidden/>
          </w:rPr>
          <w:tab/>
        </w:r>
        <w:r w:rsidR="00316350">
          <w:rPr>
            <w:webHidden/>
          </w:rPr>
          <w:fldChar w:fldCharType="begin"/>
        </w:r>
        <w:r w:rsidR="00316350">
          <w:rPr>
            <w:webHidden/>
          </w:rPr>
          <w:instrText xml:space="preserve"> PAGEREF _Toc3904919 \h </w:instrText>
        </w:r>
        <w:r w:rsidR="00316350">
          <w:rPr>
            <w:webHidden/>
          </w:rPr>
        </w:r>
        <w:r w:rsidR="00316350">
          <w:rPr>
            <w:webHidden/>
          </w:rPr>
          <w:fldChar w:fldCharType="separate"/>
        </w:r>
        <w:r w:rsidR="00316350">
          <w:rPr>
            <w:webHidden/>
          </w:rPr>
          <w:t>49</w:t>
        </w:r>
        <w:r w:rsidR="00316350">
          <w:rPr>
            <w:webHidden/>
          </w:rPr>
          <w:fldChar w:fldCharType="end"/>
        </w:r>
      </w:hyperlink>
    </w:p>
    <w:p w14:paraId="16A88D2B" w14:textId="28EB43E5" w:rsidR="00316350" w:rsidRDefault="00000000">
      <w:pPr>
        <w:pStyle w:val="TOC2"/>
        <w:rPr>
          <w:rFonts w:asciiTheme="minorHAnsi" w:eastAsiaTheme="minorEastAsia" w:hAnsiTheme="minorHAnsi" w:cstheme="minorBidi"/>
          <w:szCs w:val="22"/>
          <w:lang w:eastAsia="en-GB"/>
        </w:rPr>
      </w:pPr>
      <w:hyperlink w:anchor="_Toc3904920" w:history="1">
        <w:r w:rsidR="00316350" w:rsidRPr="00B55E80">
          <w:rPr>
            <w:rStyle w:val="Hyperlink"/>
          </w:rPr>
          <w:t>Deprivation of citizenship</w:t>
        </w:r>
        <w:r w:rsidR="00316350">
          <w:rPr>
            <w:webHidden/>
          </w:rPr>
          <w:tab/>
        </w:r>
        <w:r w:rsidR="00316350">
          <w:rPr>
            <w:webHidden/>
          </w:rPr>
          <w:fldChar w:fldCharType="begin"/>
        </w:r>
        <w:r w:rsidR="00316350">
          <w:rPr>
            <w:webHidden/>
          </w:rPr>
          <w:instrText xml:space="preserve"> PAGEREF _Toc3904920 \h </w:instrText>
        </w:r>
        <w:r w:rsidR="00316350">
          <w:rPr>
            <w:webHidden/>
          </w:rPr>
        </w:r>
        <w:r w:rsidR="00316350">
          <w:rPr>
            <w:webHidden/>
          </w:rPr>
          <w:fldChar w:fldCharType="separate"/>
        </w:r>
        <w:r w:rsidR="00316350">
          <w:rPr>
            <w:webHidden/>
          </w:rPr>
          <w:t>50</w:t>
        </w:r>
        <w:r w:rsidR="00316350">
          <w:rPr>
            <w:webHidden/>
          </w:rPr>
          <w:fldChar w:fldCharType="end"/>
        </w:r>
      </w:hyperlink>
    </w:p>
    <w:p w14:paraId="5B3C6D28" w14:textId="795D1744" w:rsidR="00316350" w:rsidRDefault="00000000">
      <w:pPr>
        <w:pStyle w:val="TOC2"/>
        <w:rPr>
          <w:rFonts w:asciiTheme="minorHAnsi" w:eastAsiaTheme="minorEastAsia" w:hAnsiTheme="minorHAnsi" w:cstheme="minorBidi"/>
          <w:szCs w:val="22"/>
          <w:lang w:eastAsia="en-GB"/>
        </w:rPr>
      </w:pPr>
      <w:hyperlink w:anchor="_Toc3904921" w:history="1">
        <w:r w:rsidR="00316350" w:rsidRPr="00B55E80">
          <w:rPr>
            <w:rStyle w:val="Hyperlink"/>
          </w:rPr>
          <w:t>Naturalisation</w:t>
        </w:r>
        <w:r w:rsidR="00316350">
          <w:rPr>
            <w:webHidden/>
          </w:rPr>
          <w:tab/>
        </w:r>
        <w:r w:rsidR="00316350">
          <w:rPr>
            <w:webHidden/>
          </w:rPr>
          <w:fldChar w:fldCharType="begin"/>
        </w:r>
        <w:r w:rsidR="00316350">
          <w:rPr>
            <w:webHidden/>
          </w:rPr>
          <w:instrText xml:space="preserve"> PAGEREF _Toc3904921 \h </w:instrText>
        </w:r>
        <w:r w:rsidR="00316350">
          <w:rPr>
            <w:webHidden/>
          </w:rPr>
        </w:r>
        <w:r w:rsidR="00316350">
          <w:rPr>
            <w:webHidden/>
          </w:rPr>
          <w:fldChar w:fldCharType="separate"/>
        </w:r>
        <w:r w:rsidR="00316350">
          <w:rPr>
            <w:webHidden/>
          </w:rPr>
          <w:t>52</w:t>
        </w:r>
        <w:r w:rsidR="00316350">
          <w:rPr>
            <w:webHidden/>
          </w:rPr>
          <w:fldChar w:fldCharType="end"/>
        </w:r>
      </w:hyperlink>
    </w:p>
    <w:p w14:paraId="38347CC3" w14:textId="34DAD879" w:rsidR="00316350" w:rsidRDefault="00000000">
      <w:pPr>
        <w:pStyle w:val="TOC1"/>
        <w:tabs>
          <w:tab w:val="right" w:leader="dot" w:pos="9016"/>
        </w:tabs>
        <w:rPr>
          <w:rFonts w:asciiTheme="minorHAnsi" w:eastAsiaTheme="minorEastAsia" w:hAnsiTheme="minorHAnsi" w:cstheme="minorBidi"/>
          <w:b w:val="0"/>
          <w:noProof/>
          <w:szCs w:val="22"/>
          <w:lang w:eastAsia="en-GB"/>
        </w:rPr>
      </w:pPr>
      <w:hyperlink w:anchor="_Toc3904922" w:history="1">
        <w:r w:rsidR="00316350" w:rsidRPr="00B55E80">
          <w:rPr>
            <w:rStyle w:val="Hyperlink"/>
            <w:noProof/>
          </w:rPr>
          <w:t>Part VIII – The use of special advocates in other jurisdictions and contexts</w:t>
        </w:r>
        <w:r w:rsidR="00316350">
          <w:rPr>
            <w:noProof/>
            <w:webHidden/>
          </w:rPr>
          <w:tab/>
        </w:r>
        <w:r w:rsidR="00316350">
          <w:rPr>
            <w:noProof/>
            <w:webHidden/>
          </w:rPr>
          <w:fldChar w:fldCharType="begin"/>
        </w:r>
        <w:r w:rsidR="00316350">
          <w:rPr>
            <w:noProof/>
            <w:webHidden/>
          </w:rPr>
          <w:instrText xml:space="preserve"> PAGEREF _Toc3904922 \h </w:instrText>
        </w:r>
        <w:r w:rsidR="00316350">
          <w:rPr>
            <w:noProof/>
            <w:webHidden/>
          </w:rPr>
        </w:r>
        <w:r w:rsidR="00316350">
          <w:rPr>
            <w:noProof/>
            <w:webHidden/>
          </w:rPr>
          <w:fldChar w:fldCharType="separate"/>
        </w:r>
        <w:r w:rsidR="00316350">
          <w:rPr>
            <w:noProof/>
            <w:webHidden/>
          </w:rPr>
          <w:t>54</w:t>
        </w:r>
        <w:r w:rsidR="00316350">
          <w:rPr>
            <w:noProof/>
            <w:webHidden/>
          </w:rPr>
          <w:fldChar w:fldCharType="end"/>
        </w:r>
      </w:hyperlink>
    </w:p>
    <w:p w14:paraId="50A30786" w14:textId="4DD11C9D" w:rsidR="00316350" w:rsidRDefault="00000000">
      <w:pPr>
        <w:pStyle w:val="TOC2"/>
        <w:rPr>
          <w:rFonts w:asciiTheme="minorHAnsi" w:eastAsiaTheme="minorEastAsia" w:hAnsiTheme="minorHAnsi" w:cstheme="minorBidi"/>
          <w:szCs w:val="22"/>
          <w:lang w:eastAsia="en-GB"/>
        </w:rPr>
      </w:pPr>
      <w:hyperlink w:anchor="_Toc3904923" w:history="1">
        <w:r w:rsidR="00316350" w:rsidRPr="00B55E80">
          <w:rPr>
            <w:rStyle w:val="Hyperlink"/>
          </w:rPr>
          <w:t>Proceedings in Northern Ireland</w:t>
        </w:r>
        <w:r w:rsidR="00316350">
          <w:rPr>
            <w:webHidden/>
          </w:rPr>
          <w:tab/>
        </w:r>
        <w:r w:rsidR="00316350">
          <w:rPr>
            <w:webHidden/>
          </w:rPr>
          <w:fldChar w:fldCharType="begin"/>
        </w:r>
        <w:r w:rsidR="00316350">
          <w:rPr>
            <w:webHidden/>
          </w:rPr>
          <w:instrText xml:space="preserve"> PAGEREF _Toc3904923 \h </w:instrText>
        </w:r>
        <w:r w:rsidR="00316350">
          <w:rPr>
            <w:webHidden/>
          </w:rPr>
        </w:r>
        <w:r w:rsidR="00316350">
          <w:rPr>
            <w:webHidden/>
          </w:rPr>
          <w:fldChar w:fldCharType="separate"/>
        </w:r>
        <w:r w:rsidR="00316350">
          <w:rPr>
            <w:webHidden/>
          </w:rPr>
          <w:t>54</w:t>
        </w:r>
        <w:r w:rsidR="00316350">
          <w:rPr>
            <w:webHidden/>
          </w:rPr>
          <w:fldChar w:fldCharType="end"/>
        </w:r>
      </w:hyperlink>
    </w:p>
    <w:p w14:paraId="196492D9" w14:textId="1F6C6E93" w:rsidR="00316350" w:rsidRDefault="00000000">
      <w:pPr>
        <w:pStyle w:val="TOC3"/>
        <w:tabs>
          <w:tab w:val="right" w:leader="dot" w:pos="9016"/>
        </w:tabs>
        <w:rPr>
          <w:rFonts w:asciiTheme="minorHAnsi" w:eastAsiaTheme="minorEastAsia" w:hAnsiTheme="minorHAnsi" w:cstheme="minorBidi"/>
          <w:noProof/>
          <w:szCs w:val="22"/>
          <w:lang w:eastAsia="en-GB"/>
        </w:rPr>
      </w:pPr>
      <w:hyperlink w:anchor="_Toc3904924" w:history="1">
        <w:r w:rsidR="00316350" w:rsidRPr="00B55E80">
          <w:rPr>
            <w:rStyle w:val="Hyperlink"/>
            <w:noProof/>
          </w:rPr>
          <w:t>Closed Material Proceedings in Northern Irish civil proceedings</w:t>
        </w:r>
        <w:r w:rsidR="00316350">
          <w:rPr>
            <w:noProof/>
            <w:webHidden/>
          </w:rPr>
          <w:tab/>
        </w:r>
        <w:r w:rsidR="00316350">
          <w:rPr>
            <w:noProof/>
            <w:webHidden/>
          </w:rPr>
          <w:fldChar w:fldCharType="begin"/>
        </w:r>
        <w:r w:rsidR="00316350">
          <w:rPr>
            <w:noProof/>
            <w:webHidden/>
          </w:rPr>
          <w:instrText xml:space="preserve"> PAGEREF _Toc3904924 \h </w:instrText>
        </w:r>
        <w:r w:rsidR="00316350">
          <w:rPr>
            <w:noProof/>
            <w:webHidden/>
          </w:rPr>
        </w:r>
        <w:r w:rsidR="00316350">
          <w:rPr>
            <w:noProof/>
            <w:webHidden/>
          </w:rPr>
          <w:fldChar w:fldCharType="separate"/>
        </w:r>
        <w:r w:rsidR="00316350">
          <w:rPr>
            <w:noProof/>
            <w:webHidden/>
          </w:rPr>
          <w:t>54</w:t>
        </w:r>
        <w:r w:rsidR="00316350">
          <w:rPr>
            <w:noProof/>
            <w:webHidden/>
          </w:rPr>
          <w:fldChar w:fldCharType="end"/>
        </w:r>
      </w:hyperlink>
    </w:p>
    <w:p w14:paraId="42624947" w14:textId="380C92E3" w:rsidR="00316350" w:rsidRDefault="00000000">
      <w:pPr>
        <w:pStyle w:val="TOC3"/>
        <w:tabs>
          <w:tab w:val="right" w:leader="dot" w:pos="9016"/>
        </w:tabs>
        <w:rPr>
          <w:rFonts w:asciiTheme="minorHAnsi" w:eastAsiaTheme="minorEastAsia" w:hAnsiTheme="minorHAnsi" w:cstheme="minorBidi"/>
          <w:noProof/>
          <w:szCs w:val="22"/>
          <w:lang w:eastAsia="en-GB"/>
        </w:rPr>
      </w:pPr>
      <w:hyperlink w:anchor="_Toc3904925" w:history="1">
        <w:r w:rsidR="00316350" w:rsidRPr="00B55E80">
          <w:rPr>
            <w:rStyle w:val="Hyperlink"/>
            <w:noProof/>
          </w:rPr>
          <w:t>The Parole Commissioners for Northern Ireland</w:t>
        </w:r>
        <w:r w:rsidR="00316350">
          <w:rPr>
            <w:noProof/>
            <w:webHidden/>
          </w:rPr>
          <w:tab/>
        </w:r>
        <w:r w:rsidR="00316350">
          <w:rPr>
            <w:noProof/>
            <w:webHidden/>
          </w:rPr>
          <w:fldChar w:fldCharType="begin"/>
        </w:r>
        <w:r w:rsidR="00316350">
          <w:rPr>
            <w:noProof/>
            <w:webHidden/>
          </w:rPr>
          <w:instrText xml:space="preserve"> PAGEREF _Toc3904925 \h </w:instrText>
        </w:r>
        <w:r w:rsidR="00316350">
          <w:rPr>
            <w:noProof/>
            <w:webHidden/>
          </w:rPr>
        </w:r>
        <w:r w:rsidR="00316350">
          <w:rPr>
            <w:noProof/>
            <w:webHidden/>
          </w:rPr>
          <w:fldChar w:fldCharType="separate"/>
        </w:r>
        <w:r w:rsidR="00316350">
          <w:rPr>
            <w:noProof/>
            <w:webHidden/>
          </w:rPr>
          <w:t>54</w:t>
        </w:r>
        <w:r w:rsidR="00316350">
          <w:rPr>
            <w:noProof/>
            <w:webHidden/>
          </w:rPr>
          <w:fldChar w:fldCharType="end"/>
        </w:r>
      </w:hyperlink>
    </w:p>
    <w:p w14:paraId="4FA1F658" w14:textId="5866D681" w:rsidR="00316350" w:rsidRDefault="00000000">
      <w:pPr>
        <w:pStyle w:val="TOC2"/>
        <w:rPr>
          <w:rFonts w:asciiTheme="minorHAnsi" w:eastAsiaTheme="minorEastAsia" w:hAnsiTheme="minorHAnsi" w:cstheme="minorBidi"/>
          <w:szCs w:val="22"/>
          <w:lang w:eastAsia="en-GB"/>
        </w:rPr>
      </w:pPr>
      <w:hyperlink w:anchor="_Toc3904926" w:history="1">
        <w:r w:rsidR="00316350" w:rsidRPr="00B55E80">
          <w:rPr>
            <w:rStyle w:val="Hyperlink"/>
          </w:rPr>
          <w:t>Employment Tribunal proceedings</w:t>
        </w:r>
        <w:r w:rsidR="00316350">
          <w:rPr>
            <w:webHidden/>
          </w:rPr>
          <w:tab/>
        </w:r>
        <w:r w:rsidR="00316350">
          <w:rPr>
            <w:webHidden/>
          </w:rPr>
          <w:fldChar w:fldCharType="begin"/>
        </w:r>
        <w:r w:rsidR="00316350">
          <w:rPr>
            <w:webHidden/>
          </w:rPr>
          <w:instrText xml:space="preserve"> PAGEREF _Toc3904926 \h </w:instrText>
        </w:r>
        <w:r w:rsidR="00316350">
          <w:rPr>
            <w:webHidden/>
          </w:rPr>
        </w:r>
        <w:r w:rsidR="00316350">
          <w:rPr>
            <w:webHidden/>
          </w:rPr>
          <w:fldChar w:fldCharType="separate"/>
        </w:r>
        <w:r w:rsidR="00316350">
          <w:rPr>
            <w:webHidden/>
          </w:rPr>
          <w:t>54</w:t>
        </w:r>
        <w:r w:rsidR="00316350">
          <w:rPr>
            <w:webHidden/>
          </w:rPr>
          <w:fldChar w:fldCharType="end"/>
        </w:r>
      </w:hyperlink>
    </w:p>
    <w:p w14:paraId="137467BC" w14:textId="2457A609" w:rsidR="00316350" w:rsidRDefault="00000000">
      <w:pPr>
        <w:pStyle w:val="TOC2"/>
        <w:rPr>
          <w:rFonts w:asciiTheme="minorHAnsi" w:eastAsiaTheme="minorEastAsia" w:hAnsiTheme="minorHAnsi" w:cstheme="minorBidi"/>
          <w:szCs w:val="22"/>
          <w:lang w:eastAsia="en-GB"/>
        </w:rPr>
      </w:pPr>
      <w:hyperlink w:anchor="_Toc3904927" w:history="1">
        <w:r w:rsidR="00316350" w:rsidRPr="00B55E80">
          <w:rPr>
            <w:rStyle w:val="Hyperlink"/>
          </w:rPr>
          <w:t>Family proceedings</w:t>
        </w:r>
        <w:r w:rsidR="00316350">
          <w:rPr>
            <w:webHidden/>
          </w:rPr>
          <w:tab/>
        </w:r>
        <w:r w:rsidR="00316350">
          <w:rPr>
            <w:webHidden/>
          </w:rPr>
          <w:fldChar w:fldCharType="begin"/>
        </w:r>
        <w:r w:rsidR="00316350">
          <w:rPr>
            <w:webHidden/>
          </w:rPr>
          <w:instrText xml:space="preserve"> PAGEREF _Toc3904927 \h </w:instrText>
        </w:r>
        <w:r w:rsidR="00316350">
          <w:rPr>
            <w:webHidden/>
          </w:rPr>
        </w:r>
        <w:r w:rsidR="00316350">
          <w:rPr>
            <w:webHidden/>
          </w:rPr>
          <w:fldChar w:fldCharType="separate"/>
        </w:r>
        <w:r w:rsidR="00316350">
          <w:rPr>
            <w:webHidden/>
          </w:rPr>
          <w:t>55</w:t>
        </w:r>
        <w:r w:rsidR="00316350">
          <w:rPr>
            <w:webHidden/>
          </w:rPr>
          <w:fldChar w:fldCharType="end"/>
        </w:r>
      </w:hyperlink>
    </w:p>
    <w:p w14:paraId="73BC61FF" w14:textId="6E0B88A4" w:rsidR="00316350" w:rsidRDefault="00000000">
      <w:pPr>
        <w:pStyle w:val="TOC2"/>
        <w:rPr>
          <w:rFonts w:asciiTheme="minorHAnsi" w:eastAsiaTheme="minorEastAsia" w:hAnsiTheme="minorHAnsi" w:cstheme="minorBidi"/>
          <w:szCs w:val="22"/>
          <w:lang w:eastAsia="en-GB"/>
        </w:rPr>
      </w:pPr>
      <w:hyperlink w:anchor="_Toc3904928" w:history="1">
        <w:r w:rsidR="00316350" w:rsidRPr="00B55E80">
          <w:rPr>
            <w:rStyle w:val="Hyperlink"/>
          </w:rPr>
          <w:t>Other non-statutory proceedings</w:t>
        </w:r>
        <w:r w:rsidR="00316350">
          <w:rPr>
            <w:webHidden/>
          </w:rPr>
          <w:tab/>
        </w:r>
        <w:r w:rsidR="00316350">
          <w:rPr>
            <w:webHidden/>
          </w:rPr>
          <w:fldChar w:fldCharType="begin"/>
        </w:r>
        <w:r w:rsidR="00316350">
          <w:rPr>
            <w:webHidden/>
          </w:rPr>
          <w:instrText xml:space="preserve"> PAGEREF _Toc3904928 \h </w:instrText>
        </w:r>
        <w:r w:rsidR="00316350">
          <w:rPr>
            <w:webHidden/>
          </w:rPr>
        </w:r>
        <w:r w:rsidR="00316350">
          <w:rPr>
            <w:webHidden/>
          </w:rPr>
          <w:fldChar w:fldCharType="separate"/>
        </w:r>
        <w:r w:rsidR="00316350">
          <w:rPr>
            <w:webHidden/>
          </w:rPr>
          <w:t>55</w:t>
        </w:r>
        <w:r w:rsidR="00316350">
          <w:rPr>
            <w:webHidden/>
          </w:rPr>
          <w:fldChar w:fldCharType="end"/>
        </w:r>
      </w:hyperlink>
    </w:p>
    <w:p w14:paraId="1D087783" w14:textId="5C641AA7" w:rsidR="00316350" w:rsidRDefault="00000000">
      <w:pPr>
        <w:pStyle w:val="TOC3"/>
        <w:tabs>
          <w:tab w:val="right" w:leader="dot" w:pos="9016"/>
        </w:tabs>
        <w:rPr>
          <w:rFonts w:asciiTheme="minorHAnsi" w:eastAsiaTheme="minorEastAsia" w:hAnsiTheme="minorHAnsi" w:cstheme="minorBidi"/>
          <w:noProof/>
          <w:szCs w:val="22"/>
          <w:lang w:eastAsia="en-GB"/>
        </w:rPr>
      </w:pPr>
      <w:hyperlink w:anchor="_Toc3904929" w:history="1">
        <w:r w:rsidR="00316350" w:rsidRPr="00B55E80">
          <w:rPr>
            <w:rStyle w:val="Hyperlink"/>
            <w:noProof/>
          </w:rPr>
          <w:t>The Parole Board (England &amp; Wales)</w:t>
        </w:r>
        <w:r w:rsidR="00316350">
          <w:rPr>
            <w:noProof/>
            <w:webHidden/>
          </w:rPr>
          <w:tab/>
        </w:r>
        <w:r w:rsidR="00316350">
          <w:rPr>
            <w:noProof/>
            <w:webHidden/>
          </w:rPr>
          <w:fldChar w:fldCharType="begin"/>
        </w:r>
        <w:r w:rsidR="00316350">
          <w:rPr>
            <w:noProof/>
            <w:webHidden/>
          </w:rPr>
          <w:instrText xml:space="preserve"> PAGEREF _Toc3904929 \h </w:instrText>
        </w:r>
        <w:r w:rsidR="00316350">
          <w:rPr>
            <w:noProof/>
            <w:webHidden/>
          </w:rPr>
        </w:r>
        <w:r w:rsidR="00316350">
          <w:rPr>
            <w:noProof/>
            <w:webHidden/>
          </w:rPr>
          <w:fldChar w:fldCharType="separate"/>
        </w:r>
        <w:r w:rsidR="00316350">
          <w:rPr>
            <w:noProof/>
            <w:webHidden/>
          </w:rPr>
          <w:t>56</w:t>
        </w:r>
        <w:r w:rsidR="00316350">
          <w:rPr>
            <w:noProof/>
            <w:webHidden/>
          </w:rPr>
          <w:fldChar w:fldCharType="end"/>
        </w:r>
      </w:hyperlink>
    </w:p>
    <w:p w14:paraId="68DDAA70" w14:textId="02E44265" w:rsidR="00316350" w:rsidRDefault="00000000">
      <w:pPr>
        <w:pStyle w:val="TOC3"/>
        <w:tabs>
          <w:tab w:val="right" w:leader="dot" w:pos="9016"/>
        </w:tabs>
        <w:rPr>
          <w:rFonts w:asciiTheme="minorHAnsi" w:eastAsiaTheme="minorEastAsia" w:hAnsiTheme="minorHAnsi" w:cstheme="minorBidi"/>
          <w:noProof/>
          <w:szCs w:val="22"/>
          <w:lang w:eastAsia="en-GB"/>
        </w:rPr>
      </w:pPr>
      <w:hyperlink w:anchor="_Toc3904930" w:history="1">
        <w:r w:rsidR="00316350" w:rsidRPr="00B55E80">
          <w:rPr>
            <w:rStyle w:val="Hyperlink"/>
            <w:noProof/>
          </w:rPr>
          <w:t>The Security Vetting Appeals Panel (“SVAP”)</w:t>
        </w:r>
        <w:r w:rsidR="00316350">
          <w:rPr>
            <w:noProof/>
            <w:webHidden/>
          </w:rPr>
          <w:tab/>
        </w:r>
        <w:r w:rsidR="00316350">
          <w:rPr>
            <w:noProof/>
            <w:webHidden/>
          </w:rPr>
          <w:fldChar w:fldCharType="begin"/>
        </w:r>
        <w:r w:rsidR="00316350">
          <w:rPr>
            <w:noProof/>
            <w:webHidden/>
          </w:rPr>
          <w:instrText xml:space="preserve"> PAGEREF _Toc3904930 \h </w:instrText>
        </w:r>
        <w:r w:rsidR="00316350">
          <w:rPr>
            <w:noProof/>
            <w:webHidden/>
          </w:rPr>
        </w:r>
        <w:r w:rsidR="00316350">
          <w:rPr>
            <w:noProof/>
            <w:webHidden/>
          </w:rPr>
          <w:fldChar w:fldCharType="separate"/>
        </w:r>
        <w:r w:rsidR="00316350">
          <w:rPr>
            <w:noProof/>
            <w:webHidden/>
          </w:rPr>
          <w:t>57</w:t>
        </w:r>
        <w:r w:rsidR="00316350">
          <w:rPr>
            <w:noProof/>
            <w:webHidden/>
          </w:rPr>
          <w:fldChar w:fldCharType="end"/>
        </w:r>
      </w:hyperlink>
    </w:p>
    <w:p w14:paraId="1AE08054" w14:textId="52101634" w:rsidR="00316350" w:rsidRDefault="00000000">
      <w:pPr>
        <w:pStyle w:val="TOC3"/>
        <w:tabs>
          <w:tab w:val="right" w:leader="dot" w:pos="9016"/>
        </w:tabs>
        <w:rPr>
          <w:rFonts w:asciiTheme="minorHAnsi" w:eastAsiaTheme="minorEastAsia" w:hAnsiTheme="minorHAnsi" w:cstheme="minorBidi"/>
          <w:noProof/>
          <w:szCs w:val="22"/>
          <w:lang w:eastAsia="en-GB"/>
        </w:rPr>
      </w:pPr>
      <w:hyperlink w:anchor="_Toc3904931" w:history="1">
        <w:r w:rsidR="00316350" w:rsidRPr="00B55E80">
          <w:rPr>
            <w:rStyle w:val="Hyperlink"/>
            <w:noProof/>
          </w:rPr>
          <w:t>The Proscribed Organisations Appeal Commission (“POAC”) and Pathogens Access Appeals Commission.</w:t>
        </w:r>
        <w:r w:rsidR="00316350">
          <w:rPr>
            <w:noProof/>
            <w:webHidden/>
          </w:rPr>
          <w:tab/>
        </w:r>
        <w:r w:rsidR="00316350">
          <w:rPr>
            <w:noProof/>
            <w:webHidden/>
          </w:rPr>
          <w:fldChar w:fldCharType="begin"/>
        </w:r>
        <w:r w:rsidR="00316350">
          <w:rPr>
            <w:noProof/>
            <w:webHidden/>
          </w:rPr>
          <w:instrText xml:space="preserve"> PAGEREF _Toc3904931 \h </w:instrText>
        </w:r>
        <w:r w:rsidR="00316350">
          <w:rPr>
            <w:noProof/>
            <w:webHidden/>
          </w:rPr>
        </w:r>
        <w:r w:rsidR="00316350">
          <w:rPr>
            <w:noProof/>
            <w:webHidden/>
          </w:rPr>
          <w:fldChar w:fldCharType="separate"/>
        </w:r>
        <w:r w:rsidR="00316350">
          <w:rPr>
            <w:noProof/>
            <w:webHidden/>
          </w:rPr>
          <w:t>57</w:t>
        </w:r>
        <w:r w:rsidR="00316350">
          <w:rPr>
            <w:noProof/>
            <w:webHidden/>
          </w:rPr>
          <w:fldChar w:fldCharType="end"/>
        </w:r>
      </w:hyperlink>
    </w:p>
    <w:p w14:paraId="31A7D0BC" w14:textId="153EE100" w:rsidR="00316350" w:rsidRDefault="00000000">
      <w:pPr>
        <w:pStyle w:val="TOC2"/>
        <w:rPr>
          <w:rFonts w:asciiTheme="minorHAnsi" w:eastAsiaTheme="minorEastAsia" w:hAnsiTheme="minorHAnsi" w:cstheme="minorBidi"/>
          <w:szCs w:val="22"/>
          <w:lang w:eastAsia="en-GB"/>
        </w:rPr>
      </w:pPr>
      <w:hyperlink w:anchor="_Toc3904932" w:history="1">
        <w:r w:rsidR="00316350" w:rsidRPr="00B55E80">
          <w:rPr>
            <w:rStyle w:val="Hyperlink"/>
          </w:rPr>
          <w:t>Contact Details</w:t>
        </w:r>
        <w:r w:rsidR="00316350">
          <w:rPr>
            <w:webHidden/>
          </w:rPr>
          <w:tab/>
        </w:r>
        <w:r w:rsidR="00316350">
          <w:rPr>
            <w:webHidden/>
          </w:rPr>
          <w:fldChar w:fldCharType="begin"/>
        </w:r>
        <w:r w:rsidR="00316350">
          <w:rPr>
            <w:webHidden/>
          </w:rPr>
          <w:instrText xml:space="preserve"> PAGEREF _Toc3904932 \h </w:instrText>
        </w:r>
        <w:r w:rsidR="00316350">
          <w:rPr>
            <w:webHidden/>
          </w:rPr>
        </w:r>
        <w:r w:rsidR="00316350">
          <w:rPr>
            <w:webHidden/>
          </w:rPr>
          <w:fldChar w:fldCharType="separate"/>
        </w:r>
        <w:r w:rsidR="00316350">
          <w:rPr>
            <w:webHidden/>
          </w:rPr>
          <w:t>59</w:t>
        </w:r>
        <w:r w:rsidR="00316350">
          <w:rPr>
            <w:webHidden/>
          </w:rPr>
          <w:fldChar w:fldCharType="end"/>
        </w:r>
      </w:hyperlink>
    </w:p>
    <w:p w14:paraId="43CC15C5" w14:textId="2F6625F7" w:rsidR="007D2428" w:rsidRPr="002D74C9" w:rsidRDefault="00D25F7D" w:rsidP="00993DAF">
      <w:pPr>
        <w:pStyle w:val="TOC2"/>
        <w:rPr>
          <w:rStyle w:val="Hyperlink"/>
          <w:rFonts w:cs="Arial"/>
          <w:color w:val="auto"/>
          <w:sz w:val="24"/>
        </w:rPr>
      </w:pPr>
      <w:r>
        <w:rPr>
          <w:rFonts w:cs="Arial"/>
          <w:noProof w:val="0"/>
          <w:sz w:val="24"/>
        </w:rPr>
        <w:fldChar w:fldCharType="end"/>
      </w:r>
    </w:p>
    <w:p w14:paraId="076BFF96" w14:textId="65BB28AB" w:rsidR="005474F7" w:rsidRPr="002D74C9" w:rsidRDefault="005474F7" w:rsidP="00165A95">
      <w:pPr>
        <w:spacing w:line="360" w:lineRule="auto"/>
        <w:jc w:val="both"/>
        <w:rPr>
          <w:rFonts w:ascii="Arial" w:hAnsi="Arial" w:cs="Arial"/>
          <w:sz w:val="24"/>
          <w:szCs w:val="24"/>
        </w:rPr>
      </w:pPr>
    </w:p>
    <w:p w14:paraId="5538C8E0" w14:textId="77777777" w:rsidR="002D74C9" w:rsidRDefault="002D74C9" w:rsidP="00165A95">
      <w:pPr>
        <w:pStyle w:val="ListParagraph"/>
        <w:spacing w:line="360" w:lineRule="auto"/>
        <w:ind w:left="0"/>
        <w:jc w:val="both"/>
        <w:rPr>
          <w:rFonts w:cs="Arial"/>
          <w:sz w:val="24"/>
        </w:rPr>
        <w:sectPr w:rsidR="002D74C9" w:rsidSect="009F09E8">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851" w:left="1440" w:header="568" w:footer="170" w:gutter="0"/>
          <w:cols w:space="708"/>
          <w:docGrid w:linePitch="360"/>
        </w:sectPr>
      </w:pPr>
    </w:p>
    <w:p w14:paraId="7E7F19BB" w14:textId="4B044276" w:rsidR="005474F7" w:rsidRPr="0014084D" w:rsidRDefault="005474F7" w:rsidP="00165A95">
      <w:pPr>
        <w:pStyle w:val="ListParagraph"/>
        <w:spacing w:line="360" w:lineRule="auto"/>
        <w:ind w:left="0"/>
        <w:jc w:val="both"/>
        <w:rPr>
          <w:rFonts w:cs="Arial"/>
          <w:sz w:val="24"/>
        </w:rPr>
      </w:pPr>
    </w:p>
    <w:p w14:paraId="6D0B0B66" w14:textId="61464DAF" w:rsidR="005474F7" w:rsidRPr="00DB405E" w:rsidRDefault="00262BEA" w:rsidP="00DB405E">
      <w:pPr>
        <w:pStyle w:val="Heading1"/>
      </w:pPr>
      <w:bookmarkStart w:id="0" w:name="_Toc479685169"/>
      <w:bookmarkStart w:id="1" w:name="_Toc499805091"/>
      <w:bookmarkStart w:id="2" w:name="_Toc3904876"/>
      <w:r>
        <w:t>Foreword</w:t>
      </w:r>
      <w:r w:rsidR="005474F7" w:rsidRPr="00DB405E">
        <w:t xml:space="preserve"> </w:t>
      </w:r>
      <w:r>
        <w:t>by the</w:t>
      </w:r>
      <w:r w:rsidR="005474F7" w:rsidRPr="00DB405E">
        <w:t xml:space="preserve"> </w:t>
      </w:r>
      <w:r>
        <w:t>Attorney</w:t>
      </w:r>
      <w:r w:rsidR="005474F7" w:rsidRPr="00DB405E">
        <w:t xml:space="preserve"> </w:t>
      </w:r>
      <w:r>
        <w:t>General</w:t>
      </w:r>
      <w:bookmarkEnd w:id="0"/>
      <w:bookmarkEnd w:id="1"/>
      <w:bookmarkEnd w:id="2"/>
    </w:p>
    <w:p w14:paraId="09779D9E" w14:textId="77777777" w:rsidR="009A62BB" w:rsidRDefault="009A62BB" w:rsidP="009A62BB">
      <w:pPr>
        <w:pStyle w:val="ListParagraph"/>
        <w:spacing w:line="360" w:lineRule="auto"/>
        <w:ind w:left="0"/>
        <w:jc w:val="both"/>
        <w:rPr>
          <w:rFonts w:cs="Arial"/>
          <w:sz w:val="24"/>
        </w:rPr>
      </w:pPr>
    </w:p>
    <w:p w14:paraId="17320598" w14:textId="43213775" w:rsidR="009A62BB" w:rsidRPr="009A62BB" w:rsidRDefault="009A62BB" w:rsidP="009A62BB">
      <w:pPr>
        <w:pStyle w:val="ListParagraph"/>
        <w:spacing w:line="360" w:lineRule="auto"/>
        <w:ind w:left="0"/>
        <w:jc w:val="both"/>
        <w:rPr>
          <w:rFonts w:cs="Arial"/>
          <w:sz w:val="24"/>
        </w:rPr>
      </w:pPr>
      <w:r w:rsidRPr="009A62BB">
        <w:rPr>
          <w:rFonts w:cs="Arial"/>
          <w:sz w:val="24"/>
        </w:rPr>
        <w:t>The first edition of this manual was published in November 2006, since which time there have been considerable changes in the law and procedures governing when CLOSED material procedures may be adopted, not least the introduction of the Justice and Security Act 2013, which in certain circumstances allows material to be withheld from disclosure in civil proceedings. Special Advocates have played and, I am certain, will continue to play an important role both in individual cases when they are appointed and more generally in the development of this area of the law.</w:t>
      </w:r>
    </w:p>
    <w:p w14:paraId="3676E4BE" w14:textId="77777777" w:rsidR="009A62BB" w:rsidRPr="009A62BB" w:rsidRDefault="009A62BB" w:rsidP="009A62BB">
      <w:pPr>
        <w:spacing w:line="360" w:lineRule="auto"/>
        <w:jc w:val="both"/>
        <w:rPr>
          <w:rFonts w:ascii="Arial" w:hAnsi="Arial" w:cs="Arial"/>
          <w:sz w:val="24"/>
        </w:rPr>
      </w:pPr>
    </w:p>
    <w:p w14:paraId="750D5821" w14:textId="3DC48032" w:rsidR="009A62BB" w:rsidRPr="009A62BB" w:rsidRDefault="009A62BB" w:rsidP="009A62BB">
      <w:pPr>
        <w:spacing w:line="360" w:lineRule="auto"/>
        <w:jc w:val="both"/>
        <w:rPr>
          <w:rFonts w:ascii="Arial" w:hAnsi="Arial" w:cs="Arial"/>
          <w:sz w:val="24"/>
        </w:rPr>
      </w:pPr>
      <w:r w:rsidRPr="009A62BB">
        <w:rPr>
          <w:rFonts w:ascii="Arial" w:hAnsi="Arial" w:cs="Arial"/>
          <w:sz w:val="24"/>
        </w:rPr>
        <w:t>For a variety of reasons, for instance on grounds of national security, it is sometimes necessary to depart from the fundamental principle of open justice and permit sensitive material to be relied on in legal proceedings but not to be disclosed to all of the parties to those proceedings. Special Advocates, supported by the Special Advocates’ Support Office, play a unique and vital role in ensuring that this can be achieved in a manner which maintains the fairness of proceedings to those excluded from seeing such material.</w:t>
      </w:r>
    </w:p>
    <w:p w14:paraId="32C93922" w14:textId="77777777" w:rsidR="009A62BB" w:rsidRPr="009A62BB" w:rsidRDefault="009A62BB" w:rsidP="009A62BB">
      <w:pPr>
        <w:pStyle w:val="ListParagraph"/>
        <w:spacing w:line="360" w:lineRule="auto"/>
        <w:ind w:left="0"/>
        <w:jc w:val="both"/>
        <w:rPr>
          <w:rFonts w:cs="Arial"/>
          <w:sz w:val="24"/>
        </w:rPr>
      </w:pPr>
    </w:p>
    <w:p w14:paraId="73660DA0" w14:textId="1771B6F0" w:rsidR="005474F7" w:rsidRPr="009A62BB" w:rsidRDefault="009A62BB" w:rsidP="009A62BB">
      <w:pPr>
        <w:pStyle w:val="ListParagraph"/>
        <w:spacing w:line="360" w:lineRule="auto"/>
        <w:ind w:left="0"/>
        <w:jc w:val="both"/>
        <w:rPr>
          <w:rFonts w:cs="Arial"/>
          <w:sz w:val="24"/>
        </w:rPr>
      </w:pPr>
      <w:r w:rsidRPr="009A62BB">
        <w:rPr>
          <w:rFonts w:cs="Arial"/>
          <w:sz w:val="24"/>
        </w:rPr>
        <w:t>I hope you will find the contents of this manual useful in terms of giving an insight into the important role of Special Advocates and the Special Advocates’ Support Office, and also how the law and procedures have developed and are currently applied in proceedings involving sensitive information.</w:t>
      </w:r>
    </w:p>
    <w:p w14:paraId="2D259881" w14:textId="77777777" w:rsidR="005474F7" w:rsidRPr="0014084D" w:rsidRDefault="005474F7" w:rsidP="00165A95">
      <w:pPr>
        <w:pStyle w:val="ListParagraph"/>
        <w:spacing w:line="360" w:lineRule="auto"/>
        <w:ind w:left="0"/>
        <w:jc w:val="both"/>
        <w:rPr>
          <w:rFonts w:cs="Arial"/>
          <w:b/>
          <w:sz w:val="24"/>
        </w:rPr>
      </w:pPr>
    </w:p>
    <w:p w14:paraId="67C1B334" w14:textId="77777777" w:rsidR="007C408C" w:rsidRDefault="007C408C" w:rsidP="00165A95">
      <w:pPr>
        <w:pStyle w:val="ListParagraph"/>
        <w:spacing w:line="360" w:lineRule="auto"/>
        <w:ind w:left="0"/>
        <w:jc w:val="both"/>
        <w:rPr>
          <w:rFonts w:cs="Arial"/>
          <w:b/>
          <w:sz w:val="24"/>
        </w:rPr>
      </w:pPr>
    </w:p>
    <w:p w14:paraId="16585D90" w14:textId="6AA9E28D" w:rsidR="005474F7" w:rsidRPr="00DD56F9" w:rsidRDefault="005474F7" w:rsidP="00165A95">
      <w:pPr>
        <w:pStyle w:val="ListParagraph"/>
        <w:spacing w:line="360" w:lineRule="auto"/>
        <w:ind w:left="0"/>
        <w:jc w:val="both"/>
        <w:rPr>
          <w:rFonts w:cs="Arial"/>
          <w:b/>
          <w:sz w:val="24"/>
        </w:rPr>
      </w:pPr>
      <w:r w:rsidRPr="00DD56F9">
        <w:rPr>
          <w:rFonts w:cs="Arial"/>
          <w:b/>
          <w:sz w:val="24"/>
        </w:rPr>
        <w:t xml:space="preserve">The Rt Hon </w:t>
      </w:r>
      <w:r w:rsidR="00DD56F9" w:rsidRPr="00DD56F9">
        <w:rPr>
          <w:rFonts w:cs="Arial"/>
          <w:b/>
          <w:sz w:val="24"/>
        </w:rPr>
        <w:t>Victoria Prentis</w:t>
      </w:r>
      <w:r w:rsidR="00B80294" w:rsidRPr="00DD56F9">
        <w:rPr>
          <w:rFonts w:cs="Arial"/>
          <w:b/>
          <w:sz w:val="24"/>
        </w:rPr>
        <w:t xml:space="preserve"> QC</w:t>
      </w:r>
      <w:r w:rsidRPr="00DD56F9">
        <w:rPr>
          <w:rFonts w:cs="Arial"/>
          <w:b/>
          <w:sz w:val="24"/>
        </w:rPr>
        <w:t xml:space="preserve"> MP</w:t>
      </w:r>
    </w:p>
    <w:p w14:paraId="570A28D7" w14:textId="77777777" w:rsidR="005474F7" w:rsidRPr="00DD56F9" w:rsidRDefault="005474F7" w:rsidP="00165A95">
      <w:pPr>
        <w:pStyle w:val="ListParagraph"/>
        <w:spacing w:line="360" w:lineRule="auto"/>
        <w:ind w:left="0"/>
        <w:jc w:val="both"/>
        <w:rPr>
          <w:rFonts w:cs="Arial"/>
          <w:sz w:val="24"/>
          <w:u w:val="single"/>
        </w:rPr>
      </w:pPr>
      <w:r w:rsidRPr="00DD56F9">
        <w:rPr>
          <w:rFonts w:cs="Arial"/>
          <w:sz w:val="24"/>
          <w:u w:val="single"/>
        </w:rPr>
        <w:t>Attorney General</w:t>
      </w:r>
      <w:r w:rsidR="00AD180A" w:rsidRPr="00DD56F9">
        <w:rPr>
          <w:rFonts w:cs="Arial"/>
          <w:sz w:val="24"/>
          <w:u w:val="single"/>
        </w:rPr>
        <w:t xml:space="preserve"> for England and Wales</w:t>
      </w:r>
    </w:p>
    <w:p w14:paraId="3BCD9D8B" w14:textId="77777777" w:rsidR="00AD180A" w:rsidRPr="0014084D" w:rsidRDefault="00AD180A" w:rsidP="00165A95">
      <w:pPr>
        <w:pStyle w:val="ListParagraph"/>
        <w:spacing w:line="360" w:lineRule="auto"/>
        <w:ind w:left="0"/>
        <w:jc w:val="both"/>
        <w:rPr>
          <w:rFonts w:cs="Arial"/>
          <w:sz w:val="24"/>
          <w:u w:val="single"/>
        </w:rPr>
      </w:pPr>
      <w:r w:rsidRPr="00DD56F9">
        <w:rPr>
          <w:rFonts w:cs="Arial"/>
          <w:sz w:val="24"/>
          <w:u w:val="single"/>
        </w:rPr>
        <w:t>Advocate General for Northern Ireland</w:t>
      </w:r>
    </w:p>
    <w:p w14:paraId="5A21A461" w14:textId="77777777" w:rsidR="005474F7" w:rsidRPr="0014084D" w:rsidRDefault="005474F7" w:rsidP="00165A95">
      <w:pPr>
        <w:pStyle w:val="ListParagraph"/>
        <w:spacing w:line="360" w:lineRule="auto"/>
        <w:ind w:left="0"/>
        <w:jc w:val="both"/>
        <w:rPr>
          <w:rFonts w:cs="Arial"/>
          <w:sz w:val="24"/>
        </w:rPr>
      </w:pPr>
    </w:p>
    <w:p w14:paraId="57ABF0A2" w14:textId="77777777" w:rsidR="005474F7" w:rsidRPr="0014084D" w:rsidRDefault="005474F7" w:rsidP="00165A95">
      <w:pPr>
        <w:pStyle w:val="ListParagraph"/>
        <w:spacing w:line="360" w:lineRule="auto"/>
        <w:ind w:left="0"/>
        <w:jc w:val="both"/>
        <w:rPr>
          <w:rFonts w:cs="Arial"/>
          <w:sz w:val="24"/>
        </w:rPr>
      </w:pPr>
    </w:p>
    <w:p w14:paraId="7F3D23A7" w14:textId="77777777" w:rsidR="003C6BBE" w:rsidRDefault="003C6BBE" w:rsidP="00165A95">
      <w:pPr>
        <w:pStyle w:val="ListParagraph"/>
        <w:spacing w:line="360" w:lineRule="auto"/>
        <w:ind w:left="0"/>
        <w:jc w:val="both"/>
        <w:rPr>
          <w:rFonts w:cs="Arial"/>
          <w:sz w:val="24"/>
        </w:rPr>
        <w:sectPr w:rsidR="003C6BBE" w:rsidSect="009F09E8">
          <w:headerReference w:type="even" r:id="rId20"/>
          <w:headerReference w:type="default" r:id="rId21"/>
          <w:headerReference w:type="first" r:id="rId22"/>
          <w:pgSz w:w="11906" w:h="16838" w:code="9"/>
          <w:pgMar w:top="1276" w:right="1440" w:bottom="851" w:left="1440" w:header="709" w:footer="170" w:gutter="0"/>
          <w:cols w:space="708"/>
          <w:docGrid w:linePitch="360"/>
        </w:sectPr>
      </w:pPr>
    </w:p>
    <w:p w14:paraId="769C9829" w14:textId="3D6D7896" w:rsidR="005474F7" w:rsidRPr="0014084D" w:rsidRDefault="00E66BEF" w:rsidP="00DB405E">
      <w:pPr>
        <w:pStyle w:val="Heading1"/>
      </w:pPr>
      <w:bookmarkStart w:id="3" w:name="_Toc499805092"/>
      <w:bookmarkStart w:id="4" w:name="_Toc3904877"/>
      <w:r>
        <w:lastRenderedPageBreak/>
        <w:t>PART I</w:t>
      </w:r>
      <w:r w:rsidR="00FC620D">
        <w:t xml:space="preserve"> – </w:t>
      </w:r>
      <w:bookmarkStart w:id="5" w:name="Part1"/>
      <w:r w:rsidR="00443444">
        <w:t>Introduction</w:t>
      </w:r>
      <w:bookmarkEnd w:id="3"/>
      <w:bookmarkEnd w:id="4"/>
      <w:bookmarkEnd w:id="5"/>
    </w:p>
    <w:p w14:paraId="39923C50" w14:textId="77777777" w:rsidR="00E66BEF" w:rsidRPr="00E66BEF" w:rsidRDefault="00E66BEF" w:rsidP="00E66BEF"/>
    <w:p w14:paraId="6C162C31" w14:textId="25E7681F" w:rsidR="005474F7" w:rsidRPr="003966DA" w:rsidRDefault="005474F7" w:rsidP="003966DA">
      <w:pPr>
        <w:pStyle w:val="OPENmanualpara"/>
      </w:pPr>
      <w:r w:rsidRPr="003966DA">
        <w:t xml:space="preserve">This </w:t>
      </w:r>
      <w:r w:rsidR="006C0807" w:rsidRPr="003966DA">
        <w:t>manual</w:t>
      </w:r>
      <w:r w:rsidR="00B80294" w:rsidRPr="003966DA">
        <w:t xml:space="preserve"> is </w:t>
      </w:r>
      <w:r w:rsidR="00101CC0" w:rsidRPr="003966DA">
        <w:t>intended as a guide to the S</w:t>
      </w:r>
      <w:r w:rsidRPr="003966DA">
        <w:t xml:space="preserve">pecial </w:t>
      </w:r>
      <w:r w:rsidR="00101CC0" w:rsidRPr="003966DA">
        <w:t>A</w:t>
      </w:r>
      <w:r w:rsidRPr="003966DA">
        <w:t>dvocate system</w:t>
      </w:r>
      <w:r w:rsidR="008122B8">
        <w:t xml:space="preserve">, and that of </w:t>
      </w:r>
      <w:r w:rsidR="008122B8" w:rsidRPr="00E71929">
        <w:t>CLOSED</w:t>
      </w:r>
      <w:r w:rsidR="008122B8">
        <w:t xml:space="preserve"> material proceedings</w:t>
      </w:r>
      <w:r w:rsidRPr="003966DA">
        <w:t xml:space="preserve">. It aims to set out some of the legal framework within which this system operates and also to deal with some of the practical considerations which underpin the </w:t>
      </w:r>
      <w:r w:rsidR="00101CC0" w:rsidRPr="003966DA">
        <w:t>system</w:t>
      </w:r>
      <w:r w:rsidRPr="003966DA">
        <w:t>. It does not</w:t>
      </w:r>
      <w:r w:rsidR="00A00C57" w:rsidRPr="003966DA">
        <w:t xml:space="preserve"> </w:t>
      </w:r>
      <w:r w:rsidRPr="003966DA">
        <w:t>purport to cover every area, to examine case law in depth, or to answer all of the many</w:t>
      </w:r>
      <w:r w:rsidR="00101CC0" w:rsidRPr="003966DA">
        <w:t xml:space="preserve"> questions that may arise in this</w:t>
      </w:r>
      <w:r w:rsidRPr="003966DA">
        <w:t xml:space="preserve"> co</w:t>
      </w:r>
      <w:r w:rsidR="00101CC0" w:rsidRPr="003966DA">
        <w:t>ntext</w:t>
      </w:r>
      <w:r w:rsidRPr="003966DA">
        <w:t>.</w:t>
      </w:r>
    </w:p>
    <w:p w14:paraId="29AA3DFA" w14:textId="77777777" w:rsidR="005474F7" w:rsidRPr="0014084D" w:rsidRDefault="00101CC0" w:rsidP="003966DA">
      <w:pPr>
        <w:pStyle w:val="OPENmanualpara"/>
      </w:pPr>
      <w:r w:rsidRPr="0014084D">
        <w:t>The Special A</w:t>
      </w:r>
      <w:r w:rsidR="005474F7" w:rsidRPr="0014084D">
        <w:t>dvocate system has existed</w:t>
      </w:r>
      <w:r w:rsidR="00D7508F">
        <w:t xml:space="preserve"> since 1997</w:t>
      </w:r>
      <w:r w:rsidR="005474F7" w:rsidRPr="0014084D">
        <w:t xml:space="preserve"> and is constantly evolving. This means that it often gives rise to novel issues.</w:t>
      </w:r>
    </w:p>
    <w:p w14:paraId="03186223" w14:textId="1EB52C2D" w:rsidR="005474F7" w:rsidRPr="0014084D" w:rsidRDefault="00D7508F" w:rsidP="003966DA">
      <w:pPr>
        <w:pStyle w:val="OPENmanualpara"/>
      </w:pPr>
      <w:r>
        <w:t xml:space="preserve">This </w:t>
      </w:r>
      <w:r w:rsidR="006C0807" w:rsidRPr="0014084D">
        <w:t>manual</w:t>
      </w:r>
      <w:r w:rsidR="005474F7" w:rsidRPr="0014084D">
        <w:t xml:space="preserve"> </w:t>
      </w:r>
      <w:r>
        <w:t xml:space="preserve">is </w:t>
      </w:r>
      <w:r w:rsidR="005474F7" w:rsidRPr="0014084D">
        <w:t xml:space="preserve">intended to provide guidance on civil proceedings involving </w:t>
      </w:r>
      <w:r w:rsidR="00AD180A" w:rsidRPr="0014084D">
        <w:t xml:space="preserve">a </w:t>
      </w:r>
      <w:r w:rsidR="00101CC0" w:rsidRPr="0014084D">
        <w:t>Special A</w:t>
      </w:r>
      <w:r w:rsidR="00AD180A" w:rsidRPr="0014084D">
        <w:t>dvocate</w:t>
      </w:r>
      <w:r w:rsidR="00A00C57">
        <w:t xml:space="preserve">. </w:t>
      </w:r>
      <w:r>
        <w:t xml:space="preserve">It </w:t>
      </w:r>
      <w:r w:rsidR="005474F7" w:rsidRPr="0014084D">
        <w:t>do</w:t>
      </w:r>
      <w:r>
        <w:t>es</w:t>
      </w:r>
      <w:r w:rsidR="005474F7" w:rsidRPr="0014084D">
        <w:t xml:space="preserve"> not deal with the appointment of </w:t>
      </w:r>
      <w:r w:rsidR="00101CC0" w:rsidRPr="0014084D">
        <w:t>S</w:t>
      </w:r>
      <w:r w:rsidR="005474F7" w:rsidRPr="0014084D">
        <w:t xml:space="preserve">pecial </w:t>
      </w:r>
      <w:r w:rsidR="00101CC0" w:rsidRPr="0014084D">
        <w:t>C</w:t>
      </w:r>
      <w:r w:rsidR="005474F7" w:rsidRPr="0014084D">
        <w:t>ounsel in criminal cases</w:t>
      </w:r>
      <w:r w:rsidR="00D52355">
        <w:rPr>
          <w:rStyle w:val="FootnoteReference"/>
        </w:rPr>
        <w:footnoteReference w:id="1"/>
      </w:r>
      <w:r w:rsidR="005474F7" w:rsidRPr="0014084D">
        <w:t xml:space="preserve">.  </w:t>
      </w:r>
    </w:p>
    <w:p w14:paraId="597982AC" w14:textId="77777777" w:rsidR="005474F7" w:rsidRPr="0014084D" w:rsidRDefault="005474F7" w:rsidP="003966DA">
      <w:pPr>
        <w:pStyle w:val="OPENmanualpara"/>
      </w:pPr>
      <w:r w:rsidRPr="0014084D">
        <w:t xml:space="preserve">The content of this </w:t>
      </w:r>
      <w:r w:rsidR="006C0807" w:rsidRPr="0014084D">
        <w:t>manual</w:t>
      </w:r>
      <w:r w:rsidRPr="0014084D">
        <w:t xml:space="preserve"> is the responsibility of the Sp</w:t>
      </w:r>
      <w:r w:rsidR="004C06A6" w:rsidRPr="0014084D">
        <w:t>ecial Advocates’ Support Office</w:t>
      </w:r>
      <w:r w:rsidR="00064997" w:rsidRPr="0014084D">
        <w:t xml:space="preserve"> (“SASO”)</w:t>
      </w:r>
      <w:r w:rsidR="005B2BBB" w:rsidRPr="0014084D">
        <w:t xml:space="preserve"> which act</w:t>
      </w:r>
      <w:r w:rsidR="00AD180A" w:rsidRPr="0014084D">
        <w:t xml:space="preserve">s independently of Government. </w:t>
      </w:r>
      <w:r w:rsidR="005B2BBB" w:rsidRPr="0014084D">
        <w:t>Accordingly</w:t>
      </w:r>
      <w:r w:rsidR="00AD180A" w:rsidRPr="0014084D">
        <w:t>,</w:t>
      </w:r>
      <w:r w:rsidR="005B2BBB" w:rsidRPr="0014084D">
        <w:t xml:space="preserve"> the content of this </w:t>
      </w:r>
      <w:r w:rsidR="006C0807" w:rsidRPr="0014084D">
        <w:t>manual</w:t>
      </w:r>
      <w:r w:rsidR="005B2BBB" w:rsidRPr="0014084D">
        <w:t xml:space="preserve"> should not be taken as representing the view of Government on any particular issue. </w:t>
      </w:r>
      <w:r w:rsidR="00064997" w:rsidRPr="0014084D">
        <w:t xml:space="preserve"> </w:t>
      </w:r>
    </w:p>
    <w:p w14:paraId="2596F5E7" w14:textId="77777777" w:rsidR="005474F7" w:rsidRPr="0014084D" w:rsidRDefault="005474F7" w:rsidP="003966DA">
      <w:pPr>
        <w:pStyle w:val="OPENmanualpara"/>
      </w:pPr>
      <w:r w:rsidRPr="0014084D">
        <w:t>SASO is always willing to provide further information and assistance when it is appropriate to do so, and any comments or feedback</w:t>
      </w:r>
      <w:r w:rsidR="00413C4D" w:rsidRPr="0014084D">
        <w:t xml:space="preserve"> on the content of this </w:t>
      </w:r>
      <w:r w:rsidR="006C0807" w:rsidRPr="0014084D">
        <w:t>manual</w:t>
      </w:r>
      <w:r w:rsidR="00413C4D" w:rsidRPr="0014084D">
        <w:t xml:space="preserve"> </w:t>
      </w:r>
      <w:r w:rsidR="00716FB8">
        <w:t>will</w:t>
      </w:r>
      <w:r w:rsidR="00D7508F">
        <w:t xml:space="preserve"> </w:t>
      </w:r>
      <w:r w:rsidRPr="0014084D">
        <w:t>be gratefully received.</w:t>
      </w:r>
    </w:p>
    <w:p w14:paraId="2B645B3D" w14:textId="77777777" w:rsidR="005474F7" w:rsidRPr="0014084D" w:rsidRDefault="005474F7" w:rsidP="00165A95">
      <w:pPr>
        <w:pStyle w:val="ListParagraph"/>
        <w:spacing w:line="360" w:lineRule="auto"/>
        <w:ind w:left="0"/>
        <w:jc w:val="both"/>
        <w:rPr>
          <w:rFonts w:cs="Arial"/>
          <w:sz w:val="24"/>
        </w:rPr>
      </w:pPr>
    </w:p>
    <w:p w14:paraId="440CEF1A" w14:textId="77777777" w:rsidR="002467F5" w:rsidRDefault="002467F5" w:rsidP="00165A95">
      <w:pPr>
        <w:pStyle w:val="ListParagraph"/>
        <w:spacing w:line="360" w:lineRule="auto"/>
        <w:ind w:left="0"/>
        <w:jc w:val="both"/>
        <w:rPr>
          <w:rFonts w:cs="Arial"/>
          <w:sz w:val="24"/>
        </w:rPr>
        <w:sectPr w:rsidR="002467F5" w:rsidSect="009F09E8">
          <w:headerReference w:type="even" r:id="rId23"/>
          <w:headerReference w:type="first" r:id="rId24"/>
          <w:pgSz w:w="11906" w:h="16838" w:code="9"/>
          <w:pgMar w:top="1440" w:right="1440" w:bottom="851" w:left="1440" w:header="709" w:footer="170" w:gutter="0"/>
          <w:cols w:space="708"/>
          <w:docGrid w:linePitch="360"/>
        </w:sectPr>
      </w:pPr>
    </w:p>
    <w:p w14:paraId="39EDB780" w14:textId="77777777" w:rsidR="005474F7" w:rsidRPr="00DB405E" w:rsidRDefault="005474F7" w:rsidP="00DB405E">
      <w:pPr>
        <w:pStyle w:val="Heading2"/>
      </w:pPr>
      <w:bookmarkStart w:id="6" w:name="_Toc499805093"/>
      <w:bookmarkStart w:id="7" w:name="_Toc3904878"/>
      <w:bookmarkStart w:id="8" w:name="Glossary"/>
      <w:r w:rsidRPr="00DB405E">
        <w:lastRenderedPageBreak/>
        <w:t>Glossary</w:t>
      </w:r>
      <w:bookmarkEnd w:id="6"/>
      <w:bookmarkEnd w:id="7"/>
    </w:p>
    <w:bookmarkEnd w:id="8"/>
    <w:p w14:paraId="6FA57BB2" w14:textId="77777777" w:rsidR="005474F7" w:rsidRPr="0014084D" w:rsidRDefault="005474F7" w:rsidP="003966DA">
      <w:pPr>
        <w:pStyle w:val="OPENmanualpara"/>
        <w:numPr>
          <w:ilvl w:val="0"/>
          <w:numId w:val="0"/>
        </w:numPr>
      </w:pPr>
      <w:r w:rsidRPr="0014084D">
        <w:t xml:space="preserve">The Special Advocate system has </w:t>
      </w:r>
      <w:r w:rsidR="006C0807" w:rsidRPr="0014084D">
        <w:t xml:space="preserve">developed its own terminology. </w:t>
      </w:r>
      <w:r w:rsidR="00EF1AC7">
        <w:t xml:space="preserve">Some of </w:t>
      </w:r>
      <w:r w:rsidRPr="0014084D">
        <w:t>the more frequently used terms are set out below:</w:t>
      </w:r>
    </w:p>
    <w:tbl>
      <w:tblPr>
        <w:tblW w:w="8080" w:type="dxa"/>
        <w:jc w:val="center"/>
        <w:tblLook w:val="04A0" w:firstRow="1" w:lastRow="0" w:firstColumn="1" w:lastColumn="0" w:noHBand="0" w:noVBand="1"/>
      </w:tblPr>
      <w:tblGrid>
        <w:gridCol w:w="2841"/>
        <w:gridCol w:w="5239"/>
      </w:tblGrid>
      <w:tr w:rsidR="005474F7" w:rsidRPr="0014084D" w14:paraId="5751CF9E" w14:textId="77777777" w:rsidTr="003966DA">
        <w:trPr>
          <w:cantSplit/>
          <w:jc w:val="center"/>
        </w:trPr>
        <w:tc>
          <w:tcPr>
            <w:tcW w:w="2841" w:type="dxa"/>
            <w:hideMark/>
          </w:tcPr>
          <w:p w14:paraId="3A873F78" w14:textId="77777777" w:rsidR="005474F7" w:rsidRPr="0014084D" w:rsidRDefault="005474F7" w:rsidP="00165A95">
            <w:pPr>
              <w:jc w:val="both"/>
              <w:rPr>
                <w:rFonts w:ascii="Arial" w:hAnsi="Arial" w:cs="Arial"/>
                <w:sz w:val="24"/>
                <w:szCs w:val="24"/>
              </w:rPr>
            </w:pPr>
            <w:r w:rsidRPr="0014084D">
              <w:rPr>
                <w:rFonts w:ascii="Arial" w:hAnsi="Arial" w:cs="Arial"/>
                <w:sz w:val="24"/>
                <w:szCs w:val="24"/>
              </w:rPr>
              <w:t>Appointment</w:t>
            </w:r>
          </w:p>
        </w:tc>
        <w:tc>
          <w:tcPr>
            <w:tcW w:w="5239" w:type="dxa"/>
            <w:hideMark/>
          </w:tcPr>
          <w:p w14:paraId="719AB655" w14:textId="77777777" w:rsidR="005474F7" w:rsidRPr="0014084D" w:rsidRDefault="00A00C57" w:rsidP="00A00C57">
            <w:pPr>
              <w:jc w:val="both"/>
              <w:rPr>
                <w:rFonts w:ascii="Arial" w:hAnsi="Arial" w:cs="Arial"/>
                <w:sz w:val="24"/>
                <w:szCs w:val="24"/>
              </w:rPr>
            </w:pPr>
            <w:r>
              <w:rPr>
                <w:rFonts w:ascii="Arial" w:hAnsi="Arial" w:cs="Arial"/>
                <w:sz w:val="24"/>
                <w:szCs w:val="24"/>
              </w:rPr>
              <w:t>The process w</w:t>
            </w:r>
            <w:r w:rsidR="005474F7" w:rsidRPr="0014084D">
              <w:rPr>
                <w:rFonts w:ascii="Arial" w:hAnsi="Arial" w:cs="Arial"/>
                <w:sz w:val="24"/>
                <w:szCs w:val="24"/>
              </w:rPr>
              <w:t>here</w:t>
            </w:r>
            <w:r>
              <w:rPr>
                <w:rFonts w:ascii="Arial" w:hAnsi="Arial" w:cs="Arial"/>
                <w:sz w:val="24"/>
                <w:szCs w:val="24"/>
              </w:rPr>
              <w:t>by</w:t>
            </w:r>
            <w:r w:rsidR="005474F7" w:rsidRPr="0014084D">
              <w:rPr>
                <w:rFonts w:ascii="Arial" w:hAnsi="Arial" w:cs="Arial"/>
                <w:sz w:val="24"/>
                <w:szCs w:val="24"/>
              </w:rPr>
              <w:t xml:space="preserve"> the Attorney General </w:t>
            </w:r>
            <w:r w:rsidR="004C06A6" w:rsidRPr="0014084D">
              <w:rPr>
                <w:rFonts w:ascii="Arial" w:hAnsi="Arial" w:cs="Arial"/>
                <w:sz w:val="24"/>
                <w:szCs w:val="24"/>
              </w:rPr>
              <w:t>appoints a S</w:t>
            </w:r>
            <w:r w:rsidR="005474F7" w:rsidRPr="0014084D">
              <w:rPr>
                <w:rFonts w:ascii="Arial" w:hAnsi="Arial" w:cs="Arial"/>
                <w:sz w:val="24"/>
                <w:szCs w:val="24"/>
              </w:rPr>
              <w:t xml:space="preserve">pecial </w:t>
            </w:r>
            <w:r w:rsidR="004C06A6" w:rsidRPr="0014084D">
              <w:rPr>
                <w:rFonts w:ascii="Arial" w:hAnsi="Arial" w:cs="Arial"/>
                <w:sz w:val="24"/>
                <w:szCs w:val="24"/>
              </w:rPr>
              <w:t>A</w:t>
            </w:r>
            <w:r w:rsidR="005474F7" w:rsidRPr="0014084D">
              <w:rPr>
                <w:rFonts w:ascii="Arial" w:hAnsi="Arial" w:cs="Arial"/>
                <w:sz w:val="24"/>
                <w:szCs w:val="24"/>
              </w:rPr>
              <w:t>dvocate to act in a case.</w:t>
            </w:r>
          </w:p>
        </w:tc>
      </w:tr>
      <w:tr w:rsidR="005474F7" w:rsidRPr="0014084D" w14:paraId="702ECFEA" w14:textId="77777777" w:rsidTr="003966DA">
        <w:trPr>
          <w:cantSplit/>
          <w:jc w:val="center"/>
        </w:trPr>
        <w:tc>
          <w:tcPr>
            <w:tcW w:w="2841" w:type="dxa"/>
            <w:hideMark/>
          </w:tcPr>
          <w:p w14:paraId="7896BA3C" w14:textId="77777777" w:rsidR="005474F7" w:rsidRPr="0014084D" w:rsidRDefault="005474F7" w:rsidP="00165A95">
            <w:pPr>
              <w:jc w:val="both"/>
              <w:rPr>
                <w:rFonts w:ascii="Arial" w:hAnsi="Arial" w:cs="Arial"/>
                <w:sz w:val="24"/>
                <w:szCs w:val="24"/>
              </w:rPr>
            </w:pPr>
            <w:r w:rsidRPr="0014084D">
              <w:rPr>
                <w:rFonts w:ascii="Arial" w:hAnsi="Arial" w:cs="Arial"/>
                <w:sz w:val="24"/>
                <w:szCs w:val="24"/>
              </w:rPr>
              <w:t>CLOSED judgment</w:t>
            </w:r>
          </w:p>
        </w:tc>
        <w:tc>
          <w:tcPr>
            <w:tcW w:w="5239" w:type="dxa"/>
            <w:hideMark/>
          </w:tcPr>
          <w:p w14:paraId="497387D5" w14:textId="77777777" w:rsidR="005474F7" w:rsidRPr="0014084D" w:rsidRDefault="005474F7" w:rsidP="00165A95">
            <w:pPr>
              <w:jc w:val="both"/>
              <w:rPr>
                <w:rFonts w:ascii="Arial" w:hAnsi="Arial" w:cs="Arial"/>
                <w:sz w:val="24"/>
                <w:szCs w:val="24"/>
              </w:rPr>
            </w:pPr>
            <w:r w:rsidRPr="0014084D">
              <w:rPr>
                <w:rFonts w:ascii="Arial" w:hAnsi="Arial" w:cs="Arial"/>
                <w:sz w:val="24"/>
                <w:szCs w:val="24"/>
              </w:rPr>
              <w:t>A judicial determination which refers to CLOSED material and is only available to certain parties.</w:t>
            </w:r>
          </w:p>
        </w:tc>
      </w:tr>
      <w:tr w:rsidR="00413C4D" w:rsidRPr="0014084D" w14:paraId="4ABF8BA0" w14:textId="77777777" w:rsidTr="003966DA">
        <w:trPr>
          <w:cantSplit/>
          <w:jc w:val="center"/>
        </w:trPr>
        <w:tc>
          <w:tcPr>
            <w:tcW w:w="2841" w:type="dxa"/>
            <w:hideMark/>
          </w:tcPr>
          <w:p w14:paraId="4EEB4688" w14:textId="77777777" w:rsidR="00413C4D" w:rsidRPr="0014084D" w:rsidRDefault="00413C4D" w:rsidP="00165A95">
            <w:pPr>
              <w:jc w:val="both"/>
              <w:rPr>
                <w:rFonts w:ascii="Arial" w:hAnsi="Arial" w:cs="Arial"/>
                <w:sz w:val="24"/>
                <w:szCs w:val="24"/>
              </w:rPr>
            </w:pPr>
            <w:r w:rsidRPr="0014084D">
              <w:rPr>
                <w:rFonts w:ascii="Arial" w:hAnsi="Arial" w:cs="Arial"/>
                <w:sz w:val="24"/>
                <w:szCs w:val="24"/>
              </w:rPr>
              <w:t>CLOSED material</w:t>
            </w:r>
          </w:p>
        </w:tc>
        <w:tc>
          <w:tcPr>
            <w:tcW w:w="5239" w:type="dxa"/>
            <w:hideMark/>
          </w:tcPr>
          <w:p w14:paraId="32FDB96E" w14:textId="1FEF5E71" w:rsidR="00413C4D" w:rsidRPr="0014084D" w:rsidRDefault="00413C4D" w:rsidP="004B5E37">
            <w:pPr>
              <w:jc w:val="both"/>
              <w:rPr>
                <w:rFonts w:ascii="Arial" w:hAnsi="Arial" w:cs="Arial"/>
                <w:sz w:val="24"/>
                <w:szCs w:val="24"/>
              </w:rPr>
            </w:pPr>
            <w:r w:rsidRPr="0014084D">
              <w:rPr>
                <w:rFonts w:ascii="Arial" w:hAnsi="Arial" w:cs="Arial"/>
                <w:sz w:val="24"/>
                <w:szCs w:val="24"/>
              </w:rPr>
              <w:t xml:space="preserve">Classified or otherwise sensitive material which the </w:t>
            </w:r>
            <w:r w:rsidR="00FC620D">
              <w:rPr>
                <w:rFonts w:ascii="Arial" w:hAnsi="Arial" w:cs="Arial"/>
                <w:sz w:val="24"/>
                <w:szCs w:val="24"/>
              </w:rPr>
              <w:t>Information Owner</w:t>
            </w:r>
            <w:r w:rsidRPr="0014084D">
              <w:rPr>
                <w:rFonts w:ascii="Arial" w:hAnsi="Arial" w:cs="Arial"/>
                <w:sz w:val="24"/>
                <w:szCs w:val="24"/>
              </w:rPr>
              <w:t xml:space="preserve"> wishes to rely on in proceedings but objects to disclosing to an </w:t>
            </w:r>
            <w:r w:rsidR="004B5E37">
              <w:rPr>
                <w:rFonts w:ascii="Arial" w:hAnsi="Arial" w:cs="Arial"/>
                <w:sz w:val="24"/>
                <w:szCs w:val="24"/>
              </w:rPr>
              <w:t>e</w:t>
            </w:r>
            <w:r w:rsidRPr="0014084D">
              <w:rPr>
                <w:rFonts w:ascii="Arial" w:hAnsi="Arial" w:cs="Arial"/>
                <w:sz w:val="24"/>
                <w:szCs w:val="24"/>
              </w:rPr>
              <w:t xml:space="preserve">xcluded </w:t>
            </w:r>
            <w:r w:rsidR="004B5E37">
              <w:rPr>
                <w:rFonts w:ascii="Arial" w:hAnsi="Arial" w:cs="Arial"/>
                <w:sz w:val="24"/>
                <w:szCs w:val="24"/>
              </w:rPr>
              <w:t>p</w:t>
            </w:r>
            <w:r w:rsidRPr="0014084D">
              <w:rPr>
                <w:rFonts w:ascii="Arial" w:hAnsi="Arial" w:cs="Arial"/>
                <w:sz w:val="24"/>
                <w:szCs w:val="24"/>
              </w:rPr>
              <w:t>arty.</w:t>
            </w:r>
            <w:r w:rsidR="004C06A6" w:rsidRPr="0014084D">
              <w:rPr>
                <w:rStyle w:val="FootnoteReference"/>
                <w:rFonts w:ascii="Arial" w:hAnsi="Arial" w:cs="Arial"/>
                <w:sz w:val="24"/>
                <w:szCs w:val="24"/>
              </w:rPr>
              <w:footnoteReference w:id="2"/>
            </w:r>
          </w:p>
        </w:tc>
      </w:tr>
      <w:tr w:rsidR="00413C4D" w:rsidRPr="0014084D" w14:paraId="17998BD6" w14:textId="77777777" w:rsidTr="003966DA">
        <w:trPr>
          <w:cantSplit/>
          <w:jc w:val="center"/>
        </w:trPr>
        <w:tc>
          <w:tcPr>
            <w:tcW w:w="2841" w:type="dxa"/>
            <w:hideMark/>
          </w:tcPr>
          <w:p w14:paraId="315C4AB9" w14:textId="77777777" w:rsidR="00413C4D" w:rsidRPr="0014084D" w:rsidRDefault="00413C4D" w:rsidP="00F81443">
            <w:pPr>
              <w:rPr>
                <w:rFonts w:ascii="Arial" w:hAnsi="Arial" w:cs="Arial"/>
                <w:sz w:val="24"/>
                <w:szCs w:val="24"/>
              </w:rPr>
            </w:pPr>
            <w:r w:rsidRPr="0014084D">
              <w:rPr>
                <w:rFonts w:ascii="Arial" w:hAnsi="Arial" w:cs="Arial"/>
                <w:sz w:val="24"/>
                <w:szCs w:val="24"/>
              </w:rPr>
              <w:t>C</w:t>
            </w:r>
            <w:r w:rsidR="006C0807" w:rsidRPr="0014084D">
              <w:rPr>
                <w:rFonts w:ascii="Arial" w:hAnsi="Arial" w:cs="Arial"/>
                <w:sz w:val="24"/>
                <w:szCs w:val="24"/>
              </w:rPr>
              <w:t xml:space="preserve">LOSED </w:t>
            </w:r>
            <w:proofErr w:type="gramStart"/>
            <w:r w:rsidR="00CD2CD3" w:rsidRPr="0014084D">
              <w:rPr>
                <w:rFonts w:ascii="Arial" w:hAnsi="Arial" w:cs="Arial"/>
                <w:sz w:val="24"/>
                <w:szCs w:val="24"/>
              </w:rPr>
              <w:t xml:space="preserve">Material </w:t>
            </w:r>
            <w:r w:rsidRPr="0014084D">
              <w:rPr>
                <w:rFonts w:ascii="Arial" w:hAnsi="Arial" w:cs="Arial"/>
                <w:sz w:val="24"/>
                <w:szCs w:val="24"/>
              </w:rPr>
              <w:t xml:space="preserve"> Proceedings</w:t>
            </w:r>
            <w:proofErr w:type="gramEnd"/>
            <w:r w:rsidR="00F2518E" w:rsidRPr="0014084D">
              <w:rPr>
                <w:rFonts w:ascii="Arial" w:hAnsi="Arial" w:cs="Arial"/>
                <w:sz w:val="24"/>
                <w:szCs w:val="24"/>
              </w:rPr>
              <w:t xml:space="preserve"> (“CMPs”)</w:t>
            </w:r>
          </w:p>
        </w:tc>
        <w:tc>
          <w:tcPr>
            <w:tcW w:w="5239" w:type="dxa"/>
            <w:hideMark/>
          </w:tcPr>
          <w:p w14:paraId="3CAB6DA1" w14:textId="15263E35" w:rsidR="00413C4D" w:rsidRPr="0014084D" w:rsidRDefault="00F2518E" w:rsidP="00BB2EAB">
            <w:pPr>
              <w:jc w:val="both"/>
              <w:rPr>
                <w:rFonts w:ascii="Arial" w:hAnsi="Arial" w:cs="Arial"/>
                <w:sz w:val="24"/>
                <w:szCs w:val="24"/>
              </w:rPr>
            </w:pPr>
            <w:r w:rsidRPr="0014084D">
              <w:rPr>
                <w:rFonts w:ascii="Arial" w:hAnsi="Arial" w:cs="Arial"/>
                <w:sz w:val="24"/>
                <w:szCs w:val="24"/>
              </w:rPr>
              <w:t>P</w:t>
            </w:r>
            <w:r w:rsidR="00413C4D" w:rsidRPr="0014084D">
              <w:rPr>
                <w:rFonts w:ascii="Arial" w:hAnsi="Arial" w:cs="Arial"/>
                <w:sz w:val="24"/>
                <w:szCs w:val="24"/>
              </w:rPr>
              <w:t xml:space="preserve">roceedings where material is relied on by one party but withheld from the </w:t>
            </w:r>
            <w:r w:rsidR="004C06A6" w:rsidRPr="0014084D">
              <w:rPr>
                <w:rFonts w:ascii="Arial" w:hAnsi="Arial" w:cs="Arial"/>
                <w:sz w:val="24"/>
                <w:szCs w:val="24"/>
              </w:rPr>
              <w:t>excluded party, and in which a S</w:t>
            </w:r>
            <w:r w:rsidR="00413C4D" w:rsidRPr="0014084D">
              <w:rPr>
                <w:rFonts w:ascii="Arial" w:hAnsi="Arial" w:cs="Arial"/>
                <w:sz w:val="24"/>
                <w:szCs w:val="24"/>
              </w:rPr>
              <w:t xml:space="preserve">pecial </w:t>
            </w:r>
            <w:r w:rsidR="004C06A6" w:rsidRPr="0014084D">
              <w:rPr>
                <w:rFonts w:ascii="Arial" w:hAnsi="Arial" w:cs="Arial"/>
                <w:sz w:val="24"/>
                <w:szCs w:val="24"/>
              </w:rPr>
              <w:t>A</w:t>
            </w:r>
            <w:r w:rsidR="00BB2EAB">
              <w:rPr>
                <w:rFonts w:ascii="Arial" w:hAnsi="Arial" w:cs="Arial"/>
                <w:sz w:val="24"/>
                <w:szCs w:val="24"/>
              </w:rPr>
              <w:t>dvocate is appointed.</w:t>
            </w:r>
          </w:p>
        </w:tc>
      </w:tr>
      <w:tr w:rsidR="00413C4D" w:rsidRPr="0014084D" w14:paraId="5BB3680A" w14:textId="77777777" w:rsidTr="003966DA">
        <w:trPr>
          <w:cantSplit/>
          <w:jc w:val="center"/>
        </w:trPr>
        <w:tc>
          <w:tcPr>
            <w:tcW w:w="2841" w:type="dxa"/>
            <w:hideMark/>
          </w:tcPr>
          <w:p w14:paraId="78965C1E" w14:textId="4C99112E" w:rsidR="00413C4D" w:rsidRPr="0014084D" w:rsidRDefault="00413C4D" w:rsidP="00165A95">
            <w:pPr>
              <w:jc w:val="both"/>
              <w:rPr>
                <w:rFonts w:ascii="Arial" w:hAnsi="Arial" w:cs="Arial"/>
                <w:sz w:val="24"/>
                <w:szCs w:val="24"/>
              </w:rPr>
            </w:pPr>
            <w:r w:rsidRPr="0014084D">
              <w:rPr>
                <w:rFonts w:ascii="Arial" w:hAnsi="Arial" w:cs="Arial"/>
                <w:sz w:val="24"/>
                <w:szCs w:val="24"/>
              </w:rPr>
              <w:t>Communication Request</w:t>
            </w:r>
          </w:p>
        </w:tc>
        <w:tc>
          <w:tcPr>
            <w:tcW w:w="5239" w:type="dxa"/>
            <w:hideMark/>
          </w:tcPr>
          <w:p w14:paraId="3B58E0C3" w14:textId="7175E46D" w:rsidR="00413C4D" w:rsidRPr="0014084D" w:rsidRDefault="00413C4D" w:rsidP="00BB2EAB">
            <w:pPr>
              <w:jc w:val="both"/>
              <w:rPr>
                <w:rFonts w:ascii="Arial" w:hAnsi="Arial" w:cs="Arial"/>
                <w:sz w:val="24"/>
                <w:szCs w:val="24"/>
              </w:rPr>
            </w:pPr>
            <w:r w:rsidRPr="0014084D">
              <w:rPr>
                <w:rFonts w:ascii="Arial" w:hAnsi="Arial" w:cs="Arial"/>
                <w:sz w:val="24"/>
                <w:szCs w:val="24"/>
              </w:rPr>
              <w:t xml:space="preserve">The process whereby a </w:t>
            </w:r>
            <w:r w:rsidR="004C06A6" w:rsidRPr="0014084D">
              <w:rPr>
                <w:rFonts w:ascii="Arial" w:hAnsi="Arial" w:cs="Arial"/>
                <w:sz w:val="24"/>
                <w:szCs w:val="24"/>
              </w:rPr>
              <w:t>S</w:t>
            </w:r>
            <w:r w:rsidRPr="0014084D">
              <w:rPr>
                <w:rFonts w:ascii="Arial" w:hAnsi="Arial" w:cs="Arial"/>
                <w:sz w:val="24"/>
                <w:szCs w:val="24"/>
              </w:rPr>
              <w:t xml:space="preserve">pecial </w:t>
            </w:r>
            <w:r w:rsidR="004C06A6" w:rsidRPr="0014084D">
              <w:rPr>
                <w:rFonts w:ascii="Arial" w:hAnsi="Arial" w:cs="Arial"/>
                <w:sz w:val="24"/>
                <w:szCs w:val="24"/>
              </w:rPr>
              <w:t>A</w:t>
            </w:r>
            <w:r w:rsidRPr="0014084D">
              <w:rPr>
                <w:rFonts w:ascii="Arial" w:hAnsi="Arial" w:cs="Arial"/>
                <w:sz w:val="24"/>
                <w:szCs w:val="24"/>
              </w:rPr>
              <w:t>dvocate in CLOSED</w:t>
            </w:r>
            <w:r w:rsidR="005B2BBB" w:rsidRPr="0014084D">
              <w:rPr>
                <w:rFonts w:ascii="Arial" w:hAnsi="Arial" w:cs="Arial"/>
                <w:sz w:val="24"/>
                <w:szCs w:val="24"/>
              </w:rPr>
              <w:t xml:space="preserve"> </w:t>
            </w:r>
            <w:r w:rsidR="00D46FEE" w:rsidRPr="0014084D">
              <w:rPr>
                <w:rFonts w:ascii="Arial" w:hAnsi="Arial" w:cs="Arial"/>
                <w:sz w:val="24"/>
                <w:szCs w:val="24"/>
              </w:rPr>
              <w:t>can make a request</w:t>
            </w:r>
            <w:r w:rsidR="00CD2CD3" w:rsidRPr="0014084D">
              <w:rPr>
                <w:rFonts w:ascii="Arial" w:hAnsi="Arial" w:cs="Arial"/>
                <w:sz w:val="24"/>
                <w:szCs w:val="24"/>
              </w:rPr>
              <w:t xml:space="preserve"> </w:t>
            </w:r>
            <w:r w:rsidR="00BB2EAB">
              <w:rPr>
                <w:rFonts w:ascii="Arial" w:hAnsi="Arial" w:cs="Arial"/>
                <w:sz w:val="24"/>
                <w:szCs w:val="24"/>
              </w:rPr>
              <w:t>to communicate</w:t>
            </w:r>
            <w:r w:rsidR="00D46FEE" w:rsidRPr="0014084D">
              <w:rPr>
                <w:rFonts w:ascii="Arial" w:hAnsi="Arial" w:cs="Arial"/>
                <w:sz w:val="24"/>
                <w:szCs w:val="24"/>
              </w:rPr>
              <w:t xml:space="preserve"> </w:t>
            </w:r>
            <w:r w:rsidRPr="0014084D">
              <w:rPr>
                <w:rFonts w:ascii="Arial" w:hAnsi="Arial" w:cs="Arial"/>
                <w:sz w:val="24"/>
                <w:szCs w:val="24"/>
              </w:rPr>
              <w:t>information</w:t>
            </w:r>
            <w:r w:rsidR="00D46FEE" w:rsidRPr="0014084D">
              <w:rPr>
                <w:rFonts w:ascii="Arial" w:hAnsi="Arial" w:cs="Arial"/>
                <w:sz w:val="24"/>
                <w:szCs w:val="24"/>
              </w:rPr>
              <w:t xml:space="preserve"> </w:t>
            </w:r>
            <w:r w:rsidRPr="0014084D">
              <w:rPr>
                <w:rFonts w:ascii="Arial" w:hAnsi="Arial" w:cs="Arial"/>
                <w:sz w:val="24"/>
                <w:szCs w:val="24"/>
              </w:rPr>
              <w:t xml:space="preserve">to </w:t>
            </w:r>
            <w:r w:rsidR="00D46FEE" w:rsidRPr="0014084D">
              <w:rPr>
                <w:rFonts w:ascii="Arial" w:hAnsi="Arial" w:cs="Arial"/>
                <w:sz w:val="24"/>
                <w:szCs w:val="24"/>
              </w:rPr>
              <w:t xml:space="preserve">an </w:t>
            </w:r>
            <w:r w:rsidR="00BB2EAB">
              <w:rPr>
                <w:rFonts w:ascii="Arial" w:hAnsi="Arial" w:cs="Arial"/>
                <w:sz w:val="24"/>
                <w:szCs w:val="24"/>
              </w:rPr>
              <w:t>Excluded P</w:t>
            </w:r>
            <w:r w:rsidR="00D46FEE" w:rsidRPr="0014084D">
              <w:rPr>
                <w:rFonts w:ascii="Arial" w:hAnsi="Arial" w:cs="Arial"/>
                <w:sz w:val="24"/>
                <w:szCs w:val="24"/>
              </w:rPr>
              <w:t>arty and their OPEN R</w:t>
            </w:r>
            <w:r w:rsidRPr="0014084D">
              <w:rPr>
                <w:rFonts w:ascii="Arial" w:hAnsi="Arial" w:cs="Arial"/>
                <w:sz w:val="24"/>
                <w:szCs w:val="24"/>
              </w:rPr>
              <w:t>epresentative.</w:t>
            </w:r>
          </w:p>
        </w:tc>
      </w:tr>
      <w:tr w:rsidR="006C0807" w:rsidRPr="0014084D" w14:paraId="2B5BEC35" w14:textId="77777777" w:rsidTr="003966DA">
        <w:trPr>
          <w:cantSplit/>
          <w:jc w:val="center"/>
        </w:trPr>
        <w:tc>
          <w:tcPr>
            <w:tcW w:w="2841" w:type="dxa"/>
          </w:tcPr>
          <w:p w14:paraId="0CAB2140" w14:textId="012BDC68" w:rsidR="006C0807" w:rsidRPr="0014084D" w:rsidRDefault="00BB2EAB" w:rsidP="00165A95">
            <w:pPr>
              <w:jc w:val="both"/>
              <w:rPr>
                <w:rFonts w:ascii="Arial" w:hAnsi="Arial" w:cs="Arial"/>
                <w:sz w:val="24"/>
                <w:szCs w:val="24"/>
              </w:rPr>
            </w:pPr>
            <w:r>
              <w:rPr>
                <w:rFonts w:ascii="Arial" w:hAnsi="Arial" w:cs="Arial"/>
                <w:sz w:val="24"/>
                <w:szCs w:val="24"/>
              </w:rPr>
              <w:t>Confidential j</w:t>
            </w:r>
            <w:r w:rsidR="006C0807" w:rsidRPr="0014084D">
              <w:rPr>
                <w:rFonts w:ascii="Arial" w:hAnsi="Arial" w:cs="Arial"/>
                <w:sz w:val="24"/>
                <w:szCs w:val="24"/>
              </w:rPr>
              <w:t>udgment</w:t>
            </w:r>
          </w:p>
        </w:tc>
        <w:tc>
          <w:tcPr>
            <w:tcW w:w="5239" w:type="dxa"/>
          </w:tcPr>
          <w:p w14:paraId="1C275105" w14:textId="77777777" w:rsidR="006C0807" w:rsidRPr="0014084D" w:rsidRDefault="006C0807" w:rsidP="00CD2CD3">
            <w:pPr>
              <w:jc w:val="both"/>
              <w:rPr>
                <w:rFonts w:ascii="Arial" w:hAnsi="Arial" w:cs="Arial"/>
                <w:sz w:val="24"/>
                <w:szCs w:val="24"/>
              </w:rPr>
            </w:pPr>
            <w:r w:rsidRPr="0014084D">
              <w:rPr>
                <w:rFonts w:ascii="Arial" w:hAnsi="Arial" w:cs="Arial"/>
                <w:sz w:val="24"/>
                <w:szCs w:val="24"/>
              </w:rPr>
              <w:t xml:space="preserve">A judgment which is confidential to </w:t>
            </w:r>
            <w:r w:rsidR="00D46FEE" w:rsidRPr="0014084D">
              <w:rPr>
                <w:rFonts w:ascii="Arial" w:hAnsi="Arial" w:cs="Arial"/>
                <w:sz w:val="24"/>
                <w:szCs w:val="24"/>
              </w:rPr>
              <w:t>only certain parties to proceedings and is</w:t>
            </w:r>
            <w:r w:rsidRPr="0014084D">
              <w:rPr>
                <w:rFonts w:ascii="Arial" w:hAnsi="Arial" w:cs="Arial"/>
                <w:sz w:val="24"/>
                <w:szCs w:val="24"/>
              </w:rPr>
              <w:t xml:space="preserve"> not made public.</w:t>
            </w:r>
          </w:p>
        </w:tc>
      </w:tr>
      <w:tr w:rsidR="00413C4D" w:rsidRPr="0014084D" w14:paraId="646A054E" w14:textId="77777777" w:rsidTr="003966DA">
        <w:trPr>
          <w:cantSplit/>
          <w:jc w:val="center"/>
        </w:trPr>
        <w:tc>
          <w:tcPr>
            <w:tcW w:w="2841" w:type="dxa"/>
          </w:tcPr>
          <w:p w14:paraId="00817A5C" w14:textId="0691A0C7" w:rsidR="00413C4D" w:rsidRPr="0014084D" w:rsidRDefault="00413C4D" w:rsidP="00165A95">
            <w:pPr>
              <w:jc w:val="both"/>
              <w:rPr>
                <w:rFonts w:ascii="Arial" w:hAnsi="Arial" w:cs="Arial"/>
                <w:sz w:val="24"/>
                <w:szCs w:val="24"/>
              </w:rPr>
            </w:pPr>
            <w:r w:rsidRPr="0014084D">
              <w:rPr>
                <w:rFonts w:ascii="Arial" w:hAnsi="Arial" w:cs="Arial"/>
                <w:sz w:val="24"/>
                <w:szCs w:val="24"/>
              </w:rPr>
              <w:t>Excluded Party</w:t>
            </w:r>
          </w:p>
        </w:tc>
        <w:tc>
          <w:tcPr>
            <w:tcW w:w="5239" w:type="dxa"/>
          </w:tcPr>
          <w:p w14:paraId="023FCB61" w14:textId="77777777" w:rsidR="00413C4D" w:rsidRPr="0014084D" w:rsidRDefault="00413C4D" w:rsidP="00165A95">
            <w:pPr>
              <w:jc w:val="both"/>
              <w:rPr>
                <w:rFonts w:ascii="Arial" w:hAnsi="Arial" w:cs="Arial"/>
                <w:sz w:val="24"/>
                <w:szCs w:val="24"/>
              </w:rPr>
            </w:pPr>
            <w:r w:rsidRPr="0014084D">
              <w:rPr>
                <w:rFonts w:ascii="Arial" w:hAnsi="Arial" w:cs="Arial"/>
                <w:sz w:val="24"/>
                <w:szCs w:val="24"/>
              </w:rPr>
              <w:t>The individual or body (whether claimant, appellant, applicant, plaintiff</w:t>
            </w:r>
            <w:r w:rsidR="00D46FEE" w:rsidRPr="0014084D">
              <w:rPr>
                <w:rFonts w:ascii="Arial" w:hAnsi="Arial" w:cs="Arial"/>
                <w:sz w:val="24"/>
                <w:szCs w:val="24"/>
              </w:rPr>
              <w:t>, defendant or respondent in a</w:t>
            </w:r>
            <w:r w:rsidRPr="0014084D">
              <w:rPr>
                <w:rFonts w:ascii="Arial" w:hAnsi="Arial" w:cs="Arial"/>
                <w:sz w:val="24"/>
                <w:szCs w:val="24"/>
              </w:rPr>
              <w:t xml:space="preserve"> claim) who is not permitted to see CLOSED material.</w:t>
            </w:r>
          </w:p>
        </w:tc>
      </w:tr>
      <w:tr w:rsidR="006C0807" w:rsidRPr="0014084D" w14:paraId="66AAADFB" w14:textId="77777777" w:rsidTr="003966DA">
        <w:trPr>
          <w:cantSplit/>
          <w:jc w:val="center"/>
        </w:trPr>
        <w:tc>
          <w:tcPr>
            <w:tcW w:w="2841" w:type="dxa"/>
          </w:tcPr>
          <w:p w14:paraId="525A6819" w14:textId="77777777" w:rsidR="006C0807" w:rsidRPr="0014084D" w:rsidRDefault="006C0807" w:rsidP="00165A95">
            <w:pPr>
              <w:jc w:val="both"/>
              <w:rPr>
                <w:rFonts w:ascii="Arial" w:hAnsi="Arial" w:cs="Arial"/>
                <w:sz w:val="24"/>
                <w:szCs w:val="24"/>
              </w:rPr>
            </w:pPr>
            <w:r w:rsidRPr="0014084D">
              <w:rPr>
                <w:rFonts w:ascii="Arial" w:hAnsi="Arial" w:cs="Arial"/>
                <w:sz w:val="24"/>
                <w:szCs w:val="24"/>
              </w:rPr>
              <w:t>In CAMERA</w:t>
            </w:r>
          </w:p>
        </w:tc>
        <w:tc>
          <w:tcPr>
            <w:tcW w:w="5239" w:type="dxa"/>
          </w:tcPr>
          <w:p w14:paraId="715861BE" w14:textId="77777777" w:rsidR="006C0807" w:rsidRPr="0014084D" w:rsidRDefault="006C0807" w:rsidP="00165A95">
            <w:pPr>
              <w:jc w:val="both"/>
              <w:rPr>
                <w:rFonts w:ascii="Arial" w:hAnsi="Arial" w:cs="Arial"/>
                <w:sz w:val="24"/>
                <w:szCs w:val="24"/>
              </w:rPr>
            </w:pPr>
            <w:r w:rsidRPr="0014084D">
              <w:rPr>
                <w:rFonts w:ascii="Arial" w:hAnsi="Arial" w:cs="Arial"/>
                <w:sz w:val="24"/>
                <w:szCs w:val="24"/>
              </w:rPr>
              <w:t>Proceedings which are permitted to take place in private, with any related judgment usually being confidential to the parties in attendance.</w:t>
            </w:r>
          </w:p>
        </w:tc>
      </w:tr>
      <w:tr w:rsidR="00413C4D" w:rsidRPr="0014084D" w14:paraId="232A0E52" w14:textId="77777777" w:rsidTr="003966DA">
        <w:trPr>
          <w:cantSplit/>
          <w:jc w:val="center"/>
        </w:trPr>
        <w:tc>
          <w:tcPr>
            <w:tcW w:w="2841" w:type="dxa"/>
            <w:hideMark/>
          </w:tcPr>
          <w:p w14:paraId="3CE16F0B" w14:textId="77777777" w:rsidR="00413C4D" w:rsidRPr="0014084D" w:rsidRDefault="00413C4D" w:rsidP="00165A95">
            <w:pPr>
              <w:jc w:val="both"/>
              <w:rPr>
                <w:rFonts w:ascii="Arial" w:hAnsi="Arial" w:cs="Arial"/>
                <w:sz w:val="24"/>
                <w:szCs w:val="24"/>
              </w:rPr>
            </w:pPr>
            <w:r w:rsidRPr="0014084D">
              <w:rPr>
                <w:rFonts w:ascii="Arial" w:hAnsi="Arial" w:cs="Arial"/>
                <w:sz w:val="24"/>
                <w:szCs w:val="24"/>
              </w:rPr>
              <w:t>In CLOSED</w:t>
            </w:r>
          </w:p>
        </w:tc>
        <w:tc>
          <w:tcPr>
            <w:tcW w:w="5239" w:type="dxa"/>
            <w:hideMark/>
          </w:tcPr>
          <w:p w14:paraId="2F6DD250" w14:textId="77777777" w:rsidR="00413C4D" w:rsidRPr="0014084D" w:rsidRDefault="004C06A6" w:rsidP="00EF1AC7">
            <w:pPr>
              <w:jc w:val="both"/>
              <w:rPr>
                <w:rFonts w:ascii="Arial" w:hAnsi="Arial" w:cs="Arial"/>
                <w:sz w:val="24"/>
                <w:szCs w:val="24"/>
              </w:rPr>
            </w:pPr>
            <w:r w:rsidRPr="0014084D">
              <w:rPr>
                <w:rFonts w:ascii="Arial" w:hAnsi="Arial" w:cs="Arial"/>
                <w:sz w:val="24"/>
                <w:szCs w:val="24"/>
              </w:rPr>
              <w:t>A S</w:t>
            </w:r>
            <w:r w:rsidR="00413C4D" w:rsidRPr="0014084D">
              <w:rPr>
                <w:rFonts w:ascii="Arial" w:hAnsi="Arial" w:cs="Arial"/>
                <w:sz w:val="24"/>
                <w:szCs w:val="24"/>
              </w:rPr>
              <w:t xml:space="preserve">pecial </w:t>
            </w:r>
            <w:r w:rsidRPr="0014084D">
              <w:rPr>
                <w:rFonts w:ascii="Arial" w:hAnsi="Arial" w:cs="Arial"/>
                <w:sz w:val="24"/>
                <w:szCs w:val="24"/>
              </w:rPr>
              <w:t>A</w:t>
            </w:r>
            <w:r w:rsidR="00413C4D" w:rsidRPr="0014084D">
              <w:rPr>
                <w:rFonts w:ascii="Arial" w:hAnsi="Arial" w:cs="Arial"/>
                <w:sz w:val="24"/>
                <w:szCs w:val="24"/>
              </w:rPr>
              <w:t xml:space="preserve">dvocate is said to be “in CLOSED” when they have </w:t>
            </w:r>
            <w:r w:rsidR="00EF1AC7">
              <w:rPr>
                <w:rFonts w:ascii="Arial" w:hAnsi="Arial" w:cs="Arial"/>
                <w:sz w:val="24"/>
                <w:szCs w:val="24"/>
              </w:rPr>
              <w:t xml:space="preserve">been provided with the </w:t>
            </w:r>
            <w:r w:rsidR="00413C4D" w:rsidRPr="0014084D">
              <w:rPr>
                <w:rFonts w:ascii="Arial" w:hAnsi="Arial" w:cs="Arial"/>
                <w:sz w:val="24"/>
                <w:szCs w:val="24"/>
              </w:rPr>
              <w:t>CLOSED material in a case.</w:t>
            </w:r>
          </w:p>
        </w:tc>
      </w:tr>
      <w:tr w:rsidR="004C06A6" w:rsidRPr="0014084D" w14:paraId="302BA5D4" w14:textId="77777777" w:rsidTr="003966DA">
        <w:trPr>
          <w:cantSplit/>
          <w:jc w:val="center"/>
        </w:trPr>
        <w:tc>
          <w:tcPr>
            <w:tcW w:w="2841" w:type="dxa"/>
          </w:tcPr>
          <w:p w14:paraId="1F742FAA"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lastRenderedPageBreak/>
              <w:t>In OPEN</w:t>
            </w:r>
          </w:p>
        </w:tc>
        <w:tc>
          <w:tcPr>
            <w:tcW w:w="5239" w:type="dxa"/>
          </w:tcPr>
          <w:p w14:paraId="4755585C" w14:textId="77777777" w:rsidR="004C06A6" w:rsidRPr="0014084D" w:rsidRDefault="004C06A6" w:rsidP="00716FB8">
            <w:pPr>
              <w:jc w:val="both"/>
              <w:rPr>
                <w:rFonts w:ascii="Arial" w:hAnsi="Arial" w:cs="Arial"/>
                <w:sz w:val="24"/>
                <w:szCs w:val="24"/>
              </w:rPr>
            </w:pPr>
            <w:r w:rsidRPr="0014084D">
              <w:rPr>
                <w:rFonts w:ascii="Arial" w:hAnsi="Arial" w:cs="Arial"/>
                <w:sz w:val="24"/>
                <w:szCs w:val="24"/>
              </w:rPr>
              <w:t xml:space="preserve">A Special Advocate is said to be “in OPEN” when they have been appointed in a </w:t>
            </w:r>
            <w:proofErr w:type="gramStart"/>
            <w:r w:rsidRPr="0014084D">
              <w:rPr>
                <w:rFonts w:ascii="Arial" w:hAnsi="Arial" w:cs="Arial"/>
                <w:sz w:val="24"/>
                <w:szCs w:val="24"/>
              </w:rPr>
              <w:t>case, but</w:t>
            </w:r>
            <w:proofErr w:type="gramEnd"/>
            <w:r w:rsidRPr="0014084D">
              <w:rPr>
                <w:rFonts w:ascii="Arial" w:hAnsi="Arial" w:cs="Arial"/>
                <w:sz w:val="24"/>
                <w:szCs w:val="24"/>
              </w:rPr>
              <w:t xml:space="preserve"> have </w:t>
            </w:r>
            <w:r w:rsidR="00716FB8">
              <w:rPr>
                <w:rFonts w:ascii="Arial" w:hAnsi="Arial" w:cs="Arial"/>
                <w:sz w:val="24"/>
                <w:szCs w:val="24"/>
              </w:rPr>
              <w:t>not viewed</w:t>
            </w:r>
            <w:r w:rsidR="00D7508F">
              <w:rPr>
                <w:rFonts w:ascii="Arial" w:hAnsi="Arial" w:cs="Arial"/>
                <w:sz w:val="24"/>
                <w:szCs w:val="24"/>
              </w:rPr>
              <w:t xml:space="preserve"> </w:t>
            </w:r>
            <w:r w:rsidRPr="0014084D">
              <w:rPr>
                <w:rFonts w:ascii="Arial" w:hAnsi="Arial" w:cs="Arial"/>
                <w:sz w:val="24"/>
                <w:szCs w:val="24"/>
              </w:rPr>
              <w:t>any</w:t>
            </w:r>
            <w:r w:rsidR="00716FB8">
              <w:rPr>
                <w:rFonts w:ascii="Arial" w:hAnsi="Arial" w:cs="Arial"/>
                <w:sz w:val="24"/>
                <w:szCs w:val="24"/>
              </w:rPr>
              <w:t xml:space="preserve"> of the</w:t>
            </w:r>
            <w:r w:rsidRPr="0014084D">
              <w:rPr>
                <w:rFonts w:ascii="Arial" w:hAnsi="Arial" w:cs="Arial"/>
                <w:sz w:val="24"/>
                <w:szCs w:val="24"/>
              </w:rPr>
              <w:t xml:space="preserve"> CLOSED material. </w:t>
            </w:r>
          </w:p>
        </w:tc>
      </w:tr>
      <w:tr w:rsidR="004C06A6" w:rsidRPr="0014084D" w14:paraId="4594C880" w14:textId="77777777" w:rsidTr="003966DA">
        <w:trPr>
          <w:cantSplit/>
          <w:jc w:val="center"/>
        </w:trPr>
        <w:tc>
          <w:tcPr>
            <w:tcW w:w="2841" w:type="dxa"/>
          </w:tcPr>
          <w:p w14:paraId="158578C8" w14:textId="4C97830E" w:rsidR="004C06A6" w:rsidRPr="0014084D" w:rsidRDefault="00FC620D" w:rsidP="00165A95">
            <w:pPr>
              <w:jc w:val="both"/>
              <w:rPr>
                <w:rFonts w:ascii="Arial" w:hAnsi="Arial" w:cs="Arial"/>
                <w:sz w:val="24"/>
                <w:szCs w:val="24"/>
              </w:rPr>
            </w:pPr>
            <w:r>
              <w:rPr>
                <w:rFonts w:ascii="Arial" w:hAnsi="Arial" w:cs="Arial"/>
                <w:sz w:val="24"/>
                <w:szCs w:val="24"/>
              </w:rPr>
              <w:t>Information Owner</w:t>
            </w:r>
          </w:p>
        </w:tc>
        <w:tc>
          <w:tcPr>
            <w:tcW w:w="5239" w:type="dxa"/>
          </w:tcPr>
          <w:p w14:paraId="3C773E10"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The party who has possession and/or control of CLOSED</w:t>
            </w:r>
            <w:r w:rsidR="006C0807" w:rsidRPr="0014084D">
              <w:rPr>
                <w:rFonts w:ascii="Arial" w:hAnsi="Arial" w:cs="Arial"/>
                <w:sz w:val="24"/>
                <w:szCs w:val="24"/>
              </w:rPr>
              <w:t xml:space="preserve"> </w:t>
            </w:r>
            <w:r w:rsidR="00D46FEE" w:rsidRPr="0014084D">
              <w:rPr>
                <w:rFonts w:ascii="Arial" w:hAnsi="Arial" w:cs="Arial"/>
                <w:sz w:val="24"/>
                <w:szCs w:val="24"/>
              </w:rPr>
              <w:t>(</w:t>
            </w:r>
            <w:r w:rsidR="006C0807" w:rsidRPr="0014084D">
              <w:rPr>
                <w:rFonts w:ascii="Arial" w:hAnsi="Arial" w:cs="Arial"/>
                <w:sz w:val="24"/>
                <w:szCs w:val="24"/>
              </w:rPr>
              <w:t>or other sensitive</w:t>
            </w:r>
            <w:r w:rsidR="00D46FEE" w:rsidRPr="0014084D">
              <w:rPr>
                <w:rFonts w:ascii="Arial" w:hAnsi="Arial" w:cs="Arial"/>
                <w:sz w:val="24"/>
                <w:szCs w:val="24"/>
              </w:rPr>
              <w:t>)</w:t>
            </w:r>
            <w:r w:rsidRPr="0014084D">
              <w:rPr>
                <w:rFonts w:ascii="Arial" w:hAnsi="Arial" w:cs="Arial"/>
                <w:sz w:val="24"/>
                <w:szCs w:val="24"/>
              </w:rPr>
              <w:t xml:space="preserve"> material. </w:t>
            </w:r>
          </w:p>
        </w:tc>
      </w:tr>
      <w:tr w:rsidR="004C06A6" w:rsidRPr="0014084D" w14:paraId="267877A5" w14:textId="77777777" w:rsidTr="003966DA">
        <w:trPr>
          <w:cantSplit/>
          <w:jc w:val="center"/>
        </w:trPr>
        <w:tc>
          <w:tcPr>
            <w:tcW w:w="2841" w:type="dxa"/>
            <w:hideMark/>
          </w:tcPr>
          <w:p w14:paraId="77DCA46C"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JSA</w:t>
            </w:r>
            <w:r w:rsidR="00507765" w:rsidRPr="0014084D">
              <w:rPr>
                <w:rFonts w:ascii="Arial" w:hAnsi="Arial" w:cs="Arial"/>
                <w:sz w:val="24"/>
                <w:szCs w:val="24"/>
              </w:rPr>
              <w:t xml:space="preserve"> 2013 </w:t>
            </w:r>
          </w:p>
        </w:tc>
        <w:tc>
          <w:tcPr>
            <w:tcW w:w="5239" w:type="dxa"/>
            <w:hideMark/>
          </w:tcPr>
          <w:p w14:paraId="669CBFD7"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The Justice and Security Act 2013</w:t>
            </w:r>
          </w:p>
        </w:tc>
      </w:tr>
      <w:tr w:rsidR="004C06A6" w:rsidRPr="0014084D" w14:paraId="6415DBB3" w14:textId="77777777" w:rsidTr="003966DA">
        <w:trPr>
          <w:cantSplit/>
          <w:jc w:val="center"/>
        </w:trPr>
        <w:tc>
          <w:tcPr>
            <w:tcW w:w="2841" w:type="dxa"/>
            <w:hideMark/>
          </w:tcPr>
          <w:p w14:paraId="7692B4ED"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Nomination</w:t>
            </w:r>
          </w:p>
        </w:tc>
        <w:tc>
          <w:tcPr>
            <w:tcW w:w="5239" w:type="dxa"/>
            <w:hideMark/>
          </w:tcPr>
          <w:p w14:paraId="7533ECF1" w14:textId="6FDA7DD0" w:rsidR="004C06A6" w:rsidRPr="0014084D" w:rsidRDefault="004C06A6" w:rsidP="00BB2EAB">
            <w:pPr>
              <w:jc w:val="both"/>
              <w:rPr>
                <w:rFonts w:ascii="Arial" w:hAnsi="Arial" w:cs="Arial"/>
                <w:sz w:val="24"/>
                <w:szCs w:val="24"/>
              </w:rPr>
            </w:pPr>
            <w:r w:rsidRPr="0014084D">
              <w:rPr>
                <w:rFonts w:ascii="Arial" w:hAnsi="Arial" w:cs="Arial"/>
                <w:sz w:val="24"/>
                <w:szCs w:val="24"/>
              </w:rPr>
              <w:t xml:space="preserve">The process whereby </w:t>
            </w:r>
            <w:r w:rsidR="00DF3CB9" w:rsidRPr="0014084D">
              <w:rPr>
                <w:rFonts w:ascii="Arial" w:hAnsi="Arial" w:cs="Arial"/>
                <w:sz w:val="24"/>
                <w:szCs w:val="24"/>
              </w:rPr>
              <w:t>OPEN Representatives</w:t>
            </w:r>
            <w:r w:rsidRPr="0014084D">
              <w:rPr>
                <w:rFonts w:ascii="Arial" w:hAnsi="Arial" w:cs="Arial"/>
                <w:sz w:val="24"/>
                <w:szCs w:val="24"/>
              </w:rPr>
              <w:t xml:space="preserve"> </w:t>
            </w:r>
            <w:r w:rsidR="00B73673" w:rsidRPr="0014084D">
              <w:rPr>
                <w:rFonts w:ascii="Arial" w:hAnsi="Arial" w:cs="Arial"/>
                <w:sz w:val="24"/>
                <w:szCs w:val="24"/>
              </w:rPr>
              <w:t xml:space="preserve">express a preference for </w:t>
            </w:r>
            <w:r w:rsidR="00BB2EAB">
              <w:rPr>
                <w:rFonts w:ascii="Arial" w:hAnsi="Arial" w:cs="Arial"/>
                <w:sz w:val="24"/>
                <w:szCs w:val="24"/>
              </w:rPr>
              <w:t>the</w:t>
            </w:r>
            <w:r w:rsidR="00B73673" w:rsidRPr="0014084D">
              <w:rPr>
                <w:rFonts w:ascii="Arial" w:hAnsi="Arial" w:cs="Arial"/>
                <w:sz w:val="24"/>
                <w:szCs w:val="24"/>
              </w:rPr>
              <w:t xml:space="preserve"> </w:t>
            </w:r>
            <w:r w:rsidRPr="0014084D">
              <w:rPr>
                <w:rFonts w:ascii="Arial" w:hAnsi="Arial" w:cs="Arial"/>
                <w:sz w:val="24"/>
                <w:szCs w:val="24"/>
              </w:rPr>
              <w:t xml:space="preserve">Special Advocate(s) </w:t>
            </w:r>
            <w:r w:rsidR="00BB2EAB">
              <w:rPr>
                <w:rFonts w:ascii="Arial" w:hAnsi="Arial" w:cs="Arial"/>
                <w:sz w:val="24"/>
                <w:szCs w:val="24"/>
              </w:rPr>
              <w:t xml:space="preserve">that </w:t>
            </w:r>
            <w:r w:rsidRPr="0014084D">
              <w:rPr>
                <w:rFonts w:ascii="Arial" w:hAnsi="Arial" w:cs="Arial"/>
                <w:sz w:val="24"/>
                <w:szCs w:val="24"/>
              </w:rPr>
              <w:t xml:space="preserve">they would like to act in </w:t>
            </w:r>
            <w:r w:rsidR="00B73673" w:rsidRPr="0014084D">
              <w:rPr>
                <w:rFonts w:ascii="Arial" w:hAnsi="Arial" w:cs="Arial"/>
                <w:sz w:val="24"/>
                <w:szCs w:val="24"/>
              </w:rPr>
              <w:t xml:space="preserve">their </w:t>
            </w:r>
            <w:r w:rsidRPr="0014084D">
              <w:rPr>
                <w:rFonts w:ascii="Arial" w:hAnsi="Arial" w:cs="Arial"/>
                <w:sz w:val="24"/>
                <w:szCs w:val="24"/>
              </w:rPr>
              <w:t>case</w:t>
            </w:r>
            <w:r w:rsidR="00B73673" w:rsidRPr="0014084D">
              <w:rPr>
                <w:rFonts w:ascii="Arial" w:hAnsi="Arial" w:cs="Arial"/>
                <w:sz w:val="24"/>
                <w:szCs w:val="24"/>
              </w:rPr>
              <w:t xml:space="preserve">. </w:t>
            </w:r>
            <w:r w:rsidRPr="0014084D">
              <w:rPr>
                <w:rFonts w:ascii="Arial" w:hAnsi="Arial" w:cs="Arial"/>
                <w:sz w:val="24"/>
                <w:szCs w:val="24"/>
              </w:rPr>
              <w:t xml:space="preserve"> </w:t>
            </w:r>
          </w:p>
        </w:tc>
      </w:tr>
      <w:tr w:rsidR="004C06A6" w:rsidRPr="0014084D" w14:paraId="0109EC24" w14:textId="77777777" w:rsidTr="003966DA">
        <w:trPr>
          <w:cantSplit/>
          <w:jc w:val="center"/>
        </w:trPr>
        <w:tc>
          <w:tcPr>
            <w:tcW w:w="2841" w:type="dxa"/>
          </w:tcPr>
          <w:p w14:paraId="359A4F80"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OPEN judgment</w:t>
            </w:r>
          </w:p>
          <w:p w14:paraId="7BE8A36F" w14:textId="77777777" w:rsidR="004C06A6" w:rsidRPr="0014084D" w:rsidRDefault="004C06A6" w:rsidP="00165A95">
            <w:pPr>
              <w:jc w:val="both"/>
              <w:rPr>
                <w:rFonts w:ascii="Arial" w:hAnsi="Arial" w:cs="Arial"/>
                <w:sz w:val="24"/>
                <w:szCs w:val="24"/>
              </w:rPr>
            </w:pPr>
          </w:p>
        </w:tc>
        <w:tc>
          <w:tcPr>
            <w:tcW w:w="5239" w:type="dxa"/>
            <w:hideMark/>
          </w:tcPr>
          <w:p w14:paraId="26D2D389" w14:textId="77777777" w:rsidR="004C06A6" w:rsidRPr="0014084D" w:rsidRDefault="004C06A6" w:rsidP="00A7405B">
            <w:pPr>
              <w:jc w:val="both"/>
              <w:rPr>
                <w:rFonts w:ascii="Arial" w:hAnsi="Arial" w:cs="Arial"/>
                <w:sz w:val="24"/>
                <w:szCs w:val="24"/>
              </w:rPr>
            </w:pPr>
            <w:r w:rsidRPr="0014084D">
              <w:rPr>
                <w:rFonts w:ascii="Arial" w:hAnsi="Arial" w:cs="Arial"/>
                <w:sz w:val="24"/>
                <w:szCs w:val="24"/>
              </w:rPr>
              <w:t xml:space="preserve">A judicial determination which </w:t>
            </w:r>
            <w:r w:rsidR="00A7405B" w:rsidRPr="0014084D">
              <w:rPr>
                <w:rFonts w:ascii="Arial" w:hAnsi="Arial" w:cs="Arial"/>
                <w:sz w:val="24"/>
                <w:szCs w:val="24"/>
              </w:rPr>
              <w:t xml:space="preserve">does not </w:t>
            </w:r>
            <w:r w:rsidRPr="0014084D">
              <w:rPr>
                <w:rFonts w:ascii="Arial" w:hAnsi="Arial" w:cs="Arial"/>
                <w:sz w:val="24"/>
                <w:szCs w:val="24"/>
              </w:rPr>
              <w:t>refer to CLOSED or otherwise protected material and is available to the OPEN parties</w:t>
            </w:r>
            <w:r w:rsidR="006C6971" w:rsidRPr="0014084D">
              <w:rPr>
                <w:rFonts w:ascii="Arial" w:hAnsi="Arial" w:cs="Arial"/>
                <w:sz w:val="24"/>
                <w:szCs w:val="24"/>
              </w:rPr>
              <w:t xml:space="preserve"> and </w:t>
            </w:r>
            <w:proofErr w:type="spellStart"/>
            <w:r w:rsidR="006C6971" w:rsidRPr="0014084D">
              <w:rPr>
                <w:rFonts w:ascii="Arial" w:hAnsi="Arial" w:cs="Arial"/>
                <w:sz w:val="24"/>
                <w:szCs w:val="24"/>
              </w:rPr>
              <w:t>publically</w:t>
            </w:r>
            <w:proofErr w:type="spellEnd"/>
            <w:r w:rsidRPr="0014084D">
              <w:rPr>
                <w:rFonts w:ascii="Arial" w:hAnsi="Arial" w:cs="Arial"/>
                <w:sz w:val="24"/>
                <w:szCs w:val="24"/>
              </w:rPr>
              <w:t>.</w:t>
            </w:r>
          </w:p>
        </w:tc>
      </w:tr>
      <w:tr w:rsidR="004C06A6" w:rsidRPr="0014084D" w14:paraId="35664536" w14:textId="77777777" w:rsidTr="003966DA">
        <w:trPr>
          <w:cantSplit/>
          <w:jc w:val="center"/>
        </w:trPr>
        <w:tc>
          <w:tcPr>
            <w:tcW w:w="2841" w:type="dxa"/>
            <w:hideMark/>
          </w:tcPr>
          <w:p w14:paraId="74B4CB7C"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OPEN material</w:t>
            </w:r>
          </w:p>
        </w:tc>
        <w:tc>
          <w:tcPr>
            <w:tcW w:w="5239" w:type="dxa"/>
            <w:hideMark/>
          </w:tcPr>
          <w:p w14:paraId="56EF4CE8" w14:textId="676A7FE6" w:rsidR="004C06A6" w:rsidRPr="0014084D" w:rsidRDefault="004C06A6" w:rsidP="00D20DDF">
            <w:pPr>
              <w:jc w:val="both"/>
              <w:rPr>
                <w:rFonts w:ascii="Arial" w:hAnsi="Arial" w:cs="Arial"/>
                <w:sz w:val="24"/>
                <w:szCs w:val="24"/>
              </w:rPr>
            </w:pPr>
            <w:r w:rsidRPr="0014084D">
              <w:rPr>
                <w:rFonts w:ascii="Arial" w:hAnsi="Arial" w:cs="Arial"/>
                <w:sz w:val="24"/>
                <w:szCs w:val="24"/>
              </w:rPr>
              <w:t>Material</w:t>
            </w:r>
            <w:r w:rsidR="00045EDB" w:rsidRPr="0014084D">
              <w:rPr>
                <w:rFonts w:ascii="Arial" w:hAnsi="Arial" w:cs="Arial"/>
                <w:sz w:val="24"/>
                <w:szCs w:val="24"/>
              </w:rPr>
              <w:t xml:space="preserve"> which is in the public </w:t>
            </w:r>
            <w:proofErr w:type="gramStart"/>
            <w:r w:rsidR="00045EDB" w:rsidRPr="0014084D">
              <w:rPr>
                <w:rFonts w:ascii="Arial" w:hAnsi="Arial" w:cs="Arial"/>
                <w:sz w:val="24"/>
                <w:szCs w:val="24"/>
              </w:rPr>
              <w:t>domain</w:t>
            </w:r>
            <w:proofErr w:type="gramEnd"/>
            <w:r w:rsidR="007C2500" w:rsidRPr="0014084D">
              <w:rPr>
                <w:rFonts w:ascii="Arial" w:hAnsi="Arial" w:cs="Arial"/>
                <w:sz w:val="24"/>
                <w:szCs w:val="24"/>
              </w:rPr>
              <w:t xml:space="preserve"> and</w:t>
            </w:r>
            <w:r w:rsidR="00045EDB" w:rsidRPr="0014084D">
              <w:rPr>
                <w:rFonts w:ascii="Arial" w:hAnsi="Arial" w:cs="Arial"/>
                <w:sz w:val="24"/>
                <w:szCs w:val="24"/>
              </w:rPr>
              <w:t xml:space="preserve"> which </w:t>
            </w:r>
            <w:r w:rsidR="007C2500" w:rsidRPr="0014084D">
              <w:rPr>
                <w:rFonts w:ascii="Arial" w:hAnsi="Arial" w:cs="Arial"/>
                <w:sz w:val="24"/>
                <w:szCs w:val="24"/>
              </w:rPr>
              <w:t xml:space="preserve">can </w:t>
            </w:r>
            <w:r w:rsidR="00045EDB" w:rsidRPr="0014084D">
              <w:rPr>
                <w:rFonts w:ascii="Arial" w:hAnsi="Arial" w:cs="Arial"/>
                <w:sz w:val="24"/>
                <w:szCs w:val="24"/>
              </w:rPr>
              <w:t>be disclosed publicly without giving rise to any risk to</w:t>
            </w:r>
            <w:r w:rsidR="007C2500" w:rsidRPr="0014084D">
              <w:rPr>
                <w:rFonts w:ascii="Arial" w:hAnsi="Arial" w:cs="Arial"/>
                <w:sz w:val="24"/>
                <w:szCs w:val="24"/>
              </w:rPr>
              <w:t xml:space="preserve"> national security or </w:t>
            </w:r>
            <w:r w:rsidR="00045EDB" w:rsidRPr="0014084D">
              <w:rPr>
                <w:rFonts w:ascii="Arial" w:hAnsi="Arial" w:cs="Arial"/>
                <w:sz w:val="24"/>
                <w:szCs w:val="24"/>
              </w:rPr>
              <w:t xml:space="preserve">the public interest.  </w:t>
            </w:r>
          </w:p>
        </w:tc>
      </w:tr>
      <w:tr w:rsidR="004C06A6" w:rsidRPr="0014084D" w14:paraId="023FF438" w14:textId="77777777" w:rsidTr="003966DA">
        <w:trPr>
          <w:cantSplit/>
          <w:jc w:val="center"/>
        </w:trPr>
        <w:tc>
          <w:tcPr>
            <w:tcW w:w="2841" w:type="dxa"/>
            <w:hideMark/>
          </w:tcPr>
          <w:p w14:paraId="2F79F5CB" w14:textId="77777777" w:rsidR="004C06A6" w:rsidRPr="0014084D" w:rsidRDefault="00DF3CB9" w:rsidP="00165A95">
            <w:pPr>
              <w:jc w:val="both"/>
              <w:rPr>
                <w:rFonts w:ascii="Arial" w:hAnsi="Arial" w:cs="Arial"/>
                <w:sz w:val="24"/>
                <w:szCs w:val="24"/>
              </w:rPr>
            </w:pPr>
            <w:r w:rsidRPr="0014084D">
              <w:rPr>
                <w:rFonts w:ascii="Arial" w:hAnsi="Arial" w:cs="Arial"/>
                <w:sz w:val="24"/>
                <w:szCs w:val="24"/>
              </w:rPr>
              <w:t>OPEN Representatives</w:t>
            </w:r>
          </w:p>
        </w:tc>
        <w:tc>
          <w:tcPr>
            <w:tcW w:w="5239" w:type="dxa"/>
            <w:hideMark/>
          </w:tcPr>
          <w:p w14:paraId="74D74A07"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The solicitors acting for the excluded party.</w:t>
            </w:r>
          </w:p>
        </w:tc>
      </w:tr>
      <w:tr w:rsidR="00E9629F" w:rsidRPr="0014084D" w14:paraId="00221324" w14:textId="77777777" w:rsidTr="003966DA">
        <w:trPr>
          <w:cantSplit/>
          <w:jc w:val="center"/>
        </w:trPr>
        <w:tc>
          <w:tcPr>
            <w:tcW w:w="2841" w:type="dxa"/>
          </w:tcPr>
          <w:p w14:paraId="6A88BD9E" w14:textId="77777777" w:rsidR="00E9629F" w:rsidRPr="0014084D" w:rsidRDefault="00E9629F" w:rsidP="00165A95">
            <w:pPr>
              <w:jc w:val="both"/>
              <w:rPr>
                <w:rFonts w:ascii="Arial" w:hAnsi="Arial" w:cs="Arial"/>
                <w:sz w:val="24"/>
                <w:szCs w:val="24"/>
              </w:rPr>
            </w:pPr>
            <w:r>
              <w:rPr>
                <w:rFonts w:ascii="Arial" w:hAnsi="Arial" w:cs="Arial"/>
                <w:sz w:val="24"/>
                <w:szCs w:val="24"/>
              </w:rPr>
              <w:t>PII</w:t>
            </w:r>
          </w:p>
        </w:tc>
        <w:tc>
          <w:tcPr>
            <w:tcW w:w="5239" w:type="dxa"/>
          </w:tcPr>
          <w:p w14:paraId="1ADF35DD" w14:textId="77777777" w:rsidR="00E9629F" w:rsidRPr="0014084D" w:rsidRDefault="00E9629F" w:rsidP="00165A95">
            <w:pPr>
              <w:jc w:val="both"/>
              <w:rPr>
                <w:rFonts w:ascii="Arial" w:hAnsi="Arial" w:cs="Arial"/>
                <w:sz w:val="24"/>
                <w:szCs w:val="24"/>
              </w:rPr>
            </w:pPr>
            <w:r>
              <w:rPr>
                <w:rFonts w:ascii="Arial" w:hAnsi="Arial" w:cs="Arial"/>
                <w:sz w:val="24"/>
                <w:szCs w:val="24"/>
              </w:rPr>
              <w:t>Public Interest Immunity</w:t>
            </w:r>
          </w:p>
        </w:tc>
      </w:tr>
      <w:tr w:rsidR="002D7D52" w:rsidRPr="0014084D" w14:paraId="20B690D0" w14:textId="77777777" w:rsidTr="003966DA">
        <w:trPr>
          <w:cantSplit/>
          <w:jc w:val="center"/>
        </w:trPr>
        <w:tc>
          <w:tcPr>
            <w:tcW w:w="2841" w:type="dxa"/>
          </w:tcPr>
          <w:p w14:paraId="3644F3DE" w14:textId="77777777" w:rsidR="002D7D52" w:rsidRPr="0014084D" w:rsidRDefault="002D7D52" w:rsidP="00165A95">
            <w:pPr>
              <w:jc w:val="both"/>
              <w:rPr>
                <w:rFonts w:ascii="Arial" w:hAnsi="Arial" w:cs="Arial"/>
                <w:sz w:val="24"/>
                <w:szCs w:val="24"/>
              </w:rPr>
            </w:pPr>
            <w:r w:rsidRPr="0014084D">
              <w:rPr>
                <w:rFonts w:ascii="Arial" w:hAnsi="Arial" w:cs="Arial"/>
                <w:sz w:val="24"/>
                <w:szCs w:val="24"/>
              </w:rPr>
              <w:t>SASO</w:t>
            </w:r>
          </w:p>
        </w:tc>
        <w:tc>
          <w:tcPr>
            <w:tcW w:w="5239" w:type="dxa"/>
          </w:tcPr>
          <w:p w14:paraId="0E4C5070" w14:textId="77777777" w:rsidR="002D7D52" w:rsidRPr="0014084D" w:rsidRDefault="002D7D52" w:rsidP="00165A95">
            <w:pPr>
              <w:jc w:val="both"/>
              <w:rPr>
                <w:rFonts w:ascii="Arial" w:hAnsi="Arial" w:cs="Arial"/>
                <w:sz w:val="24"/>
                <w:szCs w:val="24"/>
              </w:rPr>
            </w:pPr>
            <w:r w:rsidRPr="0014084D">
              <w:rPr>
                <w:rFonts w:ascii="Arial" w:hAnsi="Arial" w:cs="Arial"/>
                <w:sz w:val="24"/>
                <w:szCs w:val="24"/>
              </w:rPr>
              <w:t>The Special Advocates’ Support Office.</w:t>
            </w:r>
          </w:p>
        </w:tc>
      </w:tr>
      <w:tr w:rsidR="00BB2EAB" w:rsidRPr="0014084D" w14:paraId="44D47322" w14:textId="77777777" w:rsidTr="003966DA">
        <w:trPr>
          <w:cantSplit/>
          <w:jc w:val="center"/>
        </w:trPr>
        <w:tc>
          <w:tcPr>
            <w:tcW w:w="2841" w:type="dxa"/>
          </w:tcPr>
          <w:p w14:paraId="1C88F6AD" w14:textId="5ED7A7B1" w:rsidR="00BB2EAB" w:rsidRPr="0014084D" w:rsidRDefault="00BB2EAB" w:rsidP="00165A95">
            <w:pPr>
              <w:jc w:val="both"/>
              <w:rPr>
                <w:rFonts w:ascii="Arial" w:hAnsi="Arial" w:cs="Arial"/>
                <w:sz w:val="24"/>
                <w:szCs w:val="24"/>
              </w:rPr>
            </w:pPr>
            <w:r>
              <w:rPr>
                <w:rFonts w:ascii="Arial" w:hAnsi="Arial" w:cs="Arial"/>
                <w:sz w:val="24"/>
                <w:szCs w:val="24"/>
              </w:rPr>
              <w:t xml:space="preserve">SASO </w:t>
            </w:r>
            <w:r w:rsidRPr="00BB2EAB">
              <w:rPr>
                <w:rFonts w:ascii="Arial" w:hAnsi="Arial" w:cs="Arial"/>
                <w:sz w:val="24"/>
                <w:szCs w:val="24"/>
              </w:rPr>
              <w:t>CLOSED</w:t>
            </w:r>
            <w:r>
              <w:rPr>
                <w:rFonts w:ascii="Arial" w:hAnsi="Arial" w:cs="Arial"/>
                <w:sz w:val="24"/>
                <w:szCs w:val="24"/>
              </w:rPr>
              <w:t xml:space="preserve"> </w:t>
            </w:r>
          </w:p>
        </w:tc>
        <w:tc>
          <w:tcPr>
            <w:tcW w:w="5239" w:type="dxa"/>
          </w:tcPr>
          <w:p w14:paraId="4D6C0A50" w14:textId="16FC87FB" w:rsidR="00BB2EAB" w:rsidRPr="0014084D" w:rsidRDefault="00BB2EAB" w:rsidP="00165A95">
            <w:pPr>
              <w:jc w:val="both"/>
              <w:rPr>
                <w:rFonts w:ascii="Arial" w:hAnsi="Arial" w:cs="Arial"/>
                <w:sz w:val="24"/>
                <w:szCs w:val="24"/>
              </w:rPr>
            </w:pPr>
            <w:r>
              <w:rPr>
                <w:rFonts w:ascii="Arial" w:hAnsi="Arial" w:cs="Arial"/>
                <w:sz w:val="24"/>
                <w:szCs w:val="24"/>
              </w:rPr>
              <w:t>Members of SASO who hold higher level security clearance.</w:t>
            </w:r>
          </w:p>
        </w:tc>
      </w:tr>
      <w:tr w:rsidR="00BB2EAB" w:rsidRPr="0014084D" w14:paraId="7AB6C84D" w14:textId="77777777" w:rsidTr="003966DA">
        <w:trPr>
          <w:cantSplit/>
          <w:jc w:val="center"/>
        </w:trPr>
        <w:tc>
          <w:tcPr>
            <w:tcW w:w="2841" w:type="dxa"/>
          </w:tcPr>
          <w:p w14:paraId="39556485" w14:textId="33092958" w:rsidR="00BB2EAB" w:rsidRPr="0014084D" w:rsidRDefault="00BB2EAB" w:rsidP="00165A95">
            <w:pPr>
              <w:jc w:val="both"/>
              <w:rPr>
                <w:rFonts w:ascii="Arial" w:hAnsi="Arial" w:cs="Arial"/>
                <w:sz w:val="24"/>
                <w:szCs w:val="24"/>
              </w:rPr>
            </w:pPr>
            <w:r>
              <w:rPr>
                <w:rFonts w:ascii="Arial" w:hAnsi="Arial" w:cs="Arial"/>
                <w:sz w:val="24"/>
                <w:szCs w:val="24"/>
              </w:rPr>
              <w:t>SASO OPEN</w:t>
            </w:r>
          </w:p>
        </w:tc>
        <w:tc>
          <w:tcPr>
            <w:tcW w:w="5239" w:type="dxa"/>
          </w:tcPr>
          <w:p w14:paraId="1BFE029B" w14:textId="454E2DD8" w:rsidR="00BB2EAB" w:rsidRPr="0014084D" w:rsidRDefault="00BB2EAB" w:rsidP="00BB2EAB">
            <w:pPr>
              <w:jc w:val="both"/>
              <w:rPr>
                <w:rFonts w:ascii="Arial" w:hAnsi="Arial" w:cs="Arial"/>
                <w:sz w:val="24"/>
                <w:szCs w:val="24"/>
              </w:rPr>
            </w:pPr>
            <w:r>
              <w:rPr>
                <w:rFonts w:ascii="Arial" w:hAnsi="Arial" w:cs="Arial"/>
                <w:sz w:val="24"/>
                <w:szCs w:val="24"/>
              </w:rPr>
              <w:t>Members of SASO who do not hold higher level security clearance.</w:t>
            </w:r>
          </w:p>
        </w:tc>
      </w:tr>
      <w:tr w:rsidR="002D7D52" w:rsidRPr="0014084D" w14:paraId="625834FD" w14:textId="77777777" w:rsidTr="003966DA">
        <w:trPr>
          <w:cantSplit/>
          <w:jc w:val="center"/>
        </w:trPr>
        <w:tc>
          <w:tcPr>
            <w:tcW w:w="2841" w:type="dxa"/>
          </w:tcPr>
          <w:p w14:paraId="16DE30EA" w14:textId="77777777" w:rsidR="002D7D52" w:rsidRPr="0014084D" w:rsidRDefault="002D7D52" w:rsidP="00165A95">
            <w:pPr>
              <w:jc w:val="both"/>
              <w:rPr>
                <w:rFonts w:ascii="Arial" w:hAnsi="Arial" w:cs="Arial"/>
                <w:sz w:val="24"/>
                <w:szCs w:val="24"/>
              </w:rPr>
            </w:pPr>
            <w:r w:rsidRPr="0014084D">
              <w:rPr>
                <w:rFonts w:ascii="Arial" w:hAnsi="Arial" w:cs="Arial"/>
                <w:sz w:val="24"/>
                <w:szCs w:val="24"/>
              </w:rPr>
              <w:t xml:space="preserve">The 1997 Act </w:t>
            </w:r>
          </w:p>
        </w:tc>
        <w:tc>
          <w:tcPr>
            <w:tcW w:w="5239" w:type="dxa"/>
          </w:tcPr>
          <w:p w14:paraId="65074112" w14:textId="77777777" w:rsidR="002D7D52" w:rsidRPr="0014084D" w:rsidRDefault="002D7D52" w:rsidP="00165A95">
            <w:pPr>
              <w:jc w:val="both"/>
              <w:rPr>
                <w:rFonts w:ascii="Arial" w:hAnsi="Arial" w:cs="Arial"/>
                <w:sz w:val="24"/>
                <w:szCs w:val="24"/>
              </w:rPr>
            </w:pPr>
            <w:r w:rsidRPr="0014084D">
              <w:rPr>
                <w:rFonts w:ascii="Arial" w:hAnsi="Arial" w:cs="Arial"/>
                <w:sz w:val="24"/>
                <w:szCs w:val="24"/>
              </w:rPr>
              <w:t>Special Immigration Appeals Act 1997</w:t>
            </w:r>
          </w:p>
        </w:tc>
      </w:tr>
      <w:tr w:rsidR="002D7D52" w:rsidRPr="0014084D" w14:paraId="486161EC" w14:textId="77777777" w:rsidTr="003966DA">
        <w:trPr>
          <w:cantSplit/>
          <w:jc w:val="center"/>
        </w:trPr>
        <w:tc>
          <w:tcPr>
            <w:tcW w:w="2841" w:type="dxa"/>
          </w:tcPr>
          <w:p w14:paraId="6CF5CBDD" w14:textId="77777777" w:rsidR="002D7D52" w:rsidRPr="0014084D" w:rsidRDefault="002D7D52" w:rsidP="00165A95">
            <w:pPr>
              <w:jc w:val="both"/>
              <w:rPr>
                <w:rFonts w:ascii="Arial" w:hAnsi="Arial" w:cs="Arial"/>
                <w:sz w:val="24"/>
                <w:szCs w:val="24"/>
              </w:rPr>
            </w:pPr>
            <w:r w:rsidRPr="0014084D">
              <w:rPr>
                <w:rFonts w:ascii="Arial" w:hAnsi="Arial" w:cs="Arial"/>
                <w:sz w:val="24"/>
                <w:szCs w:val="24"/>
              </w:rPr>
              <w:t>SIAC</w:t>
            </w:r>
          </w:p>
        </w:tc>
        <w:tc>
          <w:tcPr>
            <w:tcW w:w="5239" w:type="dxa"/>
          </w:tcPr>
          <w:p w14:paraId="2C9AC417" w14:textId="77777777" w:rsidR="002D7D52" w:rsidRPr="0014084D" w:rsidRDefault="002D7D52" w:rsidP="00165A95">
            <w:pPr>
              <w:jc w:val="both"/>
              <w:rPr>
                <w:rFonts w:ascii="Arial" w:hAnsi="Arial" w:cs="Arial"/>
                <w:sz w:val="24"/>
                <w:szCs w:val="24"/>
              </w:rPr>
            </w:pPr>
            <w:r w:rsidRPr="0014084D">
              <w:rPr>
                <w:rFonts w:ascii="Arial" w:hAnsi="Arial" w:cs="Arial"/>
                <w:sz w:val="24"/>
                <w:szCs w:val="24"/>
              </w:rPr>
              <w:t>Special Immigration Appeals Commission</w:t>
            </w:r>
          </w:p>
        </w:tc>
      </w:tr>
      <w:tr w:rsidR="004C06A6" w:rsidRPr="0014084D" w14:paraId="39033AA9" w14:textId="77777777" w:rsidTr="003966DA">
        <w:trPr>
          <w:cantSplit/>
          <w:jc w:val="center"/>
        </w:trPr>
        <w:tc>
          <w:tcPr>
            <w:tcW w:w="2841" w:type="dxa"/>
            <w:hideMark/>
          </w:tcPr>
          <w:p w14:paraId="5AF68415"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Security Checking</w:t>
            </w:r>
          </w:p>
        </w:tc>
        <w:tc>
          <w:tcPr>
            <w:tcW w:w="5239" w:type="dxa"/>
            <w:hideMark/>
          </w:tcPr>
          <w:p w14:paraId="3E36024E" w14:textId="61B5EC19" w:rsidR="004C06A6" w:rsidRPr="0014084D" w:rsidRDefault="004C06A6" w:rsidP="00165A95">
            <w:pPr>
              <w:jc w:val="both"/>
              <w:rPr>
                <w:rFonts w:ascii="Arial" w:hAnsi="Arial" w:cs="Arial"/>
                <w:sz w:val="24"/>
                <w:szCs w:val="24"/>
              </w:rPr>
            </w:pPr>
            <w:r w:rsidRPr="0014084D">
              <w:rPr>
                <w:rFonts w:ascii="Arial" w:hAnsi="Arial" w:cs="Arial"/>
                <w:sz w:val="24"/>
                <w:szCs w:val="24"/>
              </w:rPr>
              <w:t xml:space="preserve">The process undertaken by an </w:t>
            </w:r>
            <w:r w:rsidR="00FC620D">
              <w:rPr>
                <w:rFonts w:ascii="Arial" w:hAnsi="Arial" w:cs="Arial"/>
                <w:sz w:val="24"/>
                <w:szCs w:val="24"/>
              </w:rPr>
              <w:t>Information Owner</w:t>
            </w:r>
            <w:r w:rsidR="006C0807" w:rsidRPr="0014084D">
              <w:rPr>
                <w:rFonts w:ascii="Arial" w:hAnsi="Arial" w:cs="Arial"/>
                <w:sz w:val="24"/>
                <w:szCs w:val="24"/>
              </w:rPr>
              <w:t xml:space="preserve"> in relation to</w:t>
            </w:r>
            <w:r w:rsidR="006C6971" w:rsidRPr="0014084D">
              <w:rPr>
                <w:rFonts w:ascii="Arial" w:hAnsi="Arial" w:cs="Arial"/>
                <w:sz w:val="24"/>
                <w:szCs w:val="24"/>
              </w:rPr>
              <w:t xml:space="preserve"> an </w:t>
            </w:r>
            <w:r w:rsidRPr="0014084D">
              <w:rPr>
                <w:rFonts w:ascii="Arial" w:hAnsi="Arial" w:cs="Arial"/>
                <w:sz w:val="24"/>
                <w:szCs w:val="24"/>
              </w:rPr>
              <w:t>OPE</w:t>
            </w:r>
            <w:r w:rsidR="006C6971" w:rsidRPr="0014084D">
              <w:rPr>
                <w:rFonts w:ascii="Arial" w:hAnsi="Arial" w:cs="Arial"/>
                <w:sz w:val="24"/>
                <w:szCs w:val="24"/>
              </w:rPr>
              <w:t xml:space="preserve">N judgment or Communication Request to ensure </w:t>
            </w:r>
            <w:r w:rsidRPr="0014084D">
              <w:rPr>
                <w:rFonts w:ascii="Arial" w:hAnsi="Arial" w:cs="Arial"/>
                <w:sz w:val="24"/>
                <w:szCs w:val="24"/>
              </w:rPr>
              <w:t>national security</w:t>
            </w:r>
            <w:r w:rsidR="006C6971" w:rsidRPr="0014084D">
              <w:rPr>
                <w:rFonts w:ascii="Arial" w:hAnsi="Arial" w:cs="Arial"/>
                <w:sz w:val="24"/>
                <w:szCs w:val="24"/>
              </w:rPr>
              <w:t xml:space="preserve"> is protected</w:t>
            </w:r>
            <w:r w:rsidRPr="0014084D">
              <w:rPr>
                <w:rFonts w:ascii="Arial" w:hAnsi="Arial" w:cs="Arial"/>
                <w:sz w:val="24"/>
                <w:szCs w:val="24"/>
              </w:rPr>
              <w:t>.</w:t>
            </w:r>
          </w:p>
        </w:tc>
      </w:tr>
      <w:tr w:rsidR="004C06A6" w:rsidRPr="0014084D" w14:paraId="06C23A94" w14:textId="77777777" w:rsidTr="003966DA">
        <w:trPr>
          <w:cantSplit/>
          <w:jc w:val="center"/>
        </w:trPr>
        <w:tc>
          <w:tcPr>
            <w:tcW w:w="2841" w:type="dxa"/>
          </w:tcPr>
          <w:p w14:paraId="4BEE3472"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Special Advocate</w:t>
            </w:r>
          </w:p>
          <w:p w14:paraId="0C5EC518" w14:textId="77777777" w:rsidR="004C06A6" w:rsidRPr="0014084D" w:rsidRDefault="004C06A6" w:rsidP="00165A95">
            <w:pPr>
              <w:jc w:val="both"/>
              <w:rPr>
                <w:rFonts w:ascii="Arial" w:hAnsi="Arial" w:cs="Arial"/>
                <w:sz w:val="24"/>
                <w:szCs w:val="24"/>
              </w:rPr>
            </w:pPr>
          </w:p>
        </w:tc>
        <w:tc>
          <w:tcPr>
            <w:tcW w:w="5239" w:type="dxa"/>
            <w:hideMark/>
          </w:tcPr>
          <w:p w14:paraId="2ABBEEBB" w14:textId="5FA5637B" w:rsidR="004C06A6" w:rsidRPr="0014084D" w:rsidRDefault="004C06A6" w:rsidP="004A678C">
            <w:pPr>
              <w:jc w:val="both"/>
              <w:rPr>
                <w:rFonts w:ascii="Arial" w:hAnsi="Arial" w:cs="Arial"/>
                <w:sz w:val="24"/>
                <w:szCs w:val="24"/>
              </w:rPr>
            </w:pPr>
            <w:r w:rsidRPr="0014084D">
              <w:rPr>
                <w:rFonts w:ascii="Arial" w:hAnsi="Arial" w:cs="Arial"/>
                <w:sz w:val="24"/>
                <w:szCs w:val="24"/>
              </w:rPr>
              <w:t xml:space="preserve">An independent </w:t>
            </w:r>
            <w:r w:rsidR="004203A9">
              <w:rPr>
                <w:rFonts w:ascii="Arial" w:hAnsi="Arial" w:cs="Arial"/>
                <w:sz w:val="24"/>
                <w:szCs w:val="24"/>
              </w:rPr>
              <w:t>barrister</w:t>
            </w:r>
            <w:r w:rsidR="004A678C">
              <w:rPr>
                <w:rFonts w:ascii="Arial" w:hAnsi="Arial" w:cs="Arial"/>
                <w:sz w:val="24"/>
                <w:szCs w:val="24"/>
              </w:rPr>
              <w:t xml:space="preserve"> with higher level security clearance, </w:t>
            </w:r>
            <w:r w:rsidR="00A7405B" w:rsidRPr="0014084D">
              <w:rPr>
                <w:rFonts w:ascii="Arial" w:hAnsi="Arial" w:cs="Arial"/>
                <w:sz w:val="24"/>
                <w:szCs w:val="24"/>
              </w:rPr>
              <w:t xml:space="preserve">appointed to </w:t>
            </w:r>
            <w:r w:rsidR="006C6971" w:rsidRPr="0014084D">
              <w:rPr>
                <w:rFonts w:ascii="Arial" w:hAnsi="Arial" w:cs="Arial"/>
                <w:sz w:val="24"/>
                <w:szCs w:val="24"/>
              </w:rPr>
              <w:t xml:space="preserve">the panel of </w:t>
            </w:r>
            <w:r w:rsidR="004A678C">
              <w:rPr>
                <w:rFonts w:ascii="Arial" w:hAnsi="Arial" w:cs="Arial"/>
                <w:sz w:val="24"/>
                <w:szCs w:val="24"/>
              </w:rPr>
              <w:t>Special Advocates.</w:t>
            </w:r>
          </w:p>
        </w:tc>
      </w:tr>
      <w:tr w:rsidR="004C06A6" w:rsidRPr="0014084D" w14:paraId="17F7DEDE" w14:textId="77777777" w:rsidTr="003966DA">
        <w:trPr>
          <w:cantSplit/>
          <w:jc w:val="center"/>
        </w:trPr>
        <w:tc>
          <w:tcPr>
            <w:tcW w:w="2841" w:type="dxa"/>
            <w:hideMark/>
          </w:tcPr>
          <w:p w14:paraId="644DED8C"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lastRenderedPageBreak/>
              <w:t>SSFCA</w:t>
            </w:r>
          </w:p>
        </w:tc>
        <w:tc>
          <w:tcPr>
            <w:tcW w:w="5239" w:type="dxa"/>
            <w:hideMark/>
          </w:tcPr>
          <w:p w14:paraId="1C9EED07"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The Secretary of State for Foreign &amp; Commonwealth Affairs.</w:t>
            </w:r>
          </w:p>
        </w:tc>
      </w:tr>
      <w:tr w:rsidR="004C06A6" w:rsidRPr="0014084D" w14:paraId="0BEFD084" w14:textId="77777777" w:rsidTr="003966DA">
        <w:trPr>
          <w:cantSplit/>
          <w:jc w:val="center"/>
        </w:trPr>
        <w:tc>
          <w:tcPr>
            <w:tcW w:w="2841" w:type="dxa"/>
            <w:hideMark/>
          </w:tcPr>
          <w:p w14:paraId="1B2D9C67"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SSHD</w:t>
            </w:r>
          </w:p>
        </w:tc>
        <w:tc>
          <w:tcPr>
            <w:tcW w:w="5239" w:type="dxa"/>
            <w:hideMark/>
          </w:tcPr>
          <w:p w14:paraId="3FD5E646" w14:textId="77777777" w:rsidR="004C06A6" w:rsidRPr="0014084D" w:rsidRDefault="004C06A6" w:rsidP="00165A95">
            <w:pPr>
              <w:jc w:val="both"/>
              <w:rPr>
                <w:rFonts w:ascii="Arial" w:hAnsi="Arial" w:cs="Arial"/>
                <w:sz w:val="24"/>
                <w:szCs w:val="24"/>
              </w:rPr>
            </w:pPr>
            <w:r w:rsidRPr="0014084D">
              <w:rPr>
                <w:rFonts w:ascii="Arial" w:hAnsi="Arial" w:cs="Arial"/>
                <w:sz w:val="24"/>
                <w:szCs w:val="24"/>
              </w:rPr>
              <w:t>The Secretary of State for the Home Department.</w:t>
            </w:r>
          </w:p>
        </w:tc>
      </w:tr>
      <w:tr w:rsidR="002254C1" w:rsidRPr="0014084D" w14:paraId="1F46D5C9" w14:textId="77777777" w:rsidTr="003966DA">
        <w:trPr>
          <w:cantSplit/>
          <w:jc w:val="center"/>
        </w:trPr>
        <w:tc>
          <w:tcPr>
            <w:tcW w:w="2841" w:type="dxa"/>
          </w:tcPr>
          <w:p w14:paraId="0A1F1D91" w14:textId="77777777" w:rsidR="002254C1" w:rsidRPr="0014084D" w:rsidRDefault="002254C1" w:rsidP="00165A95">
            <w:pPr>
              <w:jc w:val="both"/>
              <w:rPr>
                <w:rFonts w:ascii="Arial" w:hAnsi="Arial" w:cs="Arial"/>
                <w:sz w:val="24"/>
                <w:szCs w:val="24"/>
              </w:rPr>
            </w:pPr>
            <w:r>
              <w:rPr>
                <w:rFonts w:ascii="Arial" w:hAnsi="Arial" w:cs="Arial"/>
                <w:sz w:val="24"/>
                <w:szCs w:val="24"/>
              </w:rPr>
              <w:t>SVAP</w:t>
            </w:r>
          </w:p>
        </w:tc>
        <w:tc>
          <w:tcPr>
            <w:tcW w:w="5239" w:type="dxa"/>
          </w:tcPr>
          <w:p w14:paraId="66BDED55" w14:textId="77777777" w:rsidR="002254C1" w:rsidRPr="0014084D" w:rsidRDefault="002254C1" w:rsidP="00165A95">
            <w:pPr>
              <w:jc w:val="both"/>
              <w:rPr>
                <w:rFonts w:ascii="Arial" w:hAnsi="Arial" w:cs="Arial"/>
                <w:sz w:val="24"/>
                <w:szCs w:val="24"/>
              </w:rPr>
            </w:pPr>
            <w:r>
              <w:rPr>
                <w:rFonts w:ascii="Arial" w:hAnsi="Arial" w:cs="Arial"/>
                <w:sz w:val="24"/>
                <w:szCs w:val="24"/>
              </w:rPr>
              <w:t>The Security Vetting Appeals Panel</w:t>
            </w:r>
          </w:p>
        </w:tc>
      </w:tr>
      <w:tr w:rsidR="004C06A6" w:rsidRPr="0014084D" w14:paraId="2BED9147" w14:textId="77777777" w:rsidTr="003966DA">
        <w:trPr>
          <w:cantSplit/>
          <w:jc w:val="center"/>
        </w:trPr>
        <w:tc>
          <w:tcPr>
            <w:tcW w:w="2841" w:type="dxa"/>
            <w:hideMark/>
          </w:tcPr>
          <w:p w14:paraId="7B8435D1" w14:textId="77777777" w:rsidR="004C06A6" w:rsidRPr="0014084D" w:rsidRDefault="00076F4C" w:rsidP="00165A95">
            <w:pPr>
              <w:jc w:val="both"/>
              <w:rPr>
                <w:rFonts w:ascii="Arial" w:hAnsi="Arial" w:cs="Arial"/>
                <w:sz w:val="24"/>
                <w:szCs w:val="24"/>
              </w:rPr>
            </w:pPr>
            <w:r>
              <w:rPr>
                <w:rFonts w:ascii="Arial" w:hAnsi="Arial" w:cs="Arial"/>
                <w:sz w:val="24"/>
                <w:szCs w:val="24"/>
              </w:rPr>
              <w:t>Tainted</w:t>
            </w:r>
          </w:p>
        </w:tc>
        <w:tc>
          <w:tcPr>
            <w:tcW w:w="5239" w:type="dxa"/>
            <w:hideMark/>
          </w:tcPr>
          <w:p w14:paraId="1A117CCD" w14:textId="77777777" w:rsidR="004C06A6" w:rsidRPr="0014084D" w:rsidRDefault="004C06A6" w:rsidP="00872BB9">
            <w:pPr>
              <w:jc w:val="both"/>
              <w:rPr>
                <w:rFonts w:ascii="Arial" w:hAnsi="Arial" w:cs="Arial"/>
                <w:sz w:val="24"/>
                <w:szCs w:val="24"/>
              </w:rPr>
            </w:pPr>
            <w:r w:rsidRPr="0014084D">
              <w:rPr>
                <w:rFonts w:ascii="Arial" w:hAnsi="Arial" w:cs="Arial"/>
                <w:sz w:val="24"/>
                <w:szCs w:val="24"/>
              </w:rPr>
              <w:t>Where a Special Advocate has seen CLOSED material in one matter which is considered to be relevant to a</w:t>
            </w:r>
            <w:r w:rsidR="00A7405B" w:rsidRPr="0014084D">
              <w:rPr>
                <w:rFonts w:ascii="Arial" w:hAnsi="Arial" w:cs="Arial"/>
                <w:sz w:val="24"/>
                <w:szCs w:val="24"/>
              </w:rPr>
              <w:t xml:space="preserve">nother </w:t>
            </w:r>
            <w:r w:rsidRPr="0014084D">
              <w:rPr>
                <w:rFonts w:ascii="Arial" w:hAnsi="Arial" w:cs="Arial"/>
                <w:sz w:val="24"/>
                <w:szCs w:val="24"/>
              </w:rPr>
              <w:t>matter.</w:t>
            </w:r>
          </w:p>
        </w:tc>
      </w:tr>
      <w:tr w:rsidR="004C06A6" w:rsidRPr="0014084D" w14:paraId="53914FE1" w14:textId="77777777" w:rsidTr="003966DA">
        <w:trPr>
          <w:cantSplit/>
          <w:jc w:val="center"/>
        </w:trPr>
        <w:tc>
          <w:tcPr>
            <w:tcW w:w="2841" w:type="dxa"/>
          </w:tcPr>
          <w:p w14:paraId="53EB0B3C" w14:textId="77777777" w:rsidR="00A7405B" w:rsidRPr="0014084D" w:rsidRDefault="004C06A6" w:rsidP="00EF1AC7">
            <w:pPr>
              <w:jc w:val="both"/>
              <w:rPr>
                <w:rFonts w:ascii="Arial" w:hAnsi="Arial" w:cs="Arial"/>
                <w:sz w:val="24"/>
                <w:szCs w:val="24"/>
              </w:rPr>
            </w:pPr>
            <w:r w:rsidRPr="0014084D">
              <w:rPr>
                <w:rFonts w:ascii="Arial" w:hAnsi="Arial" w:cs="Arial"/>
                <w:sz w:val="24"/>
                <w:szCs w:val="24"/>
              </w:rPr>
              <w:t>Tainting check</w:t>
            </w:r>
          </w:p>
        </w:tc>
        <w:tc>
          <w:tcPr>
            <w:tcW w:w="5239" w:type="dxa"/>
            <w:hideMark/>
          </w:tcPr>
          <w:p w14:paraId="7B1AF0B5" w14:textId="040D1A10" w:rsidR="00B73673" w:rsidRPr="0014084D" w:rsidRDefault="004C06A6" w:rsidP="00EF1AC7">
            <w:pPr>
              <w:jc w:val="both"/>
              <w:rPr>
                <w:rFonts w:ascii="Arial" w:hAnsi="Arial" w:cs="Arial"/>
                <w:sz w:val="24"/>
                <w:szCs w:val="24"/>
              </w:rPr>
            </w:pPr>
            <w:r w:rsidRPr="0014084D">
              <w:rPr>
                <w:rFonts w:ascii="Arial" w:hAnsi="Arial" w:cs="Arial"/>
                <w:sz w:val="24"/>
                <w:szCs w:val="24"/>
              </w:rPr>
              <w:t xml:space="preserve">Where, prior to nominating a Special Advocate to the Attorney General, SASO asks the </w:t>
            </w:r>
            <w:r w:rsidR="00FC620D">
              <w:rPr>
                <w:rFonts w:ascii="Arial" w:hAnsi="Arial" w:cs="Arial"/>
                <w:sz w:val="24"/>
                <w:szCs w:val="24"/>
              </w:rPr>
              <w:t>Information Owner</w:t>
            </w:r>
            <w:r w:rsidRPr="0014084D">
              <w:rPr>
                <w:rFonts w:ascii="Arial" w:hAnsi="Arial" w:cs="Arial"/>
                <w:sz w:val="24"/>
                <w:szCs w:val="24"/>
              </w:rPr>
              <w:t xml:space="preserve"> to confirm whether the Special Advocate is considered </w:t>
            </w:r>
            <w:r w:rsidR="006C6971" w:rsidRPr="0014084D">
              <w:rPr>
                <w:rFonts w:ascii="Arial" w:hAnsi="Arial" w:cs="Arial"/>
                <w:sz w:val="24"/>
                <w:szCs w:val="24"/>
              </w:rPr>
              <w:t xml:space="preserve">by them to be </w:t>
            </w:r>
            <w:r w:rsidRPr="0014084D">
              <w:rPr>
                <w:rFonts w:ascii="Arial" w:hAnsi="Arial" w:cs="Arial"/>
                <w:sz w:val="24"/>
                <w:szCs w:val="24"/>
              </w:rPr>
              <w:t>tainted.</w:t>
            </w:r>
          </w:p>
        </w:tc>
      </w:tr>
      <w:tr w:rsidR="00EF1AC7" w:rsidRPr="0014084D" w14:paraId="43FC52A7" w14:textId="77777777" w:rsidTr="003966DA">
        <w:trPr>
          <w:cantSplit/>
          <w:jc w:val="center"/>
        </w:trPr>
        <w:tc>
          <w:tcPr>
            <w:tcW w:w="2841" w:type="dxa"/>
          </w:tcPr>
          <w:p w14:paraId="08B25BF5" w14:textId="77777777" w:rsidR="00EF1AC7" w:rsidRPr="0014084D" w:rsidRDefault="00EF1AC7" w:rsidP="00EF1AC7">
            <w:pPr>
              <w:jc w:val="both"/>
              <w:rPr>
                <w:rFonts w:ascii="Arial" w:hAnsi="Arial" w:cs="Arial"/>
                <w:sz w:val="24"/>
                <w:szCs w:val="24"/>
              </w:rPr>
            </w:pPr>
            <w:r w:rsidRPr="0014084D">
              <w:rPr>
                <w:rFonts w:ascii="Arial" w:hAnsi="Arial" w:cs="Arial"/>
                <w:sz w:val="24"/>
                <w:szCs w:val="24"/>
              </w:rPr>
              <w:t xml:space="preserve">TPIM </w:t>
            </w:r>
          </w:p>
          <w:p w14:paraId="3D7E8B17" w14:textId="77777777" w:rsidR="00EF1AC7" w:rsidRPr="0014084D" w:rsidRDefault="00EF1AC7" w:rsidP="00165A95">
            <w:pPr>
              <w:jc w:val="both"/>
              <w:rPr>
                <w:rFonts w:ascii="Arial" w:hAnsi="Arial" w:cs="Arial"/>
                <w:sz w:val="24"/>
                <w:szCs w:val="24"/>
              </w:rPr>
            </w:pPr>
          </w:p>
        </w:tc>
        <w:tc>
          <w:tcPr>
            <w:tcW w:w="5239" w:type="dxa"/>
          </w:tcPr>
          <w:p w14:paraId="3AAAB6F7" w14:textId="174FA77B" w:rsidR="00EF1AC7" w:rsidRPr="0014084D" w:rsidRDefault="00D20DDF" w:rsidP="00EF1AC7">
            <w:pPr>
              <w:jc w:val="both"/>
              <w:rPr>
                <w:rFonts w:ascii="Arial" w:hAnsi="Arial" w:cs="Arial"/>
                <w:sz w:val="24"/>
                <w:szCs w:val="24"/>
              </w:rPr>
            </w:pPr>
            <w:r>
              <w:rPr>
                <w:rFonts w:ascii="Arial" w:hAnsi="Arial" w:cs="Arial"/>
                <w:sz w:val="24"/>
                <w:szCs w:val="24"/>
              </w:rPr>
              <w:t>Measures</w:t>
            </w:r>
            <w:r w:rsidR="004A678C">
              <w:rPr>
                <w:rFonts w:ascii="Arial" w:hAnsi="Arial" w:cs="Arial"/>
                <w:sz w:val="24"/>
                <w:szCs w:val="24"/>
              </w:rPr>
              <w:t xml:space="preserve"> and/or restrictions</w:t>
            </w:r>
            <w:r>
              <w:rPr>
                <w:rFonts w:ascii="Arial" w:hAnsi="Arial" w:cs="Arial"/>
                <w:sz w:val="24"/>
                <w:szCs w:val="24"/>
              </w:rPr>
              <w:t xml:space="preserve"> </w:t>
            </w:r>
            <w:r w:rsidR="004A678C">
              <w:rPr>
                <w:rFonts w:ascii="Arial" w:hAnsi="Arial" w:cs="Arial"/>
                <w:sz w:val="24"/>
                <w:szCs w:val="24"/>
              </w:rPr>
              <w:t>imposed on a person</w:t>
            </w:r>
            <w:r>
              <w:rPr>
                <w:rFonts w:ascii="Arial" w:hAnsi="Arial" w:cs="Arial"/>
                <w:sz w:val="24"/>
                <w:szCs w:val="24"/>
              </w:rPr>
              <w:t xml:space="preserve"> under the </w:t>
            </w:r>
            <w:r w:rsidR="00EF1AC7" w:rsidRPr="0014084D">
              <w:rPr>
                <w:rFonts w:ascii="Arial" w:hAnsi="Arial" w:cs="Arial"/>
                <w:sz w:val="24"/>
                <w:szCs w:val="24"/>
              </w:rPr>
              <w:t>Terrorism Prevention and Investigation Measures</w:t>
            </w:r>
            <w:r>
              <w:rPr>
                <w:rFonts w:ascii="Arial" w:hAnsi="Arial" w:cs="Arial"/>
                <w:sz w:val="24"/>
                <w:szCs w:val="24"/>
              </w:rPr>
              <w:t xml:space="preserve"> </w:t>
            </w:r>
            <w:r w:rsidR="00EF1AC7" w:rsidRPr="0014084D">
              <w:rPr>
                <w:rFonts w:ascii="Arial" w:hAnsi="Arial" w:cs="Arial"/>
                <w:sz w:val="24"/>
                <w:szCs w:val="24"/>
              </w:rPr>
              <w:t xml:space="preserve">Act 2011. </w:t>
            </w:r>
          </w:p>
          <w:p w14:paraId="4239F1C1" w14:textId="77777777" w:rsidR="00EF1AC7" w:rsidRPr="0014084D" w:rsidRDefault="00EF1AC7" w:rsidP="00165A95">
            <w:pPr>
              <w:jc w:val="both"/>
              <w:rPr>
                <w:rFonts w:ascii="Arial" w:hAnsi="Arial" w:cs="Arial"/>
                <w:sz w:val="24"/>
                <w:szCs w:val="24"/>
              </w:rPr>
            </w:pPr>
          </w:p>
        </w:tc>
      </w:tr>
    </w:tbl>
    <w:p w14:paraId="41FBACD4" w14:textId="77777777" w:rsidR="005474F7" w:rsidRPr="0014084D" w:rsidRDefault="005474F7" w:rsidP="00165A95">
      <w:pPr>
        <w:pStyle w:val="BodyText"/>
        <w:spacing w:line="360" w:lineRule="auto"/>
        <w:jc w:val="both"/>
        <w:rPr>
          <w:rFonts w:cs="Arial"/>
          <w:bCs w:val="0"/>
          <w:sz w:val="24"/>
        </w:rPr>
      </w:pPr>
    </w:p>
    <w:p w14:paraId="6F222AE3" w14:textId="1724F5B0" w:rsidR="005474F7" w:rsidRPr="0014084D" w:rsidRDefault="005474F7" w:rsidP="00165A95">
      <w:pPr>
        <w:spacing w:line="360" w:lineRule="auto"/>
        <w:jc w:val="both"/>
        <w:rPr>
          <w:rFonts w:ascii="Arial" w:hAnsi="Arial" w:cs="Arial"/>
          <w:i/>
          <w:sz w:val="24"/>
          <w:szCs w:val="24"/>
        </w:rPr>
      </w:pPr>
      <w:r w:rsidRPr="0014084D">
        <w:rPr>
          <w:rFonts w:ascii="Arial" w:hAnsi="Arial" w:cs="Arial"/>
          <w:i/>
          <w:sz w:val="24"/>
          <w:szCs w:val="24"/>
          <w:u w:val="single"/>
        </w:rPr>
        <w:t>A note on drafting</w:t>
      </w:r>
      <w:r w:rsidRPr="0014084D">
        <w:rPr>
          <w:rFonts w:ascii="Arial" w:hAnsi="Arial" w:cs="Arial"/>
          <w:i/>
          <w:sz w:val="24"/>
          <w:szCs w:val="24"/>
        </w:rPr>
        <w:t xml:space="preserve">: (1) No gender preference is intended by the use of words anywhere in this </w:t>
      </w:r>
      <w:r w:rsidR="006C0807" w:rsidRPr="0014084D">
        <w:rPr>
          <w:rFonts w:ascii="Arial" w:hAnsi="Arial" w:cs="Arial"/>
          <w:i/>
          <w:sz w:val="24"/>
          <w:szCs w:val="24"/>
        </w:rPr>
        <w:t>manual</w:t>
      </w:r>
      <w:r w:rsidR="00F13FF0" w:rsidRPr="0014084D">
        <w:rPr>
          <w:rFonts w:ascii="Arial" w:hAnsi="Arial" w:cs="Arial"/>
          <w:i/>
          <w:sz w:val="24"/>
          <w:szCs w:val="24"/>
        </w:rPr>
        <w:t>;</w:t>
      </w:r>
      <w:r w:rsidRPr="0014084D">
        <w:rPr>
          <w:rFonts w:ascii="Arial" w:hAnsi="Arial" w:cs="Arial"/>
          <w:i/>
          <w:sz w:val="24"/>
          <w:szCs w:val="24"/>
        </w:rPr>
        <w:t xml:space="preserve"> (2) </w:t>
      </w:r>
      <w:r w:rsidR="00BF2CAD" w:rsidRPr="0014084D">
        <w:rPr>
          <w:rFonts w:ascii="Arial" w:hAnsi="Arial" w:cs="Arial"/>
          <w:i/>
          <w:sz w:val="24"/>
          <w:szCs w:val="24"/>
        </w:rPr>
        <w:t>T</w:t>
      </w:r>
      <w:r w:rsidRPr="0014084D">
        <w:rPr>
          <w:rFonts w:ascii="Arial" w:hAnsi="Arial" w:cs="Arial"/>
          <w:i/>
          <w:sz w:val="24"/>
          <w:szCs w:val="24"/>
        </w:rPr>
        <w:t xml:space="preserve">he term “court” is used to refer to </w:t>
      </w:r>
      <w:r w:rsidR="004F4D4C" w:rsidRPr="0014084D">
        <w:rPr>
          <w:rFonts w:ascii="Arial" w:hAnsi="Arial" w:cs="Arial"/>
          <w:i/>
          <w:sz w:val="24"/>
          <w:szCs w:val="24"/>
        </w:rPr>
        <w:t xml:space="preserve">SIAC, </w:t>
      </w:r>
      <w:r w:rsidR="00651723" w:rsidRPr="0014084D">
        <w:rPr>
          <w:rFonts w:ascii="Arial" w:hAnsi="Arial" w:cs="Arial"/>
          <w:i/>
          <w:sz w:val="24"/>
          <w:szCs w:val="24"/>
        </w:rPr>
        <w:t>c</w:t>
      </w:r>
      <w:r w:rsidRPr="0014084D">
        <w:rPr>
          <w:rFonts w:ascii="Arial" w:hAnsi="Arial" w:cs="Arial"/>
          <w:i/>
          <w:sz w:val="24"/>
          <w:szCs w:val="24"/>
        </w:rPr>
        <w:t>ourts</w:t>
      </w:r>
      <w:r w:rsidR="00651723" w:rsidRPr="0014084D">
        <w:rPr>
          <w:rFonts w:ascii="Arial" w:hAnsi="Arial" w:cs="Arial"/>
          <w:i/>
          <w:sz w:val="24"/>
          <w:szCs w:val="24"/>
        </w:rPr>
        <w:t xml:space="preserve"> (including appellate c</w:t>
      </w:r>
      <w:r w:rsidR="00555ABD" w:rsidRPr="0014084D">
        <w:rPr>
          <w:rFonts w:ascii="Arial" w:hAnsi="Arial" w:cs="Arial"/>
          <w:i/>
          <w:sz w:val="24"/>
          <w:szCs w:val="24"/>
        </w:rPr>
        <w:t>ourts</w:t>
      </w:r>
      <w:r w:rsidR="00651723" w:rsidRPr="0014084D">
        <w:rPr>
          <w:rFonts w:ascii="Arial" w:hAnsi="Arial" w:cs="Arial"/>
          <w:i/>
          <w:sz w:val="24"/>
          <w:szCs w:val="24"/>
        </w:rPr>
        <w:t>)</w:t>
      </w:r>
      <w:r w:rsidRPr="0014084D">
        <w:rPr>
          <w:rFonts w:ascii="Arial" w:hAnsi="Arial" w:cs="Arial"/>
          <w:i/>
          <w:sz w:val="24"/>
          <w:szCs w:val="24"/>
        </w:rPr>
        <w:t xml:space="preserve">, Tribunals </w:t>
      </w:r>
      <w:r w:rsidR="004F4D4C" w:rsidRPr="0014084D">
        <w:rPr>
          <w:rFonts w:ascii="Arial" w:hAnsi="Arial" w:cs="Arial"/>
          <w:i/>
          <w:sz w:val="24"/>
          <w:szCs w:val="24"/>
        </w:rPr>
        <w:t>and all other for</w:t>
      </w:r>
      <w:r w:rsidR="00651723" w:rsidRPr="0014084D">
        <w:rPr>
          <w:rFonts w:ascii="Arial" w:hAnsi="Arial" w:cs="Arial"/>
          <w:i/>
          <w:sz w:val="24"/>
          <w:szCs w:val="24"/>
        </w:rPr>
        <w:t>ums in which</w:t>
      </w:r>
      <w:r w:rsidR="00555ABD" w:rsidRPr="0014084D">
        <w:rPr>
          <w:rFonts w:ascii="Arial" w:hAnsi="Arial" w:cs="Arial"/>
          <w:i/>
          <w:sz w:val="24"/>
          <w:szCs w:val="24"/>
        </w:rPr>
        <w:t xml:space="preserve"> CLOSED </w:t>
      </w:r>
      <w:r w:rsidR="00FC620D">
        <w:rPr>
          <w:rFonts w:ascii="Arial" w:hAnsi="Arial" w:cs="Arial"/>
          <w:i/>
          <w:sz w:val="24"/>
          <w:szCs w:val="24"/>
        </w:rPr>
        <w:t>proceedings</w:t>
      </w:r>
      <w:r w:rsidR="00555ABD" w:rsidRPr="0014084D">
        <w:rPr>
          <w:rFonts w:ascii="Arial" w:hAnsi="Arial" w:cs="Arial"/>
          <w:i/>
          <w:sz w:val="24"/>
          <w:szCs w:val="24"/>
        </w:rPr>
        <w:t xml:space="preserve"> </w:t>
      </w:r>
      <w:r w:rsidR="004F4D4C" w:rsidRPr="0014084D">
        <w:rPr>
          <w:rFonts w:ascii="Arial" w:hAnsi="Arial" w:cs="Arial"/>
          <w:i/>
          <w:sz w:val="24"/>
          <w:szCs w:val="24"/>
        </w:rPr>
        <w:t>take</w:t>
      </w:r>
      <w:r w:rsidR="004A678C">
        <w:rPr>
          <w:rFonts w:ascii="Arial" w:hAnsi="Arial" w:cs="Arial"/>
          <w:i/>
          <w:sz w:val="24"/>
          <w:szCs w:val="24"/>
        </w:rPr>
        <w:t xml:space="preserve"> place.</w:t>
      </w:r>
    </w:p>
    <w:p w14:paraId="0CD4398F" w14:textId="77777777" w:rsidR="002467F5" w:rsidRDefault="002467F5" w:rsidP="008122B8">
      <w:pPr>
        <w:pStyle w:val="Heading1"/>
        <w:rPr>
          <w:i/>
        </w:rPr>
        <w:sectPr w:rsidR="002467F5" w:rsidSect="0043459C">
          <w:headerReference w:type="even" r:id="rId25"/>
          <w:headerReference w:type="default" r:id="rId26"/>
          <w:headerReference w:type="first" r:id="rId27"/>
          <w:pgSz w:w="11906" w:h="16838" w:code="9"/>
          <w:pgMar w:top="1440" w:right="1440" w:bottom="851" w:left="1440" w:header="709" w:footer="170" w:gutter="0"/>
          <w:cols w:space="708"/>
          <w:docGrid w:linePitch="360"/>
        </w:sectPr>
      </w:pPr>
    </w:p>
    <w:p w14:paraId="44B0D66D" w14:textId="59E1CFFA" w:rsidR="005474F7" w:rsidRPr="0014084D" w:rsidRDefault="005474F7" w:rsidP="008122B8">
      <w:pPr>
        <w:pStyle w:val="Heading1"/>
      </w:pPr>
      <w:bookmarkStart w:id="9" w:name="_Toc499805094"/>
      <w:bookmarkStart w:id="10" w:name="_Toc3904879"/>
      <w:r w:rsidRPr="0014084D">
        <w:lastRenderedPageBreak/>
        <w:t>PART II</w:t>
      </w:r>
      <w:r w:rsidR="00FC620D">
        <w:t xml:space="preserve"> – </w:t>
      </w:r>
      <w:bookmarkStart w:id="11" w:name="Part2"/>
      <w:r w:rsidRPr="0014084D">
        <w:t xml:space="preserve">A </w:t>
      </w:r>
      <w:r w:rsidR="00443444">
        <w:t>Brief</w:t>
      </w:r>
      <w:r w:rsidRPr="0014084D">
        <w:t xml:space="preserve"> </w:t>
      </w:r>
      <w:r w:rsidR="00443444">
        <w:t>History and Overview</w:t>
      </w:r>
      <w:bookmarkEnd w:id="9"/>
      <w:bookmarkEnd w:id="10"/>
      <w:bookmarkEnd w:id="11"/>
    </w:p>
    <w:p w14:paraId="4F1EE545" w14:textId="77777777" w:rsidR="005474F7" w:rsidRPr="00EF1AC7" w:rsidRDefault="005474F7" w:rsidP="00DB405E">
      <w:pPr>
        <w:pStyle w:val="Heading2"/>
      </w:pPr>
      <w:bookmarkStart w:id="12" w:name="_Toc499805096"/>
      <w:bookmarkStart w:id="13" w:name="_Toc3904880"/>
      <w:r w:rsidRPr="00EF1AC7">
        <w:t>The creation of the role of Special Advocate</w:t>
      </w:r>
      <w:bookmarkEnd w:id="12"/>
      <w:bookmarkEnd w:id="13"/>
    </w:p>
    <w:p w14:paraId="6F4E6174" w14:textId="77777777" w:rsidR="005474F7" w:rsidRPr="0014084D" w:rsidRDefault="00B51C50" w:rsidP="003966DA">
      <w:pPr>
        <w:pStyle w:val="OPENmanualpara"/>
      </w:pPr>
      <w:r w:rsidRPr="0014084D">
        <w:t>The role of Special Advocate</w:t>
      </w:r>
      <w:r w:rsidR="005474F7" w:rsidRPr="0014084D">
        <w:t xml:space="preserve"> did not exist in England an</w:t>
      </w:r>
      <w:r w:rsidRPr="0014084D">
        <w:t>d Wales prior to 1997. It was</w:t>
      </w:r>
      <w:r w:rsidR="005474F7" w:rsidRPr="0014084D">
        <w:t xml:space="preserve"> first introduced in an immigration context in cases where individuals were threatened with deportation on grounds of national security.  Th</w:t>
      </w:r>
      <w:r w:rsidR="003022E7">
        <w:t>e</w:t>
      </w:r>
      <w:r w:rsidR="005474F7" w:rsidRPr="0014084D">
        <w:t xml:space="preserve"> role has since </w:t>
      </w:r>
      <w:r w:rsidR="00EE7F63" w:rsidRPr="0014084D">
        <w:t xml:space="preserve">been </w:t>
      </w:r>
      <w:r w:rsidR="005474F7" w:rsidRPr="0014084D">
        <w:t xml:space="preserve">expanded to cover a wide range of cases as set out at Part </w:t>
      </w:r>
      <w:r w:rsidR="00710943">
        <w:t xml:space="preserve">VI </w:t>
      </w:r>
      <w:r w:rsidR="005474F7" w:rsidRPr="0014084D">
        <w:t xml:space="preserve">of this </w:t>
      </w:r>
      <w:r w:rsidR="006C0807" w:rsidRPr="0014084D">
        <w:t>manual</w:t>
      </w:r>
      <w:r w:rsidR="005474F7" w:rsidRPr="0014084D">
        <w:t>.</w:t>
      </w:r>
    </w:p>
    <w:p w14:paraId="2CFD93BB" w14:textId="5FB66631" w:rsidR="005474F7" w:rsidRPr="0014084D" w:rsidRDefault="005474F7" w:rsidP="003966DA">
      <w:pPr>
        <w:pStyle w:val="OPENmanualpara"/>
      </w:pPr>
      <w:r w:rsidRPr="0014084D">
        <w:t xml:space="preserve">At that time the </w:t>
      </w:r>
      <w:r w:rsidR="00745F54">
        <w:t>SSHD’s</w:t>
      </w:r>
      <w:r w:rsidRPr="0014084D">
        <w:t xml:space="preserve"> decision to deport an individual</w:t>
      </w:r>
      <w:r w:rsidR="004A678C">
        <w:t xml:space="preserve"> on national security grounds</w:t>
      </w:r>
      <w:r w:rsidRPr="0014084D">
        <w:t xml:space="preserve"> was reviewed by </w:t>
      </w:r>
      <w:r w:rsidR="00EE7F63" w:rsidRPr="0014084D">
        <w:t xml:space="preserve">a panel of </w:t>
      </w:r>
      <w:r w:rsidRPr="0014084D">
        <w:t xml:space="preserve">three </w:t>
      </w:r>
      <w:proofErr w:type="gramStart"/>
      <w:r w:rsidRPr="0014084D">
        <w:t>Home</w:t>
      </w:r>
      <w:proofErr w:type="gramEnd"/>
      <w:r w:rsidRPr="0014084D">
        <w:t xml:space="preserve"> Office advisors</w:t>
      </w:r>
      <w:r w:rsidR="00EE7F63" w:rsidRPr="0014084D">
        <w:t xml:space="preserve">. The </w:t>
      </w:r>
      <w:r w:rsidR="003022E7">
        <w:t>p</w:t>
      </w:r>
      <w:r w:rsidR="00EE7F63" w:rsidRPr="0014084D">
        <w:t>anel</w:t>
      </w:r>
      <w:r w:rsidRPr="0014084D">
        <w:t xml:space="preserve"> would </w:t>
      </w:r>
      <w:r w:rsidR="00EE7F63" w:rsidRPr="0014084D">
        <w:t xml:space="preserve">make recommendations </w:t>
      </w:r>
      <w:r w:rsidR="00A626F5" w:rsidRPr="0014084D">
        <w:t xml:space="preserve">as to </w:t>
      </w:r>
      <w:r w:rsidR="00EE7F63" w:rsidRPr="0014084D">
        <w:t>whether</w:t>
      </w:r>
      <w:r w:rsidR="00DD4FA5">
        <w:t xml:space="preserve"> the decision should stand, although</w:t>
      </w:r>
      <w:r w:rsidR="00EF1AC7">
        <w:t xml:space="preserve"> </w:t>
      </w:r>
      <w:r w:rsidR="00DD4FA5">
        <w:t>t</w:t>
      </w:r>
      <w:r w:rsidR="00EF1AC7" w:rsidRPr="0014084D">
        <w:t xml:space="preserve">he </w:t>
      </w:r>
      <w:r w:rsidR="00EF1AC7">
        <w:t>panel</w:t>
      </w:r>
      <w:r w:rsidR="00EF1AC7" w:rsidRPr="0014084D">
        <w:t>’</w:t>
      </w:r>
      <w:r w:rsidR="00EF1AC7">
        <w:t>s</w:t>
      </w:r>
      <w:r w:rsidR="00EF1AC7" w:rsidRPr="0014084D">
        <w:t xml:space="preserve"> recommendation was purely advisory.</w:t>
      </w:r>
      <w:r w:rsidRPr="0014084D">
        <w:t xml:space="preserve"> As now, classified material was not shown to the Appellant or their legal advisors. </w:t>
      </w:r>
    </w:p>
    <w:p w14:paraId="171938B0" w14:textId="2CCCAC05" w:rsidR="005474F7" w:rsidRPr="0014084D" w:rsidRDefault="005474F7" w:rsidP="003966DA">
      <w:pPr>
        <w:pStyle w:val="OPENmanualpara"/>
      </w:pPr>
      <w:r w:rsidRPr="0014084D">
        <w:t xml:space="preserve">Mr Chahal was an Indian national with indefinite leave to remain in the UK. The </w:t>
      </w:r>
      <w:r w:rsidR="00745F54">
        <w:t>SSHD</w:t>
      </w:r>
      <w:r w:rsidRPr="0014084D">
        <w:t xml:space="preserve"> issued a notice of intention to deport him in 1990</w:t>
      </w:r>
      <w:r w:rsidR="004A678C">
        <w:t>,</w:t>
      </w:r>
      <w:r w:rsidRPr="0014084D">
        <w:t xml:space="preserve"> on the grounds that his presence in the UK was not conducive to national security. His asylum appeal failed and the Home Office </w:t>
      </w:r>
      <w:r w:rsidR="00A626F5" w:rsidRPr="0014084D">
        <w:t>A</w:t>
      </w:r>
      <w:r w:rsidRPr="0014084D">
        <w:t xml:space="preserve">dvisory </w:t>
      </w:r>
      <w:r w:rsidR="00A626F5" w:rsidRPr="0014084D">
        <w:t>P</w:t>
      </w:r>
      <w:r w:rsidRPr="0014084D">
        <w:t xml:space="preserve">anel, after considering the sensitive material, recommended to the </w:t>
      </w:r>
      <w:r w:rsidR="00745F54">
        <w:t xml:space="preserve">SSHD </w:t>
      </w:r>
      <w:r w:rsidRPr="0014084D">
        <w:t xml:space="preserve">that he be deported. </w:t>
      </w:r>
    </w:p>
    <w:p w14:paraId="3DA083EA" w14:textId="3EF702AF" w:rsidR="005474F7" w:rsidRPr="0014084D" w:rsidRDefault="005474F7" w:rsidP="003966DA">
      <w:pPr>
        <w:pStyle w:val="OPENmanualpara"/>
      </w:pPr>
      <w:r w:rsidRPr="00277538">
        <w:t>Mr Chahal then took his case to the European Court of Human Rights</w:t>
      </w:r>
      <w:r w:rsidRPr="0014084D">
        <w:t xml:space="preserve"> (</w:t>
      </w:r>
      <w:r w:rsidR="009B343C">
        <w:t>“</w:t>
      </w:r>
      <w:r w:rsidRPr="0014084D">
        <w:t>ECtHR</w:t>
      </w:r>
      <w:r w:rsidR="0079491A">
        <w:t>”</w:t>
      </w:r>
      <w:r w:rsidRPr="0014084D">
        <w:t>). One of his arguments was that the system operated by the UK denied him the opportunity to have the lawfulness of his detention decided by a national court, in breach of Article 5(4) of the European Convention on Human Rights (</w:t>
      </w:r>
      <w:r w:rsidR="009B343C">
        <w:t>“</w:t>
      </w:r>
      <w:r w:rsidRPr="0014084D">
        <w:t>ECHR</w:t>
      </w:r>
      <w:r w:rsidR="0079491A">
        <w:t>”</w:t>
      </w:r>
      <w:r w:rsidRPr="0014084D">
        <w:t>)</w:t>
      </w:r>
      <w:r w:rsidR="00745F54">
        <w:t>.</w:t>
      </w:r>
      <w:r w:rsidRPr="0014084D">
        <w:rPr>
          <w:rStyle w:val="FootnoteReference"/>
        </w:rPr>
        <w:footnoteReference w:id="3"/>
      </w:r>
      <w:r w:rsidRPr="0014084D">
        <w:t xml:space="preserve"> </w:t>
      </w:r>
    </w:p>
    <w:p w14:paraId="51F188E4" w14:textId="77777777" w:rsidR="005474F7" w:rsidRPr="0014084D" w:rsidRDefault="00D37FB6" w:rsidP="003966DA">
      <w:pPr>
        <w:pStyle w:val="OPENmanualpara"/>
      </w:pPr>
      <w:r>
        <w:t xml:space="preserve">The court held </w:t>
      </w:r>
      <w:r w:rsidR="00864368">
        <w:t>(</w:t>
      </w:r>
      <w:r>
        <w:t>paras 124</w:t>
      </w:r>
      <w:r w:rsidR="005474F7" w:rsidRPr="0014084D">
        <w:t>-133</w:t>
      </w:r>
      <w:r w:rsidR="006E1713">
        <w:rPr>
          <w:rStyle w:val="FootnoteReference"/>
        </w:rPr>
        <w:footnoteReference w:id="4"/>
      </w:r>
      <w:r w:rsidR="00864368">
        <w:t>)</w:t>
      </w:r>
      <w:r w:rsidR="005474F7" w:rsidRPr="0014084D">
        <w:t xml:space="preserve"> that the existing arrangements in the UK breached Article 5(4) ECHR in national security cases where the subject was held in detention pending deportation. This was because the domestic courts were not in a position to review whether the decisions to detain the subjects, and keep them in detention, were justified on national security grounds. </w:t>
      </w:r>
    </w:p>
    <w:p w14:paraId="3A1D6759" w14:textId="77777777" w:rsidR="005474F7" w:rsidRPr="0014084D" w:rsidRDefault="005474F7" w:rsidP="003966DA">
      <w:pPr>
        <w:pStyle w:val="OPENmanualpara"/>
      </w:pPr>
      <w:r w:rsidRPr="0014084D">
        <w:lastRenderedPageBreak/>
        <w:t>Whilst the ECtHR found that the advisory panel provided “</w:t>
      </w:r>
      <w:r w:rsidRPr="0014084D">
        <w:rPr>
          <w:i/>
        </w:rPr>
        <w:t>some degree of control</w:t>
      </w:r>
      <w:r w:rsidR="00793861">
        <w:t>”</w:t>
      </w:r>
      <w:r w:rsidR="00793861">
        <w:rPr>
          <w:rStyle w:val="FootnoteReference"/>
        </w:rPr>
        <w:footnoteReference w:id="5"/>
      </w:r>
      <w:r w:rsidRPr="0014084D">
        <w:t>, it could not be considered a court within the meaning of Article 5(4) because:</w:t>
      </w:r>
    </w:p>
    <w:p w14:paraId="151296FA" w14:textId="77777777" w:rsidR="005474F7" w:rsidRPr="0014084D" w:rsidRDefault="000070B3" w:rsidP="009928E3">
      <w:pPr>
        <w:numPr>
          <w:ilvl w:val="0"/>
          <w:numId w:val="32"/>
        </w:numPr>
        <w:jc w:val="both"/>
        <w:rPr>
          <w:rFonts w:ascii="Arial" w:hAnsi="Arial" w:cs="Arial"/>
          <w:sz w:val="24"/>
          <w:szCs w:val="24"/>
        </w:rPr>
      </w:pPr>
      <w:r w:rsidRPr="0014084D">
        <w:rPr>
          <w:rFonts w:ascii="Arial" w:hAnsi="Arial" w:cs="Arial"/>
          <w:sz w:val="24"/>
          <w:szCs w:val="24"/>
        </w:rPr>
        <w:t xml:space="preserve">Subjects were not entitled to legal </w:t>
      </w:r>
      <w:r w:rsidR="005474F7" w:rsidRPr="0014084D">
        <w:rPr>
          <w:rFonts w:ascii="Arial" w:hAnsi="Arial" w:cs="Arial"/>
          <w:sz w:val="24"/>
          <w:szCs w:val="24"/>
        </w:rPr>
        <w:t xml:space="preserve">representation before the </w:t>
      </w:r>
      <w:proofErr w:type="gramStart"/>
      <w:r w:rsidR="005474F7" w:rsidRPr="0014084D">
        <w:rPr>
          <w:rFonts w:ascii="Arial" w:hAnsi="Arial" w:cs="Arial"/>
          <w:sz w:val="24"/>
          <w:szCs w:val="24"/>
        </w:rPr>
        <w:t>panel;</w:t>
      </w:r>
      <w:proofErr w:type="gramEnd"/>
    </w:p>
    <w:p w14:paraId="0536BFE7" w14:textId="77777777" w:rsidR="005474F7" w:rsidRPr="0014084D" w:rsidRDefault="000070B3" w:rsidP="009928E3">
      <w:pPr>
        <w:numPr>
          <w:ilvl w:val="0"/>
          <w:numId w:val="32"/>
        </w:numPr>
        <w:jc w:val="both"/>
        <w:rPr>
          <w:rFonts w:ascii="Arial" w:hAnsi="Arial" w:cs="Arial"/>
          <w:sz w:val="24"/>
          <w:szCs w:val="24"/>
        </w:rPr>
      </w:pPr>
      <w:r w:rsidRPr="0014084D">
        <w:rPr>
          <w:rFonts w:ascii="Arial" w:hAnsi="Arial" w:cs="Arial"/>
          <w:sz w:val="24"/>
          <w:szCs w:val="24"/>
        </w:rPr>
        <w:t xml:space="preserve">Subjects were only given an outline of the grounds for the notice of intention to </w:t>
      </w:r>
      <w:proofErr w:type="gramStart"/>
      <w:r w:rsidRPr="0014084D">
        <w:rPr>
          <w:rFonts w:ascii="Arial" w:hAnsi="Arial" w:cs="Arial"/>
          <w:sz w:val="24"/>
          <w:szCs w:val="24"/>
        </w:rPr>
        <w:t>deport;</w:t>
      </w:r>
      <w:proofErr w:type="gramEnd"/>
    </w:p>
    <w:p w14:paraId="206CB48C" w14:textId="77777777" w:rsidR="005474F7" w:rsidRPr="0014084D" w:rsidRDefault="000070B3" w:rsidP="009928E3">
      <w:pPr>
        <w:numPr>
          <w:ilvl w:val="0"/>
          <w:numId w:val="32"/>
        </w:numPr>
        <w:jc w:val="both"/>
        <w:rPr>
          <w:rFonts w:ascii="Arial" w:hAnsi="Arial" w:cs="Arial"/>
          <w:sz w:val="24"/>
          <w:szCs w:val="24"/>
        </w:rPr>
      </w:pPr>
      <w:r w:rsidRPr="0014084D">
        <w:rPr>
          <w:rFonts w:ascii="Arial" w:hAnsi="Arial" w:cs="Arial"/>
          <w:sz w:val="24"/>
          <w:szCs w:val="24"/>
        </w:rPr>
        <w:t xml:space="preserve">The panel had no power of decision and its advice to the </w:t>
      </w:r>
      <w:r w:rsidR="009F2139">
        <w:rPr>
          <w:rFonts w:ascii="Arial" w:hAnsi="Arial" w:cs="Arial"/>
          <w:sz w:val="24"/>
          <w:szCs w:val="24"/>
        </w:rPr>
        <w:t>SSHD</w:t>
      </w:r>
      <w:r w:rsidRPr="0014084D">
        <w:rPr>
          <w:rFonts w:ascii="Arial" w:hAnsi="Arial" w:cs="Arial"/>
          <w:sz w:val="24"/>
          <w:szCs w:val="24"/>
        </w:rPr>
        <w:t xml:space="preserve"> was not binding; and</w:t>
      </w:r>
    </w:p>
    <w:p w14:paraId="0557181C" w14:textId="77777777" w:rsidR="005474F7" w:rsidRPr="0014084D" w:rsidRDefault="000070B3" w:rsidP="009928E3">
      <w:pPr>
        <w:numPr>
          <w:ilvl w:val="0"/>
          <w:numId w:val="32"/>
        </w:numPr>
        <w:jc w:val="both"/>
        <w:rPr>
          <w:rFonts w:ascii="Arial" w:hAnsi="Arial" w:cs="Arial"/>
          <w:sz w:val="24"/>
          <w:szCs w:val="24"/>
        </w:rPr>
      </w:pPr>
      <w:r w:rsidRPr="0014084D">
        <w:rPr>
          <w:rFonts w:ascii="Arial" w:hAnsi="Arial" w:cs="Arial"/>
          <w:sz w:val="24"/>
          <w:szCs w:val="24"/>
        </w:rPr>
        <w:t>The advice of the panel was not disclose</w:t>
      </w:r>
      <w:r w:rsidR="005474F7" w:rsidRPr="0014084D">
        <w:rPr>
          <w:rFonts w:ascii="Arial" w:hAnsi="Arial" w:cs="Arial"/>
          <w:sz w:val="24"/>
          <w:szCs w:val="24"/>
        </w:rPr>
        <w:t>d.</w:t>
      </w:r>
    </w:p>
    <w:p w14:paraId="794494F4" w14:textId="737DEE99" w:rsidR="005474F7" w:rsidRPr="0014084D" w:rsidRDefault="005474F7" w:rsidP="003966DA">
      <w:pPr>
        <w:pStyle w:val="OPENmanualpara"/>
      </w:pPr>
      <w:r w:rsidRPr="0014084D">
        <w:t>The ECtHR accepted that the use of confidential material might be unavoidable where national security was at stake. It cited with approval, however, a system believed to be employed in Canada</w:t>
      </w:r>
      <w:r w:rsidR="004C36AD">
        <w:rPr>
          <w:rStyle w:val="FootnoteReference"/>
        </w:rPr>
        <w:footnoteReference w:id="6"/>
      </w:r>
      <w:r w:rsidRPr="0014084D">
        <w:t xml:space="preserve"> under which security-cleared lawyers were appointed to test the strength of the </w:t>
      </w:r>
      <w:r w:rsidR="009267E1">
        <w:t>s</w:t>
      </w:r>
      <w:r w:rsidRPr="0014084D">
        <w:t>tate’s CLOSED case:</w:t>
      </w:r>
    </w:p>
    <w:p w14:paraId="571349FA" w14:textId="77777777" w:rsidR="005474F7" w:rsidRPr="009267E1" w:rsidRDefault="005474F7" w:rsidP="009267E1">
      <w:pPr>
        <w:pStyle w:val="Quote"/>
      </w:pPr>
      <w:r w:rsidRPr="009267E1">
        <w:t>“[</w:t>
      </w:r>
      <w:proofErr w:type="gramStart"/>
      <w:r w:rsidRPr="009267E1">
        <w:t>131]…</w:t>
      </w:r>
      <w:proofErr w:type="gramEnd"/>
      <w:r w:rsidRPr="009267E1">
        <w:t xml:space="preserve"> there are techniques which can be employed which both accommodate legitimate security concerns about the nature and sources of intelligence information and yet accord the individual a substantive measure of procedural justice.”</w:t>
      </w:r>
    </w:p>
    <w:p w14:paraId="1A09E70C" w14:textId="75F8E4DC" w:rsidR="005474F7" w:rsidRPr="0014084D" w:rsidRDefault="005474F7" w:rsidP="003966DA">
      <w:pPr>
        <w:pStyle w:val="OPENmanualpara"/>
      </w:pPr>
      <w:r w:rsidRPr="0014084D">
        <w:t xml:space="preserve">The </w:t>
      </w:r>
      <w:r w:rsidR="00F6116E">
        <w:t>ECtHR</w:t>
      </w:r>
      <w:r w:rsidR="00F6116E" w:rsidRPr="0014084D">
        <w:t xml:space="preserve"> </w:t>
      </w:r>
      <w:r w:rsidRPr="0014084D">
        <w:t>did not specifically recommend that the</w:t>
      </w:r>
      <w:r w:rsidR="00DD4FA5">
        <w:t xml:space="preserve"> UK adopt the</w:t>
      </w:r>
      <w:r w:rsidRPr="0014084D">
        <w:t xml:space="preserve"> Canadian system, but the above was a relatively strong indication that </w:t>
      </w:r>
      <w:r w:rsidR="00DD4FA5">
        <w:t>the court</w:t>
      </w:r>
      <w:r w:rsidRPr="0014084D">
        <w:t xml:space="preserve"> was of the view that the current system was </w:t>
      </w:r>
      <w:proofErr w:type="gramStart"/>
      <w:r w:rsidRPr="0014084D">
        <w:t>inadequate</w:t>
      </w:r>
      <w:proofErr w:type="gramEnd"/>
      <w:r w:rsidRPr="0014084D">
        <w:t xml:space="preserve"> and changes needed to be made.</w:t>
      </w:r>
    </w:p>
    <w:p w14:paraId="08F16811" w14:textId="77777777" w:rsidR="005474F7" w:rsidRPr="0014084D" w:rsidRDefault="005474F7" w:rsidP="00DB405E">
      <w:pPr>
        <w:pStyle w:val="Heading2"/>
      </w:pPr>
      <w:bookmarkStart w:id="14" w:name="_Toc499805097"/>
      <w:bookmarkStart w:id="15" w:name="_Toc3904881"/>
      <w:r w:rsidRPr="0014084D">
        <w:t>Post-1997: the Special Immigration Appeals Commission</w:t>
      </w:r>
      <w:bookmarkEnd w:id="14"/>
      <w:bookmarkEnd w:id="15"/>
    </w:p>
    <w:p w14:paraId="30320A33" w14:textId="77777777" w:rsidR="005474F7" w:rsidRPr="0014084D" w:rsidRDefault="005474F7" w:rsidP="003966DA">
      <w:pPr>
        <w:pStyle w:val="OPENmanualpara"/>
      </w:pPr>
      <w:r w:rsidRPr="0014084D">
        <w:t xml:space="preserve">In response to </w:t>
      </w:r>
      <w:r w:rsidRPr="00F81443">
        <w:rPr>
          <w:i/>
        </w:rPr>
        <w:t>Chahal</w:t>
      </w:r>
      <w:r w:rsidRPr="0014084D">
        <w:t xml:space="preserve">, Parliament passed the </w:t>
      </w:r>
      <w:r w:rsidR="00A626F5" w:rsidRPr="0014084D">
        <w:t xml:space="preserve">Special Immigration Appeals Act </w:t>
      </w:r>
      <w:r w:rsidRPr="0014084D">
        <w:t>1997 Act</w:t>
      </w:r>
      <w:r w:rsidR="00A626F5" w:rsidRPr="0014084D">
        <w:t xml:space="preserve"> (“the 1997 Act”). </w:t>
      </w:r>
      <w:r w:rsidRPr="0014084D">
        <w:t xml:space="preserve">It replaced the </w:t>
      </w:r>
      <w:r w:rsidR="00A626F5" w:rsidRPr="0014084D">
        <w:t>Home Office A</w:t>
      </w:r>
      <w:r w:rsidRPr="0014084D">
        <w:t xml:space="preserve">dvisory </w:t>
      </w:r>
      <w:r w:rsidR="00A626F5" w:rsidRPr="0014084D">
        <w:t>P</w:t>
      </w:r>
      <w:r w:rsidRPr="0014084D">
        <w:t>anel system with a new body, the Special Immigration Appeals Commission (“SIAC”). SIAC’s role is to consider asylum and immigration related appeals in cases where the grounds for the decision were based on national security</w:t>
      </w:r>
      <w:r w:rsidR="00076F4C">
        <w:t xml:space="preserve">, international relations or </w:t>
      </w:r>
      <w:r w:rsidR="00177446">
        <w:t>other considerations held to be in the public interest</w:t>
      </w:r>
      <w:r w:rsidRPr="0014084D">
        <w:t>.</w:t>
      </w:r>
    </w:p>
    <w:p w14:paraId="0ABE1EF2" w14:textId="77777777" w:rsidR="005474F7" w:rsidRPr="0014084D" w:rsidRDefault="005474F7" w:rsidP="0079491A">
      <w:pPr>
        <w:pStyle w:val="OPENmanualpara"/>
      </w:pPr>
      <w:r w:rsidRPr="0014084D">
        <w:lastRenderedPageBreak/>
        <w:t>SIAC is a Superior Court of Record, chaired by a High Court Judge with many of the powers of the High Court</w:t>
      </w:r>
      <w:r w:rsidR="003E1E72">
        <w:t xml:space="preserve"> in addition to its appellate function in respect of specified immigration decisions</w:t>
      </w:r>
      <w:r w:rsidR="004C36AD">
        <w:t>.</w:t>
      </w:r>
      <w:r w:rsidRPr="0014084D">
        <w:t xml:space="preserve"> An appeal from a</w:t>
      </w:r>
      <w:r w:rsidR="0079491A">
        <w:t>ny</w:t>
      </w:r>
      <w:r w:rsidRPr="0014084D">
        <w:t xml:space="preserve"> final determination of SIAC is to the Court of Appeal</w:t>
      </w:r>
      <w:r w:rsidR="0079491A">
        <w:t xml:space="preserve"> (or, as applicable, to </w:t>
      </w:r>
      <w:r w:rsidR="0079491A" w:rsidRPr="0079491A">
        <w:t>the Court of Session or the Court of Appeal in Northern Ireland</w:t>
      </w:r>
      <w:r w:rsidR="0079491A">
        <w:t>)</w:t>
      </w:r>
      <w:r w:rsidRPr="0014084D">
        <w:t xml:space="preserve"> on a point of law.</w:t>
      </w:r>
    </w:p>
    <w:p w14:paraId="3AB5EA47" w14:textId="5006A6C8" w:rsidR="005474F7" w:rsidRPr="0014084D" w:rsidRDefault="005474F7" w:rsidP="003966DA">
      <w:pPr>
        <w:pStyle w:val="OPENmanualpara"/>
      </w:pPr>
      <w:r w:rsidRPr="0014084D">
        <w:t>SIAC has its own system of g</w:t>
      </w:r>
      <w:r w:rsidR="00B51C50" w:rsidRPr="0014084D">
        <w:t xml:space="preserve">overning rules and procedures. </w:t>
      </w:r>
      <w:r w:rsidR="00546B5A" w:rsidRPr="0014084D">
        <w:t>T</w:t>
      </w:r>
      <w:r w:rsidR="009454EE" w:rsidRPr="0014084D">
        <w:t xml:space="preserve">he </w:t>
      </w:r>
      <w:r w:rsidR="008E49C5" w:rsidRPr="0014084D">
        <w:t xml:space="preserve">SIAC </w:t>
      </w:r>
      <w:r w:rsidR="0079491A">
        <w:t>(</w:t>
      </w:r>
      <w:r w:rsidR="008E49C5" w:rsidRPr="0014084D">
        <w:t>Procedure</w:t>
      </w:r>
      <w:r w:rsidR="0079491A">
        <w:t>)</w:t>
      </w:r>
      <w:r w:rsidR="008E49C5" w:rsidRPr="0014084D">
        <w:t xml:space="preserve"> </w:t>
      </w:r>
      <w:r w:rsidR="00B51C50" w:rsidRPr="0014084D">
        <w:t>Rules 2003</w:t>
      </w:r>
      <w:r w:rsidRPr="0014084D">
        <w:t xml:space="preserve"> se</w:t>
      </w:r>
      <w:r w:rsidR="00B51C50" w:rsidRPr="0014084D">
        <w:t>t out some key features of the Special A</w:t>
      </w:r>
      <w:r w:rsidRPr="0014084D">
        <w:t>dvocate system, most of which are replicated in other areas where Closed Material Proce</w:t>
      </w:r>
      <w:r w:rsidR="00F6116E">
        <w:t>edings</w:t>
      </w:r>
      <w:r w:rsidR="001A60BE">
        <w:t xml:space="preserve"> </w:t>
      </w:r>
      <w:r w:rsidRPr="0014084D">
        <w:t>are found.</w:t>
      </w:r>
      <w:r w:rsidR="003E1E72">
        <w:t xml:space="preserve">  The SIAC (Procedure) Rules 2013</w:t>
      </w:r>
      <w:r w:rsidR="00161AE1">
        <w:t xml:space="preserve"> (“the SIAC Procedure Rules”)</w:t>
      </w:r>
      <w:r w:rsidR="003E1E72">
        <w:t xml:space="preserve"> are available </w:t>
      </w:r>
      <w:hyperlink r:id="rId28" w:history="1">
        <w:r w:rsidR="003E1E72" w:rsidRPr="0079491A">
          <w:rPr>
            <w:rStyle w:val="Hyperlink"/>
          </w:rPr>
          <w:t>online</w:t>
        </w:r>
      </w:hyperlink>
      <w:r w:rsidR="003E1E72">
        <w:t xml:space="preserve">. </w:t>
      </w:r>
      <w:r w:rsidRPr="0014084D">
        <w:t>Part V</w:t>
      </w:r>
      <w:r w:rsidR="001A60BE">
        <w:t>II</w:t>
      </w:r>
      <w:r w:rsidRPr="0014084D">
        <w:t xml:space="preserve"> of this </w:t>
      </w:r>
      <w:r w:rsidR="006C0807" w:rsidRPr="0014084D">
        <w:t>manual</w:t>
      </w:r>
      <w:r w:rsidRPr="0014084D">
        <w:t xml:space="preserve"> co</w:t>
      </w:r>
      <w:r w:rsidR="00B51C50" w:rsidRPr="0014084D">
        <w:t>nsiders proceedings before SIAC, which has also issued its own Practice Note</w:t>
      </w:r>
      <w:r w:rsidR="00B449E1">
        <w:t xml:space="preserve">, available </w:t>
      </w:r>
      <w:hyperlink r:id="rId29" w:history="1">
        <w:r w:rsidR="00B449E1" w:rsidRPr="00B449E1">
          <w:rPr>
            <w:rStyle w:val="Hyperlink"/>
          </w:rPr>
          <w:t>online</w:t>
        </w:r>
      </w:hyperlink>
      <w:r w:rsidR="00177446">
        <w:t>.</w:t>
      </w:r>
      <w:r w:rsidR="00B51C50" w:rsidRPr="0014084D">
        <w:t xml:space="preserve"> </w:t>
      </w:r>
      <w:r w:rsidR="00432D83" w:rsidRPr="0014084D">
        <w:t>The content of th</w:t>
      </w:r>
      <w:r w:rsidR="00023943">
        <w:t>e SIAC</w:t>
      </w:r>
      <w:r w:rsidR="00432D83" w:rsidRPr="0014084D">
        <w:t xml:space="preserve"> </w:t>
      </w:r>
      <w:r w:rsidR="001A60BE">
        <w:t xml:space="preserve">Practice </w:t>
      </w:r>
      <w:r w:rsidR="00432D83" w:rsidRPr="0014084D">
        <w:t xml:space="preserve">Note is recognised in other courts in which CLOSED </w:t>
      </w:r>
      <w:r w:rsidR="00023943">
        <w:t>proceedings</w:t>
      </w:r>
      <w:r w:rsidR="00432D83" w:rsidRPr="0014084D">
        <w:t xml:space="preserve"> take place.</w:t>
      </w:r>
    </w:p>
    <w:p w14:paraId="6FE980C1" w14:textId="2A9D4FAF" w:rsidR="005474F7" w:rsidRPr="0014084D" w:rsidRDefault="002D5DF5" w:rsidP="00DB405E">
      <w:pPr>
        <w:pStyle w:val="Heading2"/>
      </w:pPr>
      <w:bookmarkStart w:id="16" w:name="_Toc499805098"/>
      <w:bookmarkStart w:id="17" w:name="_Toc3904882"/>
      <w:r w:rsidRPr="0014084D">
        <w:t>Post</w:t>
      </w:r>
      <w:r w:rsidR="00F6116E">
        <w:t>-</w:t>
      </w:r>
      <w:r w:rsidRPr="0014084D">
        <w:t xml:space="preserve">1997: </w:t>
      </w:r>
      <w:r w:rsidR="00227A4E">
        <w:t xml:space="preserve">the </w:t>
      </w:r>
      <w:r w:rsidR="00F6116E">
        <w:t>u</w:t>
      </w:r>
      <w:r w:rsidRPr="0014084D">
        <w:t>se of</w:t>
      </w:r>
      <w:r w:rsidR="00432D83" w:rsidRPr="0014084D">
        <w:t xml:space="preserve"> Special Advocate</w:t>
      </w:r>
      <w:r w:rsidRPr="0014084D">
        <w:t>s</w:t>
      </w:r>
      <w:r w:rsidR="005474F7" w:rsidRPr="0014084D">
        <w:t xml:space="preserve"> outside</w:t>
      </w:r>
      <w:r w:rsidRPr="0014084D">
        <w:t xml:space="preserve"> of</w:t>
      </w:r>
      <w:r w:rsidR="005474F7" w:rsidRPr="0014084D">
        <w:t xml:space="preserve"> SIAC</w:t>
      </w:r>
      <w:bookmarkEnd w:id="16"/>
      <w:bookmarkEnd w:id="17"/>
      <w:r w:rsidR="005474F7" w:rsidRPr="0014084D">
        <w:t xml:space="preserve"> </w:t>
      </w:r>
    </w:p>
    <w:p w14:paraId="6BFD5995" w14:textId="0AB22B73" w:rsidR="005474F7" w:rsidRPr="0014084D" w:rsidRDefault="005474F7" w:rsidP="003966DA">
      <w:pPr>
        <w:pStyle w:val="OPENmanualpara"/>
      </w:pPr>
      <w:r w:rsidRPr="0014084D">
        <w:t xml:space="preserve">SIAC pioneered the law and practice in relation to CLOSED </w:t>
      </w:r>
      <w:r w:rsidR="00227A4E">
        <w:t>proceedings</w:t>
      </w:r>
      <w:r w:rsidRPr="0014084D">
        <w:t>, and its experience has subsequently been applied elsewhere. Following their i</w:t>
      </w:r>
      <w:r w:rsidR="00432D83" w:rsidRPr="0014084D">
        <w:t xml:space="preserve">ntroduction in 1997, </w:t>
      </w:r>
      <w:r w:rsidR="001A60BE">
        <w:t xml:space="preserve">the use of </w:t>
      </w:r>
      <w:r w:rsidR="00432D83" w:rsidRPr="0014084D">
        <w:t>Special Advocate</w:t>
      </w:r>
      <w:r w:rsidR="001A60BE">
        <w:t>s</w:t>
      </w:r>
      <w:r w:rsidR="00432D83" w:rsidRPr="0014084D">
        <w:t xml:space="preserve"> </w:t>
      </w:r>
      <w:r w:rsidRPr="0014084D">
        <w:t>has increased in connection with the enactment of further legislation. The Prevention of Terrorism Act 2005, Terrorism Prevention and Investigation Measures Act 2011</w:t>
      </w:r>
      <w:r w:rsidR="002254C1">
        <w:t xml:space="preserve"> (“</w:t>
      </w:r>
      <w:r w:rsidR="001A60BE">
        <w:t xml:space="preserve">the </w:t>
      </w:r>
      <w:proofErr w:type="gramStart"/>
      <w:r w:rsidR="00023943">
        <w:t xml:space="preserve">TPIM </w:t>
      </w:r>
      <w:r w:rsidR="001A60BE">
        <w:t xml:space="preserve"> </w:t>
      </w:r>
      <w:r w:rsidR="002254C1">
        <w:t>Act</w:t>
      </w:r>
      <w:proofErr w:type="gramEnd"/>
      <w:r w:rsidR="002254C1">
        <w:t>”)</w:t>
      </w:r>
      <w:r w:rsidRPr="0014084D">
        <w:t xml:space="preserve"> and the Justice and Security Act 2013</w:t>
      </w:r>
      <w:r w:rsidR="002254C1">
        <w:t xml:space="preserve"> (“JSA 2013”)</w:t>
      </w:r>
      <w:r w:rsidRPr="0014084D">
        <w:t xml:space="preserve"> (with corresponding C</w:t>
      </w:r>
      <w:r w:rsidR="002A2120" w:rsidRPr="0014084D">
        <w:t xml:space="preserve">ivil </w:t>
      </w:r>
      <w:r w:rsidRPr="0014084D">
        <w:t>P</w:t>
      </w:r>
      <w:r w:rsidR="002A2120" w:rsidRPr="0014084D">
        <w:t xml:space="preserve">rocedure </w:t>
      </w:r>
      <w:r w:rsidRPr="0014084D">
        <w:t>R</w:t>
      </w:r>
      <w:r w:rsidR="002A2120" w:rsidRPr="0014084D">
        <w:t>ules</w:t>
      </w:r>
      <w:r w:rsidRPr="0014084D">
        <w:t xml:space="preserve">) all extended the ability of the courts to </w:t>
      </w:r>
      <w:r w:rsidR="0035534A" w:rsidRPr="0014084D">
        <w:t xml:space="preserve">hear CLOSED </w:t>
      </w:r>
      <w:r w:rsidR="00227A4E">
        <w:t>proceedings</w:t>
      </w:r>
      <w:r w:rsidRPr="0014084D">
        <w:t xml:space="preserve">. </w:t>
      </w:r>
    </w:p>
    <w:p w14:paraId="71629180" w14:textId="15517E24" w:rsidR="005474F7" w:rsidRPr="0014084D" w:rsidRDefault="009928E3" w:rsidP="003966DA">
      <w:pPr>
        <w:pStyle w:val="OPENmanualpara"/>
      </w:pPr>
      <w:r>
        <w:t>Part V</w:t>
      </w:r>
      <w:r w:rsidR="001A60BE">
        <w:t>I</w:t>
      </w:r>
      <w:r>
        <w:t xml:space="preserve"> </w:t>
      </w:r>
      <w:r w:rsidR="005474F7" w:rsidRPr="0014084D">
        <w:t xml:space="preserve">of this </w:t>
      </w:r>
      <w:r w:rsidR="006C0807" w:rsidRPr="0014084D">
        <w:t>manual</w:t>
      </w:r>
      <w:r w:rsidR="005474F7" w:rsidRPr="0014084D">
        <w:t xml:space="preserve"> </w:t>
      </w:r>
      <w:proofErr w:type="gramStart"/>
      <w:r w:rsidR="005474F7" w:rsidRPr="0014084D">
        <w:t>covers</w:t>
      </w:r>
      <w:proofErr w:type="gramEnd"/>
      <w:r w:rsidR="005474F7" w:rsidRPr="0014084D">
        <w:t xml:space="preserve"> proceedings conducted under the JSA</w:t>
      </w:r>
      <w:r w:rsidR="00C6229B">
        <w:t xml:space="preserve"> 2013</w:t>
      </w:r>
      <w:r w:rsidR="005474F7" w:rsidRPr="0014084D">
        <w:t xml:space="preserve"> and Part VI</w:t>
      </w:r>
      <w:r w:rsidR="00430F0B">
        <w:t>II</w:t>
      </w:r>
      <w:r w:rsidR="005474F7" w:rsidRPr="0014084D">
        <w:t xml:space="preserve"> considers other areas of law and jurisdictions. </w:t>
      </w:r>
    </w:p>
    <w:p w14:paraId="6D74DCC0" w14:textId="77777777" w:rsidR="00DE24E4" w:rsidRDefault="00DE24E4" w:rsidP="004C36AD">
      <w:pPr>
        <w:pStyle w:val="Heading1"/>
        <w:sectPr w:rsidR="00DE24E4" w:rsidSect="009F09E8">
          <w:headerReference w:type="even" r:id="rId30"/>
          <w:headerReference w:type="default" r:id="rId31"/>
          <w:headerReference w:type="first" r:id="rId32"/>
          <w:pgSz w:w="11906" w:h="16838" w:code="9"/>
          <w:pgMar w:top="1440" w:right="1440" w:bottom="851" w:left="1440" w:header="709" w:footer="170" w:gutter="0"/>
          <w:cols w:space="708"/>
          <w:docGrid w:linePitch="360"/>
        </w:sectPr>
      </w:pPr>
    </w:p>
    <w:p w14:paraId="37459854" w14:textId="33B072EF" w:rsidR="005474F7" w:rsidRPr="0014084D" w:rsidRDefault="005474F7" w:rsidP="004C36AD">
      <w:pPr>
        <w:pStyle w:val="Heading1"/>
      </w:pPr>
      <w:bookmarkStart w:id="18" w:name="_Toc499805099"/>
      <w:bookmarkStart w:id="19" w:name="_Toc3904883"/>
      <w:r w:rsidRPr="0014084D">
        <w:lastRenderedPageBreak/>
        <w:t xml:space="preserve">Part III – </w:t>
      </w:r>
      <w:bookmarkStart w:id="20" w:name="Part3"/>
      <w:r w:rsidR="00443444">
        <w:t>Special Advocate</w:t>
      </w:r>
      <w:r w:rsidR="00D2508F">
        <w:t>s</w:t>
      </w:r>
      <w:bookmarkEnd w:id="18"/>
      <w:r w:rsidR="004E76EE">
        <w:t xml:space="preserve"> and </w:t>
      </w:r>
      <w:r w:rsidR="004E76EE" w:rsidRPr="00E71929">
        <w:t>CLOSED</w:t>
      </w:r>
      <w:r w:rsidR="004E76EE">
        <w:t xml:space="preserve"> material</w:t>
      </w:r>
      <w:bookmarkEnd w:id="19"/>
      <w:bookmarkEnd w:id="20"/>
    </w:p>
    <w:p w14:paraId="03F19B9F" w14:textId="1F9CC7C0" w:rsidR="005474F7" w:rsidRPr="0014084D" w:rsidRDefault="00342DF7" w:rsidP="00DB405E">
      <w:pPr>
        <w:pStyle w:val="Heading2"/>
      </w:pPr>
      <w:bookmarkStart w:id="21" w:name="_Toc499805101"/>
      <w:bookmarkStart w:id="22" w:name="_Toc3904884"/>
      <w:r>
        <w:t xml:space="preserve">Recruitment of </w:t>
      </w:r>
      <w:r w:rsidR="005474F7" w:rsidRPr="0014084D">
        <w:t>Special Advocate</w:t>
      </w:r>
      <w:bookmarkEnd w:id="21"/>
      <w:r>
        <w:t>s</w:t>
      </w:r>
      <w:bookmarkEnd w:id="22"/>
    </w:p>
    <w:p w14:paraId="66EBD2B7" w14:textId="50987BFD" w:rsidR="009159D4" w:rsidRPr="00B10848" w:rsidRDefault="009159D4" w:rsidP="003966DA">
      <w:pPr>
        <w:pStyle w:val="OPENmanualpara"/>
        <w:rPr>
          <w:u w:val="single"/>
        </w:rPr>
      </w:pPr>
      <w:r w:rsidRPr="00B10848">
        <w:t xml:space="preserve">The Attorney General maintains </w:t>
      </w:r>
      <w:r w:rsidR="008A0A38">
        <w:t xml:space="preserve">a </w:t>
      </w:r>
      <w:r w:rsidRPr="00B10848">
        <w:t>panel of Special Advocates in England and Wales</w:t>
      </w:r>
      <w:r w:rsidR="008122B8">
        <w:t>,</w:t>
      </w:r>
      <w:r w:rsidRPr="00B10848">
        <w:t xml:space="preserve"> </w:t>
      </w:r>
      <w:r w:rsidR="008122B8">
        <w:t xml:space="preserve">and </w:t>
      </w:r>
      <w:r w:rsidR="008A0A38">
        <w:t xml:space="preserve">a panel </w:t>
      </w:r>
      <w:r w:rsidR="008122B8">
        <w:t xml:space="preserve">in Northern Ireland, </w:t>
      </w:r>
      <w:r w:rsidRPr="00B10848">
        <w:t xml:space="preserve">who </w:t>
      </w:r>
      <w:r w:rsidR="00D2508F">
        <w:t>are</w:t>
      </w:r>
      <w:r w:rsidRPr="00B10848">
        <w:t xml:space="preserve"> appointed follow</w:t>
      </w:r>
      <w:r w:rsidR="00240BA7">
        <w:t>ing fair and open competition. The competitions are designed to select counsel or solicitor advocates with a broad range of experience and at differing levels of seniority.</w:t>
      </w:r>
    </w:p>
    <w:p w14:paraId="7FFF99E8" w14:textId="4F05793C" w:rsidR="005474F7" w:rsidRPr="00B10848" w:rsidRDefault="009159D4" w:rsidP="003966DA">
      <w:pPr>
        <w:pStyle w:val="OPENmanualpara"/>
      </w:pPr>
      <w:r w:rsidRPr="0014084D">
        <w:t>Recruitment competitions are held as the need arises and are advertised in the legal press. Please do not hesitate to contact the Attorney General's Office (see detai</w:t>
      </w:r>
      <w:r>
        <w:t xml:space="preserve">ls </w:t>
      </w:r>
      <w:r w:rsidR="002254C1">
        <w:t xml:space="preserve">at paragraph </w:t>
      </w:r>
      <w:r w:rsidR="002254C1">
        <w:fldChar w:fldCharType="begin"/>
      </w:r>
      <w:r w:rsidR="002254C1">
        <w:instrText xml:space="preserve"> REF _Ref522710169 \r \h </w:instrText>
      </w:r>
      <w:r w:rsidR="002254C1">
        <w:fldChar w:fldCharType="separate"/>
      </w:r>
      <w:r w:rsidR="00316350">
        <w:t>213</w:t>
      </w:r>
      <w:r w:rsidR="002254C1">
        <w:fldChar w:fldCharType="end"/>
      </w:r>
      <w:r w:rsidR="00B10848">
        <w:t>) for more information.</w:t>
      </w:r>
    </w:p>
    <w:p w14:paraId="0BC05AE9" w14:textId="77777777" w:rsidR="005474F7" w:rsidRPr="0014084D" w:rsidRDefault="005474F7" w:rsidP="003966DA">
      <w:pPr>
        <w:pStyle w:val="OPENmanualpara"/>
      </w:pPr>
      <w:r w:rsidRPr="0014084D">
        <w:t xml:space="preserve">In order to practise as </w:t>
      </w:r>
      <w:r w:rsidR="0062575A" w:rsidRPr="0014084D">
        <w:t xml:space="preserve">a </w:t>
      </w:r>
      <w:r w:rsidR="00C42125" w:rsidRPr="0014084D">
        <w:t>Special Advocate a successful candidate</w:t>
      </w:r>
      <w:r w:rsidRPr="0014084D">
        <w:t xml:space="preserve"> must undergo </w:t>
      </w:r>
      <w:r w:rsidR="001256A1" w:rsidRPr="0014084D">
        <w:t xml:space="preserve">and obtain </w:t>
      </w:r>
      <w:r w:rsidRPr="0014084D">
        <w:t xml:space="preserve">Developed Vetting (the highest level of HM Government security clearance) prior to their appointment. </w:t>
      </w:r>
    </w:p>
    <w:p w14:paraId="6D6C5969" w14:textId="77777777" w:rsidR="00C42125" w:rsidRPr="0014084D" w:rsidRDefault="00C42125" w:rsidP="003966DA">
      <w:pPr>
        <w:pStyle w:val="OPENmanualpara"/>
      </w:pPr>
      <w:r w:rsidRPr="0014084D">
        <w:t xml:space="preserve">A Special Advocate is </w:t>
      </w:r>
      <w:r w:rsidR="005474F7" w:rsidRPr="0014084D">
        <w:t>typically appointed f</w:t>
      </w:r>
      <w:r w:rsidRPr="0014084D">
        <w:t xml:space="preserve">or an initial </w:t>
      </w:r>
      <w:r w:rsidR="00B10848" w:rsidRPr="0014084D">
        <w:t>ten-year</w:t>
      </w:r>
      <w:r w:rsidRPr="0014084D">
        <w:t xml:space="preserve"> period, </w:t>
      </w:r>
      <w:r w:rsidR="005474F7" w:rsidRPr="0014084D">
        <w:t>with the possibility of renewal, upon appl</w:t>
      </w:r>
      <w:r w:rsidRPr="0014084D">
        <w:t>ication to the Attorney General</w:t>
      </w:r>
      <w:r w:rsidR="005474F7" w:rsidRPr="0014084D">
        <w:t xml:space="preserve">.   </w:t>
      </w:r>
    </w:p>
    <w:p w14:paraId="70AEF6E5" w14:textId="77777777" w:rsidR="005474F7" w:rsidRPr="0014084D" w:rsidRDefault="005474F7" w:rsidP="00DB405E">
      <w:pPr>
        <w:pStyle w:val="Heading2"/>
      </w:pPr>
      <w:bookmarkStart w:id="23" w:name="_Toc499805102"/>
      <w:bookmarkStart w:id="24" w:name="_Toc3904885"/>
      <w:r w:rsidRPr="0014084D">
        <w:t xml:space="preserve">Selection and nomination of </w:t>
      </w:r>
      <w:r w:rsidR="00C42125" w:rsidRPr="0014084D">
        <w:t xml:space="preserve">a </w:t>
      </w:r>
      <w:r w:rsidRPr="0014084D">
        <w:t>Special Advocate</w:t>
      </w:r>
      <w:bookmarkEnd w:id="23"/>
      <w:bookmarkEnd w:id="24"/>
    </w:p>
    <w:p w14:paraId="0342A2CF" w14:textId="6D63ABF3" w:rsidR="008A0A38" w:rsidRDefault="001F3261" w:rsidP="003966DA">
      <w:pPr>
        <w:pStyle w:val="OPENmanualpara"/>
      </w:pPr>
      <w:r w:rsidRPr="00DA6540">
        <w:t xml:space="preserve">An </w:t>
      </w:r>
      <w:r w:rsidR="00FC620D">
        <w:t>Information Owner</w:t>
      </w:r>
      <w:r w:rsidRPr="00DA6540">
        <w:t xml:space="preserve"> intending to rely on </w:t>
      </w:r>
      <w:r w:rsidR="009126C4" w:rsidRPr="00DA6540">
        <w:t>CLOSED</w:t>
      </w:r>
      <w:r w:rsidRPr="00DA6540">
        <w:t xml:space="preserve"> </w:t>
      </w:r>
      <w:r w:rsidR="00CF1A51">
        <w:t>m</w:t>
      </w:r>
      <w:r w:rsidRPr="00DA6540">
        <w:t xml:space="preserve">aterial in litigation </w:t>
      </w:r>
      <w:r w:rsidR="005474F7" w:rsidRPr="00DA6540">
        <w:t>has to give</w:t>
      </w:r>
      <w:r w:rsidRPr="00DA6540">
        <w:t xml:space="preserve"> notice to</w:t>
      </w:r>
      <w:r w:rsidR="005474F7" w:rsidRPr="00DA6540">
        <w:t xml:space="preserve"> the </w:t>
      </w:r>
      <w:r w:rsidR="001256A1" w:rsidRPr="00DA6540">
        <w:t>Law Officers</w:t>
      </w:r>
      <w:r w:rsidR="00B10848" w:rsidRPr="0014084D">
        <w:rPr>
          <w:rStyle w:val="FootnoteReference"/>
          <w:smallCaps/>
        </w:rPr>
        <w:footnoteReference w:id="7"/>
      </w:r>
      <w:r w:rsidR="001256A1" w:rsidRPr="00DA6540">
        <w:t xml:space="preserve">.  </w:t>
      </w:r>
      <w:r w:rsidR="00793861">
        <w:t xml:space="preserve">This </w:t>
      </w:r>
      <w:r w:rsidR="007F4359">
        <w:t>will be</w:t>
      </w:r>
      <w:r w:rsidR="008A0A38">
        <w:t>:</w:t>
      </w:r>
      <w:r w:rsidR="007F4359">
        <w:t xml:space="preserve"> </w:t>
      </w:r>
    </w:p>
    <w:p w14:paraId="2E6C9D2B" w14:textId="77777777" w:rsidR="008A0A38" w:rsidRDefault="005F645B" w:rsidP="008A0A38">
      <w:pPr>
        <w:pStyle w:val="OPENmanualpara"/>
        <w:numPr>
          <w:ilvl w:val="1"/>
          <w:numId w:val="5"/>
        </w:numPr>
      </w:pPr>
      <w:r w:rsidRPr="00DA6540">
        <w:t xml:space="preserve">the </w:t>
      </w:r>
      <w:r w:rsidR="005474F7" w:rsidRPr="00DA6540">
        <w:t>Attorney General</w:t>
      </w:r>
      <w:r w:rsidR="008A0A38">
        <w:t>,</w:t>
      </w:r>
      <w:r w:rsidR="003D49D3" w:rsidRPr="0084703F">
        <w:t xml:space="preserve"> in proceedings </w:t>
      </w:r>
      <w:r w:rsidR="0036756A" w:rsidRPr="0084703F">
        <w:t xml:space="preserve">before courts </w:t>
      </w:r>
      <w:r w:rsidR="003D49D3" w:rsidRPr="0084703F">
        <w:t xml:space="preserve">in England and </w:t>
      </w:r>
      <w:proofErr w:type="gramStart"/>
      <w:r w:rsidR="003D49D3" w:rsidRPr="0084703F">
        <w:t>Wales</w:t>
      </w:r>
      <w:r w:rsidR="008A0A38">
        <w:t>;</w:t>
      </w:r>
      <w:proofErr w:type="gramEnd"/>
    </w:p>
    <w:p w14:paraId="17D6366B" w14:textId="77777777" w:rsidR="008A0A38" w:rsidRDefault="00DA6540" w:rsidP="008A0A38">
      <w:pPr>
        <w:pStyle w:val="OPENmanualpara"/>
        <w:numPr>
          <w:ilvl w:val="1"/>
          <w:numId w:val="5"/>
        </w:numPr>
      </w:pPr>
      <w:r w:rsidRPr="0084703F">
        <w:t>the Advocate Gene</w:t>
      </w:r>
      <w:r w:rsidRPr="00F81443">
        <w:t>ral for Scotland</w:t>
      </w:r>
      <w:r w:rsidR="008A0A38">
        <w:t>,</w:t>
      </w:r>
      <w:r w:rsidRPr="00F81443">
        <w:t xml:space="preserve"> in relation to Scottish proceedings</w:t>
      </w:r>
      <w:r w:rsidR="008A0A38">
        <w:t>;</w:t>
      </w:r>
      <w:r w:rsidRPr="00F81443">
        <w:t xml:space="preserve"> and </w:t>
      </w:r>
    </w:p>
    <w:p w14:paraId="0FF26F68" w14:textId="77777777" w:rsidR="00B10848" w:rsidRDefault="008E49C5" w:rsidP="008A0A38">
      <w:pPr>
        <w:pStyle w:val="OPENmanualpara"/>
        <w:numPr>
          <w:ilvl w:val="1"/>
          <w:numId w:val="5"/>
        </w:numPr>
      </w:pPr>
      <w:r w:rsidRPr="00F81443">
        <w:t>the Advocate General for Northern Ireland</w:t>
      </w:r>
      <w:r w:rsidR="008A0A38">
        <w:t>,</w:t>
      </w:r>
      <w:r w:rsidRPr="00F81443">
        <w:t xml:space="preserve"> </w:t>
      </w:r>
      <w:r w:rsidR="00BF3EE9" w:rsidRPr="00F81443">
        <w:t xml:space="preserve">in respect of </w:t>
      </w:r>
      <w:r w:rsidRPr="00F81443">
        <w:t>proceedings in Northern Ireland</w:t>
      </w:r>
      <w:r w:rsidR="005F645B" w:rsidRPr="00F81443">
        <w:t>.</w:t>
      </w:r>
      <w:r w:rsidR="0036756A" w:rsidRPr="00F81443">
        <w:t xml:space="preserve"> </w:t>
      </w:r>
    </w:p>
    <w:p w14:paraId="62A895A9" w14:textId="77777777" w:rsidR="00527BB9" w:rsidRDefault="00527BB9" w:rsidP="003966DA">
      <w:pPr>
        <w:pStyle w:val="OPENmanualpara"/>
      </w:pPr>
      <w:r>
        <w:br w:type="page"/>
      </w:r>
      <w:r w:rsidR="003D49D3" w:rsidRPr="00DA6540">
        <w:lastRenderedPageBreak/>
        <w:t>T</w:t>
      </w:r>
      <w:r w:rsidR="005474F7" w:rsidRPr="00DA6540">
        <w:t xml:space="preserve">he Law Officers exercise their discretion in relation to such appointments </w:t>
      </w:r>
      <w:r w:rsidR="00DA6540" w:rsidRPr="0084703F">
        <w:t xml:space="preserve">in the public interest. </w:t>
      </w:r>
      <w:r w:rsidR="005474F7" w:rsidRPr="00DA6540">
        <w:t xml:space="preserve">The </w:t>
      </w:r>
      <w:r w:rsidR="003D49D3" w:rsidRPr="00DA6540">
        <w:t xml:space="preserve">relevant Law Officer </w:t>
      </w:r>
      <w:r w:rsidR="005474F7" w:rsidRPr="00DA6540">
        <w:t xml:space="preserve">will </w:t>
      </w:r>
      <w:r w:rsidR="000B6ED3" w:rsidRPr="00DA6540">
        <w:t>always</w:t>
      </w:r>
      <w:r w:rsidR="005474F7" w:rsidRPr="00DA6540">
        <w:t xml:space="preserve"> </w:t>
      </w:r>
      <w:proofErr w:type="gramStart"/>
      <w:r w:rsidR="005474F7" w:rsidRPr="00DA6540">
        <w:t>take into account</w:t>
      </w:r>
      <w:proofErr w:type="gramEnd"/>
      <w:r w:rsidR="005474F7" w:rsidRPr="00DA6540">
        <w:t xml:space="preserve"> the preferences of the </w:t>
      </w:r>
      <w:r w:rsidR="00DF3CB9" w:rsidRPr="0084703F">
        <w:t>OPEN Representatives</w:t>
      </w:r>
      <w:r w:rsidR="001F3261" w:rsidRPr="0084703F">
        <w:t xml:space="preserve"> prior to appointing a Special A</w:t>
      </w:r>
      <w:r w:rsidR="005474F7" w:rsidRPr="0084703F">
        <w:t>dvocate</w:t>
      </w:r>
      <w:r w:rsidR="001E14F1">
        <w:t xml:space="preserve"> but there is no absolute right on the part of the excluded party to a Special Advocate of their choice.</w:t>
      </w:r>
      <w:r w:rsidR="005474F7" w:rsidRPr="0084703F">
        <w:t xml:space="preserve"> </w:t>
      </w:r>
    </w:p>
    <w:p w14:paraId="78826D07" w14:textId="77777777" w:rsidR="005474F7" w:rsidRPr="001E14F1" w:rsidRDefault="007F4359" w:rsidP="003966DA">
      <w:pPr>
        <w:pStyle w:val="OPENmanualpara"/>
      </w:pPr>
      <w:r>
        <w:t>F</w:t>
      </w:r>
      <w:r w:rsidRPr="001E14F1">
        <w:t xml:space="preserve">actors that </w:t>
      </w:r>
      <w:r>
        <w:t xml:space="preserve">the Law Officers </w:t>
      </w:r>
      <w:r w:rsidRPr="001E14F1">
        <w:t>may take into account</w:t>
      </w:r>
      <w:r>
        <w:t xml:space="preserve"> include</w:t>
      </w:r>
      <w:r w:rsidR="005474F7" w:rsidRPr="0084703F">
        <w:t xml:space="preserve"> the nature </w:t>
      </w:r>
      <w:r>
        <w:t xml:space="preserve">and complexity </w:t>
      </w:r>
      <w:r w:rsidR="005474F7" w:rsidRPr="0084703F">
        <w:t>of the proceedings</w:t>
      </w:r>
      <w:r w:rsidR="008D2A16">
        <w:t xml:space="preserve">, the level of expertise </w:t>
      </w:r>
      <w:proofErr w:type="gramStart"/>
      <w:r w:rsidR="008D2A16">
        <w:t>required</w:t>
      </w:r>
      <w:proofErr w:type="gramEnd"/>
      <w:r w:rsidR="008D2A16">
        <w:t xml:space="preserve"> </w:t>
      </w:r>
      <w:r w:rsidR="001F3261" w:rsidRPr="0084703F">
        <w:t>and</w:t>
      </w:r>
      <w:r w:rsidR="00C6229B">
        <w:t xml:space="preserve"> </w:t>
      </w:r>
      <w:r w:rsidR="008D2A16">
        <w:t>the level of counsel instructed by the opposing side</w:t>
      </w:r>
      <w:r w:rsidR="005474F7" w:rsidRPr="001E14F1">
        <w:t>.</w:t>
      </w:r>
      <w:r w:rsidR="008D2A16">
        <w:t xml:space="preserve"> In cases in Northern Ireland the Law Officers </w:t>
      </w:r>
      <w:r w:rsidR="00527BB9">
        <w:t xml:space="preserve">will </w:t>
      </w:r>
      <w:r w:rsidR="008D2A16">
        <w:t xml:space="preserve">expect to appoint </w:t>
      </w:r>
      <w:r w:rsidR="008D2A16" w:rsidRPr="00A9146D">
        <w:t>Special Advocate</w:t>
      </w:r>
      <w:r w:rsidR="008D2A16">
        <w:t>s from the Northern Irish panel.</w:t>
      </w:r>
    </w:p>
    <w:p w14:paraId="3E9D9051" w14:textId="77777777" w:rsidR="005474F7" w:rsidRPr="0014084D" w:rsidRDefault="005474F7" w:rsidP="003966DA">
      <w:pPr>
        <w:pStyle w:val="OPENmanualpara"/>
      </w:pPr>
      <w:r w:rsidRPr="0014084D">
        <w:t xml:space="preserve">It is important to note that, although appointed by </w:t>
      </w:r>
      <w:r w:rsidR="0064727A">
        <w:t xml:space="preserve">one of </w:t>
      </w:r>
      <w:r w:rsidRPr="0014084D">
        <w:t>the</w:t>
      </w:r>
      <w:r w:rsidR="0036756A" w:rsidRPr="0014084D">
        <w:t xml:space="preserve"> Law Officer</w:t>
      </w:r>
      <w:r w:rsidR="0064727A">
        <w:t>s</w:t>
      </w:r>
      <w:r w:rsidRPr="0014084D">
        <w:t xml:space="preserve">, a </w:t>
      </w:r>
      <w:r w:rsidR="001F3261" w:rsidRPr="0014084D">
        <w:t>S</w:t>
      </w:r>
      <w:r w:rsidRPr="0014084D">
        <w:t xml:space="preserve">pecial </w:t>
      </w:r>
      <w:r w:rsidR="001F3261" w:rsidRPr="0014084D">
        <w:t>A</w:t>
      </w:r>
      <w:r w:rsidRPr="0014084D">
        <w:t>dvocate is</w:t>
      </w:r>
      <w:r w:rsidR="00C15A88" w:rsidRPr="0014084D">
        <w:t xml:space="preserve"> </w:t>
      </w:r>
      <w:r w:rsidRPr="0014084D">
        <w:t xml:space="preserve">not </w:t>
      </w:r>
      <w:r w:rsidRPr="00E609ED">
        <w:rPr>
          <w:i/>
        </w:rPr>
        <w:t>instructed</w:t>
      </w:r>
      <w:r w:rsidRPr="0014084D">
        <w:t xml:space="preserve"> by </w:t>
      </w:r>
      <w:r w:rsidR="00E74F6A" w:rsidRPr="0014084D">
        <w:t xml:space="preserve">them </w:t>
      </w:r>
      <w:r w:rsidRPr="0014084D">
        <w:t>and act</w:t>
      </w:r>
      <w:r w:rsidR="0036756A" w:rsidRPr="0014084D">
        <w:t>s</w:t>
      </w:r>
      <w:r w:rsidRPr="0014084D">
        <w:t xml:space="preserve"> entirely independently. It </w:t>
      </w:r>
      <w:r w:rsidRPr="00FB377F">
        <w:t xml:space="preserve">was recognised in </w:t>
      </w:r>
      <w:r w:rsidRPr="00FB377F">
        <w:rPr>
          <w:i/>
        </w:rPr>
        <w:t>R v H &amp; C</w:t>
      </w:r>
      <w:r w:rsidRPr="00FB377F">
        <w:t xml:space="preserve"> [2004] UKHL 3</w:t>
      </w:r>
      <w:r w:rsidR="006E1713" w:rsidRPr="00FB377F">
        <w:rPr>
          <w:rStyle w:val="FootnoteReference"/>
        </w:rPr>
        <w:footnoteReference w:id="8"/>
      </w:r>
      <w:r w:rsidRPr="00FB377F">
        <w:t xml:space="preserve"> that when appointing</w:t>
      </w:r>
      <w:r w:rsidRPr="0014084D">
        <w:t xml:space="preserve"> </w:t>
      </w:r>
      <w:r w:rsidR="0036756A" w:rsidRPr="0014084D">
        <w:t xml:space="preserve">a </w:t>
      </w:r>
      <w:r w:rsidR="001F3261" w:rsidRPr="0014084D">
        <w:t>Special A</w:t>
      </w:r>
      <w:r w:rsidR="0036756A" w:rsidRPr="0014084D">
        <w:t>dvocate</w:t>
      </w:r>
      <w:r w:rsidRPr="0014084D">
        <w:t xml:space="preserve"> (albeit in the context of criminal proceedings) the Attorney General was acting: </w:t>
      </w:r>
    </w:p>
    <w:p w14:paraId="3DB6471F" w14:textId="77777777" w:rsidR="000975DE" w:rsidRPr="00CF1A51" w:rsidRDefault="005474F7" w:rsidP="00CF1A51">
      <w:pPr>
        <w:pStyle w:val="Quote"/>
        <w:rPr>
          <w:i w:val="0"/>
        </w:rPr>
      </w:pPr>
      <w:r w:rsidRPr="00CF1A51">
        <w:rPr>
          <w:i w:val="0"/>
        </w:rPr>
        <w:t>“</w:t>
      </w:r>
      <w:r w:rsidR="00793861" w:rsidRPr="00CF1A51">
        <w:rPr>
          <w:i w:val="0"/>
        </w:rPr>
        <w:t>…</w:t>
      </w:r>
      <w:r w:rsidR="006844D5" w:rsidRPr="00CF1A51">
        <w:rPr>
          <w:rStyle w:val="QuoteChar"/>
          <w:rFonts w:eastAsia="Calibri"/>
          <w:i/>
        </w:rPr>
        <w:t>not as a Minister of the Crown</w:t>
      </w:r>
      <w:r w:rsidRPr="00CF1A51">
        <w:rPr>
          <w:rStyle w:val="QuoteChar"/>
          <w:rFonts w:eastAsia="Calibri"/>
          <w:i/>
        </w:rPr>
        <w:t>…</w:t>
      </w:r>
      <w:r w:rsidR="006844D5" w:rsidRPr="00CF1A51">
        <w:rPr>
          <w:rStyle w:val="QuoteChar"/>
          <w:rFonts w:eastAsia="Calibri"/>
          <w:i/>
        </w:rPr>
        <w:t xml:space="preserve">but </w:t>
      </w:r>
      <w:r w:rsidRPr="00CF1A51">
        <w:rPr>
          <w:rStyle w:val="QuoteChar"/>
          <w:rFonts w:eastAsia="Calibri"/>
          <w:i/>
        </w:rPr>
        <w:t>as an independent, unpartisan guardian of the public interest in the administration of justice</w:t>
      </w:r>
      <w:r w:rsidR="00356F5E" w:rsidRPr="00CF1A51">
        <w:rPr>
          <w:rStyle w:val="QuoteChar"/>
          <w:rFonts w:eastAsia="Calibri"/>
          <w:i/>
        </w:rPr>
        <w:t>..</w:t>
      </w:r>
      <w:r w:rsidRPr="00CF1A51">
        <w:rPr>
          <w:rStyle w:val="QuoteChar"/>
          <w:rFonts w:eastAsia="Calibri"/>
          <w:i/>
        </w:rPr>
        <w:t>.</w:t>
      </w:r>
      <w:r w:rsidR="006844D5" w:rsidRPr="00CF1A51">
        <w:rPr>
          <w:rStyle w:val="QuoteChar"/>
          <w:rFonts w:eastAsia="Calibri"/>
          <w:i/>
        </w:rPr>
        <w:t>It is in that capacity alone that he approves the list of counsel judged suitable to act as Special Advocates… Counsel roundly acknowledged the complete integrity shown by successive holders of the office in exercising this role</w:t>
      </w:r>
      <w:r w:rsidR="00356F5E" w:rsidRPr="00CF1A51">
        <w:rPr>
          <w:rStyle w:val="QuoteChar"/>
          <w:rFonts w:eastAsia="Calibri"/>
          <w:i/>
        </w:rPr>
        <w:t>..</w:t>
      </w:r>
      <w:r w:rsidR="006844D5" w:rsidRPr="00CF1A51">
        <w:rPr>
          <w:rStyle w:val="QuoteChar"/>
          <w:rFonts w:eastAsia="Calibri"/>
          <w:i/>
        </w:rPr>
        <w:t>.</w:t>
      </w:r>
      <w:r w:rsidRPr="00CF1A51">
        <w:rPr>
          <w:i w:val="0"/>
        </w:rPr>
        <w:t>” [46]</w:t>
      </w:r>
    </w:p>
    <w:p w14:paraId="14D345FC" w14:textId="77777777" w:rsidR="005474F7" w:rsidRPr="0014084D" w:rsidRDefault="00E609ED" w:rsidP="003966DA">
      <w:pPr>
        <w:pStyle w:val="OPENmanualpara"/>
      </w:pPr>
      <w:r>
        <w:t>SASO OPEN support t</w:t>
      </w:r>
      <w:r w:rsidR="00DF2452" w:rsidRPr="0014084D">
        <w:t xml:space="preserve">he </w:t>
      </w:r>
      <w:r w:rsidR="00344F11" w:rsidRPr="0014084D">
        <w:t xml:space="preserve">Law </w:t>
      </w:r>
      <w:r w:rsidR="000975DE" w:rsidRPr="0014084D">
        <w:t>O</w:t>
      </w:r>
      <w:r w:rsidR="00344F11" w:rsidRPr="0014084D">
        <w:t>fficer</w:t>
      </w:r>
      <w:r w:rsidR="00BF164D" w:rsidRPr="0014084D">
        <w:t>s</w:t>
      </w:r>
      <w:r w:rsidR="00DF2452" w:rsidRPr="0014084D">
        <w:t xml:space="preserve">, </w:t>
      </w:r>
      <w:r>
        <w:t xml:space="preserve">by </w:t>
      </w:r>
      <w:r w:rsidR="00DF2452" w:rsidRPr="0014084D">
        <w:t>consult</w:t>
      </w:r>
      <w:r>
        <w:t>ing</w:t>
      </w:r>
      <w:r w:rsidR="00DF2452" w:rsidRPr="0014084D">
        <w:t xml:space="preserve"> </w:t>
      </w:r>
      <w:r w:rsidR="005474F7" w:rsidRPr="0014084D">
        <w:t xml:space="preserve">the </w:t>
      </w:r>
      <w:r w:rsidR="00DF3CB9" w:rsidRPr="0014084D">
        <w:t>OPEN Representatives</w:t>
      </w:r>
      <w:r w:rsidR="00527BB9">
        <w:t xml:space="preserve">, liaising with potential </w:t>
      </w:r>
      <w:r w:rsidR="00527BB9" w:rsidRPr="00A9146D">
        <w:t>Special Advocate</w:t>
      </w:r>
      <w:r w:rsidR="00527BB9">
        <w:t xml:space="preserve">s and </w:t>
      </w:r>
      <w:r w:rsidR="00DF2452" w:rsidRPr="0014084D">
        <w:t>provid</w:t>
      </w:r>
      <w:r>
        <w:t>ing</w:t>
      </w:r>
      <w:r w:rsidR="00DF2452" w:rsidRPr="0014084D">
        <w:t xml:space="preserve"> </w:t>
      </w:r>
      <w:r w:rsidR="00527BB9">
        <w:t xml:space="preserve">the </w:t>
      </w:r>
      <w:r w:rsidR="00527BB9" w:rsidRPr="00E71929">
        <w:t>OPEN</w:t>
      </w:r>
      <w:r w:rsidR="00527BB9">
        <w:t xml:space="preserve"> </w:t>
      </w:r>
      <w:r w:rsidR="00BB3F04">
        <w:t xml:space="preserve">representatives’ </w:t>
      </w:r>
      <w:r w:rsidR="00527BB9">
        <w:t xml:space="preserve">nominations </w:t>
      </w:r>
      <w:r w:rsidR="00DF2452" w:rsidRPr="0014084D">
        <w:t xml:space="preserve">for </w:t>
      </w:r>
      <w:r w:rsidR="000975DE" w:rsidRPr="0014084D">
        <w:t xml:space="preserve">formal </w:t>
      </w:r>
      <w:r w:rsidR="00BF164D" w:rsidRPr="0014084D">
        <w:t>appointment. No instructions will pass</w:t>
      </w:r>
      <w:r w:rsidR="005474F7" w:rsidRPr="0014084D">
        <w:t xml:space="preserve"> from the Law Officers to</w:t>
      </w:r>
      <w:r w:rsidR="00BF164D" w:rsidRPr="0014084D">
        <w:t xml:space="preserve"> a Special </w:t>
      </w:r>
      <w:proofErr w:type="gramStart"/>
      <w:r w:rsidR="00BF164D" w:rsidRPr="0014084D">
        <w:t>Advocate</w:t>
      </w:r>
      <w:proofErr w:type="gramEnd"/>
      <w:r w:rsidR="005474F7" w:rsidRPr="0014084D">
        <w:t xml:space="preserve"> and they are not privy to the work of any Special Advocate. </w:t>
      </w:r>
    </w:p>
    <w:p w14:paraId="0830803C" w14:textId="77777777" w:rsidR="005474F7" w:rsidRPr="00277538" w:rsidRDefault="00E609ED" w:rsidP="003966DA">
      <w:pPr>
        <w:pStyle w:val="OPENmanualpara"/>
      </w:pPr>
      <w:r w:rsidRPr="00E609ED">
        <w:t>SASO may consult t</w:t>
      </w:r>
      <w:r w:rsidR="005474F7" w:rsidRPr="00E609ED">
        <w:t xml:space="preserve">he Law Officers from time to time on </w:t>
      </w:r>
      <w:r w:rsidR="001E14F1" w:rsidRPr="00E609ED">
        <w:t xml:space="preserve">general </w:t>
      </w:r>
      <w:r w:rsidR="005474F7" w:rsidRPr="00E609ED">
        <w:t xml:space="preserve">matters of principle relevant to the effective operation of the Special Advocate system. The role of the </w:t>
      </w:r>
      <w:r w:rsidR="00344F11" w:rsidRPr="00E609ED">
        <w:t>Law Officers</w:t>
      </w:r>
      <w:r w:rsidR="005474F7" w:rsidRPr="00E609ED">
        <w:t xml:space="preserve"> in relation to the appointment of </w:t>
      </w:r>
      <w:r w:rsidR="00BF164D" w:rsidRPr="00E609ED">
        <w:t>a Special Advocate</w:t>
      </w:r>
      <w:r w:rsidR="00B339AE">
        <w:t>,</w:t>
      </w:r>
      <w:r w:rsidR="00BF164D" w:rsidRPr="00E609ED">
        <w:t xml:space="preserve"> as</w:t>
      </w:r>
      <w:r w:rsidR="005474F7" w:rsidRPr="00E609ED">
        <w:t xml:space="preserve"> </w:t>
      </w:r>
      <w:r w:rsidR="005474F7" w:rsidRPr="00E609ED">
        <w:lastRenderedPageBreak/>
        <w:t xml:space="preserve">set out in </w:t>
      </w:r>
      <w:r w:rsidR="00BF164D" w:rsidRPr="00E609ED">
        <w:rPr>
          <w:i/>
        </w:rPr>
        <w:t>R v H &amp; C,</w:t>
      </w:r>
      <w:r w:rsidR="005474F7" w:rsidRPr="00E609ED">
        <w:t xml:space="preserve"> </w:t>
      </w:r>
      <w:r w:rsidR="00CC56FF">
        <w:t xml:space="preserve">was </w:t>
      </w:r>
      <w:r w:rsidR="005474F7" w:rsidRPr="00E609ED">
        <w:t>cited with approval</w:t>
      </w:r>
      <w:r w:rsidR="00793861">
        <w:t xml:space="preserve"> by the Court of </w:t>
      </w:r>
      <w:r w:rsidR="00793861" w:rsidRPr="00277538">
        <w:t>Appeal</w:t>
      </w:r>
      <w:r w:rsidR="005474F7" w:rsidRPr="00277538">
        <w:t xml:space="preserve"> in </w:t>
      </w:r>
      <w:r w:rsidR="005474F7" w:rsidRPr="00277538">
        <w:rPr>
          <w:i/>
        </w:rPr>
        <w:t xml:space="preserve">Home Office v Tariq </w:t>
      </w:r>
      <w:r w:rsidR="005474F7" w:rsidRPr="00277538">
        <w:t xml:space="preserve">[2010] EWCA </w:t>
      </w:r>
      <w:proofErr w:type="spellStart"/>
      <w:r w:rsidR="005474F7" w:rsidRPr="00277538">
        <w:t>Civ</w:t>
      </w:r>
      <w:proofErr w:type="spellEnd"/>
      <w:r w:rsidR="005474F7" w:rsidRPr="00277538">
        <w:t xml:space="preserve"> 462</w:t>
      </w:r>
      <w:r w:rsidR="00A45636" w:rsidRPr="00277538">
        <w:t xml:space="preserve"> at</w:t>
      </w:r>
      <w:r w:rsidR="00CC56FF" w:rsidRPr="00277538">
        <w:t xml:space="preserve"> </w:t>
      </w:r>
      <w:r w:rsidR="005474F7" w:rsidRPr="00277538">
        <w:t>[27]</w:t>
      </w:r>
      <w:r w:rsidR="005474F7" w:rsidRPr="00277538">
        <w:rPr>
          <w:rStyle w:val="FootnoteReference"/>
          <w:smallCaps/>
        </w:rPr>
        <w:footnoteReference w:id="9"/>
      </w:r>
      <w:r w:rsidR="00C6229B" w:rsidRPr="00277538">
        <w:t>.</w:t>
      </w:r>
    </w:p>
    <w:p w14:paraId="47B42D4D" w14:textId="77777777" w:rsidR="005474F7" w:rsidRPr="00DB405E" w:rsidRDefault="005474F7" w:rsidP="00DB405E">
      <w:pPr>
        <w:pStyle w:val="Heading2"/>
        <w:rPr>
          <w:rStyle w:val="Emphasis"/>
          <w:i w:val="0"/>
          <w:iCs w:val="0"/>
        </w:rPr>
      </w:pPr>
      <w:bookmarkStart w:id="25" w:name="_Toc499805103"/>
      <w:bookmarkStart w:id="26" w:name="_Toc3904886"/>
      <w:r w:rsidRPr="00DB405E">
        <w:rPr>
          <w:rStyle w:val="Emphasis"/>
          <w:i w:val="0"/>
          <w:iCs w:val="0"/>
        </w:rPr>
        <w:t>OPEN and CLOSED Material</w:t>
      </w:r>
      <w:bookmarkEnd w:id="25"/>
      <w:bookmarkEnd w:id="26"/>
    </w:p>
    <w:p w14:paraId="663AC2F4" w14:textId="2B587DA6" w:rsidR="005474F7" w:rsidRPr="0014084D" w:rsidRDefault="005474F7" w:rsidP="003966DA">
      <w:pPr>
        <w:pStyle w:val="OPENmanualpara"/>
      </w:pPr>
      <w:r w:rsidRPr="0014084D">
        <w:t>Fundamental to the effectiveness of the Special Advocate system is the distinction between OPEN and CLOSED material. These are not HM Government security classifications, but they are a useful means of distingu</w:t>
      </w:r>
      <w:r w:rsidR="00BF164D" w:rsidRPr="0014084D">
        <w:t>ishing the two fundamental aspects</w:t>
      </w:r>
      <w:r w:rsidRPr="0014084D">
        <w:t xml:space="preserve"> to CLOSED </w:t>
      </w:r>
      <w:r w:rsidR="00CF1A51">
        <w:t>Material Proceedings</w:t>
      </w:r>
      <w:r w:rsidRPr="0014084D">
        <w:t>.</w:t>
      </w:r>
    </w:p>
    <w:p w14:paraId="7755FEA0" w14:textId="0F6C1C29" w:rsidR="005474F7" w:rsidRPr="0014084D" w:rsidRDefault="005474F7" w:rsidP="003966DA">
      <w:pPr>
        <w:pStyle w:val="OPENmanualpara"/>
      </w:pPr>
      <w:r w:rsidRPr="0014084D">
        <w:t xml:space="preserve">OPEN material is </w:t>
      </w:r>
      <w:r w:rsidR="00C6091E" w:rsidRPr="0014084D">
        <w:t>that</w:t>
      </w:r>
      <w:r w:rsidRPr="0014084D">
        <w:t xml:space="preserve"> which is in the public domain, or which could be disclosed publicly without giving rise to any risk to the public interest.  OPEN material is</w:t>
      </w:r>
      <w:r w:rsidR="00BF164D" w:rsidRPr="0014084D">
        <w:t xml:space="preserve"> </w:t>
      </w:r>
      <w:r w:rsidR="00CC56FF">
        <w:t xml:space="preserve">subject to the </w:t>
      </w:r>
      <w:r w:rsidR="00BF164D" w:rsidRPr="0014084D">
        <w:t>same disclosure</w:t>
      </w:r>
      <w:r w:rsidR="00CC56FF">
        <w:t xml:space="preserve"> requirements as</w:t>
      </w:r>
      <w:r w:rsidRPr="0014084D">
        <w:t xml:space="preserve"> in any other</w:t>
      </w:r>
      <w:r w:rsidR="00CC56FF">
        <w:t xml:space="preserve"> civil</w:t>
      </w:r>
      <w:r w:rsidRPr="0014084D">
        <w:t xml:space="preserve"> litigation.</w:t>
      </w:r>
    </w:p>
    <w:p w14:paraId="39164739" w14:textId="5D3E1D3A" w:rsidR="00045EDB" w:rsidRPr="0014084D" w:rsidRDefault="005474F7" w:rsidP="003966DA">
      <w:pPr>
        <w:pStyle w:val="OPENmanualpara"/>
      </w:pPr>
      <w:r w:rsidRPr="0014084D">
        <w:t xml:space="preserve">CLOSED material </w:t>
      </w:r>
      <w:r w:rsidR="00045EDB" w:rsidRPr="0014084D">
        <w:t xml:space="preserve">is classified or otherwise sensitive material which the </w:t>
      </w:r>
      <w:r w:rsidR="00FC620D">
        <w:t>Information Owner</w:t>
      </w:r>
      <w:r w:rsidR="00045EDB" w:rsidRPr="0014084D">
        <w:t xml:space="preserve"> wishes to rely on in </w:t>
      </w:r>
      <w:r w:rsidR="00EA1E0D" w:rsidRPr="0014084D">
        <w:t>proceedings but objects to disclosing to an excluded party</w:t>
      </w:r>
      <w:r w:rsidR="001729D1" w:rsidRPr="0014084D">
        <w:t xml:space="preserve"> on the basis of </w:t>
      </w:r>
      <w:r w:rsidR="000975DE" w:rsidRPr="0014084D">
        <w:t>national security</w:t>
      </w:r>
      <w:r w:rsidR="00BF164D" w:rsidRPr="0014084D">
        <w:t xml:space="preserve"> or</w:t>
      </w:r>
      <w:r w:rsidR="001729D1" w:rsidRPr="0014084D">
        <w:t xml:space="preserve"> for some</w:t>
      </w:r>
      <w:r w:rsidR="00BF164D" w:rsidRPr="0014084D">
        <w:t xml:space="preserve"> other public interest reaso</w:t>
      </w:r>
      <w:r w:rsidR="001729D1" w:rsidRPr="0014084D">
        <w:t>n</w:t>
      </w:r>
      <w:r w:rsidR="00BF164D" w:rsidRPr="0014084D">
        <w:t>.</w:t>
      </w:r>
      <w:r w:rsidR="00045EDB" w:rsidRPr="0014084D">
        <w:t xml:space="preserve"> </w:t>
      </w:r>
    </w:p>
    <w:p w14:paraId="26B71C5E" w14:textId="3A0091CC" w:rsidR="005474F7" w:rsidRPr="0014084D" w:rsidRDefault="005474F7" w:rsidP="003966DA">
      <w:pPr>
        <w:pStyle w:val="OPENmanualpara"/>
      </w:pPr>
      <w:r w:rsidRPr="0014084D">
        <w:t xml:space="preserve">Whilst </w:t>
      </w:r>
      <w:r w:rsidR="00B11069">
        <w:t>CLOSED material</w:t>
      </w:r>
      <w:r w:rsidR="00B11069" w:rsidRPr="0014084D">
        <w:t xml:space="preserve"> </w:t>
      </w:r>
      <w:r w:rsidRPr="0014084D">
        <w:t xml:space="preserve">normally attracts a HM Government classification of </w:t>
      </w:r>
      <w:r w:rsidR="004219AE" w:rsidRPr="0014084D">
        <w:t>“</w:t>
      </w:r>
      <w:r w:rsidRPr="0014084D">
        <w:t>SECRET</w:t>
      </w:r>
      <w:r w:rsidR="004219AE" w:rsidRPr="0014084D">
        <w:t>”</w:t>
      </w:r>
      <w:r w:rsidRPr="0014084D">
        <w:t xml:space="preserve"> or higher</w:t>
      </w:r>
      <w:r w:rsidR="00006070">
        <w:rPr>
          <w:rStyle w:val="FootnoteReference"/>
        </w:rPr>
        <w:footnoteReference w:id="10"/>
      </w:r>
      <w:r w:rsidRPr="0014084D">
        <w:t>, such a classificat</w:t>
      </w:r>
      <w:r w:rsidR="001729D1" w:rsidRPr="0014084D">
        <w:t>ion is not a pre-requisite, for example,</w:t>
      </w:r>
      <w:r w:rsidRPr="0014084D">
        <w:t xml:space="preserve"> CLOSED material in family cases may be withheld from one party for reasons of per</w:t>
      </w:r>
      <w:r w:rsidR="001729D1" w:rsidRPr="0014084D">
        <w:t>sonal safety or confidentiality</w:t>
      </w:r>
      <w:r w:rsidRPr="0014084D">
        <w:t>.</w:t>
      </w:r>
    </w:p>
    <w:p w14:paraId="59C800A3" w14:textId="11BC9BFD" w:rsidR="005474F7" w:rsidRPr="0014084D" w:rsidRDefault="005474F7" w:rsidP="003966DA">
      <w:pPr>
        <w:pStyle w:val="OPENmanualpara"/>
      </w:pPr>
      <w:r w:rsidRPr="0014084D">
        <w:t xml:space="preserve">There is a third category of </w:t>
      </w:r>
      <w:r w:rsidR="00227A4E">
        <w:t xml:space="preserve">material, sometimes found in </w:t>
      </w:r>
      <w:r w:rsidR="00227A4E" w:rsidRPr="00E71929">
        <w:t>CLOSED</w:t>
      </w:r>
      <w:r w:rsidR="00227A4E">
        <w:t xml:space="preserve"> Proceedings, known as</w:t>
      </w:r>
      <w:r w:rsidRPr="0014084D">
        <w:t xml:space="preserve"> </w:t>
      </w:r>
      <w:r w:rsidRPr="00227A4E">
        <w:t>“</w:t>
      </w:r>
      <w:r w:rsidR="00B11069" w:rsidRPr="00227A4E">
        <w:t>I</w:t>
      </w:r>
      <w:r w:rsidRPr="00227A4E">
        <w:t xml:space="preserve">n </w:t>
      </w:r>
      <w:r w:rsidR="00B11069" w:rsidRPr="00227A4E">
        <w:t>CAMERA</w:t>
      </w:r>
      <w:r w:rsidRPr="00227A4E">
        <w:t>”.</w:t>
      </w:r>
      <w:r w:rsidRPr="0014084D">
        <w:t xml:space="preserve">  This </w:t>
      </w:r>
      <w:r w:rsidR="00CC56FF">
        <w:t xml:space="preserve">has occurred when </w:t>
      </w:r>
      <w:r w:rsidR="009A395F">
        <w:t xml:space="preserve">the </w:t>
      </w:r>
      <w:r w:rsidR="009A395F" w:rsidRPr="009A395F">
        <w:t>Appellant</w:t>
      </w:r>
      <w:r w:rsidR="009A395F">
        <w:t xml:space="preserve"> was the subject of </w:t>
      </w:r>
      <w:r w:rsidR="00CC56FF">
        <w:t xml:space="preserve">prior </w:t>
      </w:r>
      <w:r w:rsidRPr="0014084D">
        <w:t>criminal proceedings</w:t>
      </w:r>
      <w:r w:rsidR="009A395F">
        <w:t xml:space="preserve">, in which the </w:t>
      </w:r>
      <w:r w:rsidR="009A395F" w:rsidRPr="009A395F">
        <w:t>OPEN</w:t>
      </w:r>
      <w:r w:rsidR="009A395F">
        <w:t xml:space="preserve"> </w:t>
      </w:r>
      <w:r w:rsidR="00B11069">
        <w:t>R</w:t>
      </w:r>
      <w:r w:rsidR="009A395F">
        <w:t xml:space="preserve">epresentatives were given sight of the </w:t>
      </w:r>
      <w:r w:rsidR="009A395F" w:rsidRPr="009A395F">
        <w:t>CLOSED</w:t>
      </w:r>
      <w:r w:rsidR="009A395F">
        <w:t xml:space="preserve"> material. In “</w:t>
      </w:r>
      <w:r w:rsidR="00B11069">
        <w:t>I</w:t>
      </w:r>
      <w:r w:rsidR="009A395F">
        <w:t xml:space="preserve">n </w:t>
      </w:r>
      <w:r w:rsidR="00B11069">
        <w:t>CAMERA</w:t>
      </w:r>
      <w:r w:rsidR="009A395F">
        <w:t xml:space="preserve">” proceedings, the </w:t>
      </w:r>
      <w:r w:rsidR="009A395F" w:rsidRPr="009A395F">
        <w:t>OPEN</w:t>
      </w:r>
      <w:r w:rsidR="009A395F">
        <w:t xml:space="preserve"> </w:t>
      </w:r>
      <w:r w:rsidR="0019271D">
        <w:t>R</w:t>
      </w:r>
      <w:r w:rsidR="009A395F">
        <w:t>epresentatives are required to give solicitors’ undertakings of non-disclosure</w:t>
      </w:r>
      <w:r w:rsidR="0019271D">
        <w:t xml:space="preserve"> but are otherwise permitted to take part in the proceedings.</w:t>
      </w:r>
    </w:p>
    <w:p w14:paraId="68CD59C9" w14:textId="77777777" w:rsidR="005474F7" w:rsidRPr="00DB405E" w:rsidRDefault="00BB3F04" w:rsidP="00DB405E">
      <w:pPr>
        <w:pStyle w:val="Heading2"/>
        <w:rPr>
          <w:rStyle w:val="Emphasis"/>
          <w:i w:val="0"/>
          <w:iCs w:val="0"/>
        </w:rPr>
      </w:pPr>
      <w:bookmarkStart w:id="27" w:name="_Toc499805104"/>
      <w:r>
        <w:rPr>
          <w:rStyle w:val="Emphasis"/>
          <w:i w:val="0"/>
          <w:iCs w:val="0"/>
        </w:rPr>
        <w:br w:type="page"/>
      </w:r>
      <w:bookmarkStart w:id="28" w:name="_Toc3904887"/>
      <w:r w:rsidR="005474F7" w:rsidRPr="00DB405E">
        <w:rPr>
          <w:rStyle w:val="Emphasis"/>
          <w:i w:val="0"/>
          <w:iCs w:val="0"/>
        </w:rPr>
        <w:lastRenderedPageBreak/>
        <w:t>Confidentiality rings and W</w:t>
      </w:r>
      <w:r w:rsidR="006B4858" w:rsidRPr="00DB405E">
        <w:rPr>
          <w:rStyle w:val="Emphasis"/>
          <w:i w:val="0"/>
          <w:iCs w:val="0"/>
        </w:rPr>
        <w:t xml:space="preserve"> </w:t>
      </w:r>
      <w:r w:rsidR="005474F7" w:rsidRPr="00DB405E">
        <w:rPr>
          <w:rStyle w:val="Emphasis"/>
          <w:i w:val="0"/>
          <w:iCs w:val="0"/>
        </w:rPr>
        <w:t>(Algeria) Orders</w:t>
      </w:r>
      <w:bookmarkEnd w:id="27"/>
      <w:bookmarkEnd w:id="28"/>
    </w:p>
    <w:p w14:paraId="28FA556E" w14:textId="50FAE0A4" w:rsidR="003B5A3E" w:rsidRPr="00DA6166" w:rsidRDefault="005474F7" w:rsidP="003B5A3E">
      <w:pPr>
        <w:pStyle w:val="OPENmanualpara"/>
      </w:pPr>
      <w:r w:rsidRPr="0014084D">
        <w:t>It is not always the case that CLOSED</w:t>
      </w:r>
      <w:r w:rsidR="0019271D">
        <w:t xml:space="preserve"> material</w:t>
      </w:r>
      <w:r w:rsidRPr="0014084D">
        <w:t xml:space="preserve"> (or sensitive or confidential material) cannot be shared with the excluded party and/or the </w:t>
      </w:r>
      <w:r w:rsidR="00DF3CB9" w:rsidRPr="0014084D">
        <w:t>OPEN Representatives</w:t>
      </w:r>
      <w:r w:rsidRPr="0014084D">
        <w:t xml:space="preserve">, or that the </w:t>
      </w:r>
      <w:r w:rsidR="0019271D">
        <w:t>S</w:t>
      </w:r>
      <w:r w:rsidRPr="0014084D">
        <w:t xml:space="preserve">tate alone seeks to rely on such material.  On occasions, it may be possible for such material to be shared with the excluded party and/or </w:t>
      </w:r>
      <w:r w:rsidR="00DF3CB9" w:rsidRPr="0014084D">
        <w:t>OPEN Representatives</w:t>
      </w:r>
      <w:r w:rsidRPr="0014084D">
        <w:t>.</w:t>
      </w:r>
      <w:r w:rsidR="003B5A3E">
        <w:t xml:space="preserve"> The court considered the use of </w:t>
      </w:r>
      <w:r w:rsidR="003B5A3E" w:rsidRPr="00DA6166">
        <w:t>confidentiality rings in</w:t>
      </w:r>
      <w:r w:rsidRPr="00DA6166">
        <w:t xml:space="preserve"> </w:t>
      </w:r>
      <w:r w:rsidR="003B5A3E" w:rsidRPr="00DA6166">
        <w:rPr>
          <w:i/>
        </w:rPr>
        <w:t xml:space="preserve">R (Mohammed) v Secretary of State for Defence </w:t>
      </w:r>
      <w:r w:rsidR="003B5A3E" w:rsidRPr="00DA6166">
        <w:t>[2012] EWHC 3454 (Admin)</w:t>
      </w:r>
      <w:r w:rsidR="003B5A3E" w:rsidRPr="00DA6166">
        <w:rPr>
          <w:rStyle w:val="FootnoteReference"/>
        </w:rPr>
        <w:footnoteReference w:id="11"/>
      </w:r>
      <w:r w:rsidR="003B5A3E" w:rsidRPr="00DA6166">
        <w:t xml:space="preserve">, </w:t>
      </w:r>
      <w:r w:rsidR="003B5A3E" w:rsidRPr="00DA6166">
        <w:rPr>
          <w:i/>
        </w:rPr>
        <w:t xml:space="preserve">AHK &amp; </w:t>
      </w:r>
      <w:proofErr w:type="spellStart"/>
      <w:r w:rsidR="003B5A3E" w:rsidRPr="00DA6166">
        <w:rPr>
          <w:i/>
        </w:rPr>
        <w:t>Ors</w:t>
      </w:r>
      <w:proofErr w:type="spellEnd"/>
      <w:r w:rsidR="003B5A3E" w:rsidRPr="00DA6166">
        <w:rPr>
          <w:i/>
        </w:rPr>
        <w:t xml:space="preserve"> v Secretary of State for the Home Department </w:t>
      </w:r>
      <w:r w:rsidR="003B5A3E" w:rsidRPr="00DA6166">
        <w:t>[2013] EWHC 1426 (Admin).</w:t>
      </w:r>
    </w:p>
    <w:p w14:paraId="26AC1589" w14:textId="5D0D96B0" w:rsidR="005474F7" w:rsidRPr="00DA6166" w:rsidRDefault="005474F7" w:rsidP="003966DA">
      <w:pPr>
        <w:pStyle w:val="OPENmanualpara"/>
      </w:pPr>
      <w:r w:rsidRPr="0014084D">
        <w:t>Alternat</w:t>
      </w:r>
      <w:r w:rsidR="00DA6166">
        <w:t>e</w:t>
      </w:r>
      <w:r w:rsidRPr="0014084D">
        <w:t>ly the excluded party may seek to rely on what has</w:t>
      </w:r>
      <w:r w:rsidR="004D77DB" w:rsidRPr="0014084D">
        <w:t xml:space="preserve"> sometimes been referred to as “</w:t>
      </w:r>
      <w:r w:rsidRPr="0014084D">
        <w:t>reverse CLOSED material</w:t>
      </w:r>
      <w:r w:rsidR="007E1D7E">
        <w:t>”</w:t>
      </w:r>
      <w:r w:rsidR="00DA6166">
        <w:t>,</w:t>
      </w:r>
      <w:r w:rsidRPr="0014084D">
        <w:t xml:space="preserve"> to withhold </w:t>
      </w:r>
      <w:r w:rsidRPr="00DA6166">
        <w:t>information from</w:t>
      </w:r>
      <w:r w:rsidR="001729D1" w:rsidRPr="00DA6166">
        <w:t xml:space="preserve"> </w:t>
      </w:r>
      <w:r w:rsidR="007E1D7E" w:rsidRPr="00DA6166">
        <w:t>the g</w:t>
      </w:r>
      <w:r w:rsidR="001729D1" w:rsidRPr="00DA6166">
        <w:t xml:space="preserve">overnment and the public. </w:t>
      </w:r>
      <w:r w:rsidRPr="00DA6166">
        <w:t xml:space="preserve">This unusual situation </w:t>
      </w:r>
      <w:r w:rsidR="00DA6166" w:rsidRPr="00DA6166">
        <w:t xml:space="preserve">was </w:t>
      </w:r>
      <w:r w:rsidRPr="00DA6166">
        <w:t xml:space="preserve">considered in </w:t>
      </w:r>
      <w:r w:rsidRPr="00DA6166">
        <w:rPr>
          <w:i/>
        </w:rPr>
        <w:t>W (Algeria)</w:t>
      </w:r>
      <w:r w:rsidR="00A45636" w:rsidRPr="00DA6166">
        <w:rPr>
          <w:i/>
        </w:rPr>
        <w:t>(FC) and BB (Algeria)(FC)</w:t>
      </w:r>
      <w:r w:rsidRPr="00DA6166">
        <w:rPr>
          <w:i/>
        </w:rPr>
        <w:t xml:space="preserve"> v SSHD </w:t>
      </w:r>
      <w:r w:rsidRPr="00DA6166">
        <w:t>[2012] UKSC 8</w:t>
      </w:r>
      <w:r w:rsidR="000D78CD" w:rsidRPr="00DA6166">
        <w:rPr>
          <w:rStyle w:val="FootnoteReference"/>
        </w:rPr>
        <w:footnoteReference w:id="12"/>
      </w:r>
      <w:r w:rsidR="001729D1" w:rsidRPr="00DA6166">
        <w:t>,</w:t>
      </w:r>
      <w:r w:rsidRPr="00DA6166">
        <w:t xml:space="preserve"> and </w:t>
      </w:r>
      <w:r w:rsidRPr="00DA6166">
        <w:rPr>
          <w:i/>
        </w:rPr>
        <w:t xml:space="preserve">J1 v Secretary of State for the Home Department </w:t>
      </w:r>
      <w:r w:rsidR="001729D1" w:rsidRPr="00DA6166">
        <w:t>(</w:t>
      </w:r>
      <w:r w:rsidRPr="00DA6166">
        <w:t>SC/98/2010</w:t>
      </w:r>
      <w:r w:rsidR="001729D1" w:rsidRPr="00DA6166">
        <w:t>)</w:t>
      </w:r>
      <w:r w:rsidR="00DA6166" w:rsidRPr="00DA6166">
        <w:rPr>
          <w:rStyle w:val="FootnoteReference"/>
        </w:rPr>
        <w:t xml:space="preserve"> </w:t>
      </w:r>
      <w:r w:rsidR="00DA6166" w:rsidRPr="00DA6166">
        <w:rPr>
          <w:rStyle w:val="FootnoteReference"/>
        </w:rPr>
        <w:footnoteReference w:id="13"/>
      </w:r>
      <w:r w:rsidRPr="00DA6166">
        <w:t xml:space="preserve">. </w:t>
      </w:r>
    </w:p>
    <w:p w14:paraId="32C2E191" w14:textId="77777777" w:rsidR="005474F7" w:rsidRPr="0014084D" w:rsidRDefault="005474F7" w:rsidP="00DB405E">
      <w:pPr>
        <w:pStyle w:val="Heading2"/>
      </w:pPr>
      <w:bookmarkStart w:id="29" w:name="_Toc499805105"/>
      <w:bookmarkStart w:id="30" w:name="_Toc3904888"/>
      <w:r w:rsidRPr="0014084D">
        <w:t>The Special Advocates’ Support Office</w:t>
      </w:r>
      <w:bookmarkEnd w:id="29"/>
      <w:r w:rsidR="00412584">
        <w:t xml:space="preserve"> (“SASO”)</w:t>
      </w:r>
      <w:bookmarkEnd w:id="30"/>
    </w:p>
    <w:p w14:paraId="79544560" w14:textId="77777777" w:rsidR="005474F7" w:rsidRPr="0014084D" w:rsidRDefault="005474F7" w:rsidP="003966DA">
      <w:pPr>
        <w:pStyle w:val="OPENmanualpara"/>
      </w:pPr>
      <w:r w:rsidRPr="0014084D">
        <w:t>The G</w:t>
      </w:r>
      <w:r w:rsidR="00EA1E0D" w:rsidRPr="0014084D">
        <w:t xml:space="preserve">overnment </w:t>
      </w:r>
      <w:r w:rsidRPr="0014084D">
        <w:t>L</w:t>
      </w:r>
      <w:r w:rsidR="00EA1E0D" w:rsidRPr="0014084D">
        <w:t xml:space="preserve">egal </w:t>
      </w:r>
      <w:r w:rsidRPr="0014084D">
        <w:t>D</w:t>
      </w:r>
      <w:r w:rsidR="00EA1E0D" w:rsidRPr="0014084D">
        <w:t xml:space="preserve">epartment </w:t>
      </w:r>
      <w:r w:rsidR="00B456AC" w:rsidRPr="0014084D">
        <w:t xml:space="preserve">(“GLD”) </w:t>
      </w:r>
      <w:r w:rsidR="000234E1">
        <w:t xml:space="preserve">acts </w:t>
      </w:r>
      <w:r w:rsidRPr="0014084D">
        <w:t xml:space="preserve">for </w:t>
      </w:r>
      <w:r w:rsidR="00F000C8">
        <w:t xml:space="preserve">most government departments, including </w:t>
      </w:r>
      <w:r w:rsidRPr="0014084D">
        <w:t>the Attorney General</w:t>
      </w:r>
      <w:r w:rsidR="00F000C8">
        <w:t xml:space="preserve">, </w:t>
      </w:r>
      <w:r w:rsidRPr="0014084D">
        <w:t xml:space="preserve">in </w:t>
      </w:r>
      <w:r w:rsidR="000234E1">
        <w:t>litigation matters</w:t>
      </w:r>
      <w:r w:rsidRPr="0014084D">
        <w:t>. SASO is located within the GLD</w:t>
      </w:r>
      <w:r w:rsidR="00F000C8">
        <w:t xml:space="preserve"> </w:t>
      </w:r>
      <w:proofErr w:type="gramStart"/>
      <w:r w:rsidR="00F000C8">
        <w:t>offices</w:t>
      </w:r>
      <w:r w:rsidRPr="0014084D">
        <w:t>,</w:t>
      </w:r>
      <w:r w:rsidR="00F000C8">
        <w:t xml:space="preserve"> but</w:t>
      </w:r>
      <w:proofErr w:type="gramEnd"/>
      <w:r w:rsidR="00F000C8">
        <w:t xml:space="preserve"> acts independently in supporting the </w:t>
      </w:r>
      <w:r w:rsidR="00F000C8" w:rsidRPr="00A9146D">
        <w:t>Special Advocate</w:t>
      </w:r>
      <w:r w:rsidR="00F000C8">
        <w:t>s</w:t>
      </w:r>
      <w:r w:rsidRPr="0014084D">
        <w:t xml:space="preserve">. </w:t>
      </w:r>
    </w:p>
    <w:p w14:paraId="30F65B94" w14:textId="77777777" w:rsidR="005474F7" w:rsidRPr="0014084D" w:rsidRDefault="005474F7" w:rsidP="003966DA">
      <w:pPr>
        <w:pStyle w:val="OPENmanualpara"/>
      </w:pPr>
      <w:r w:rsidRPr="0014084D">
        <w:t xml:space="preserve">SASO was established in </w:t>
      </w:r>
      <w:r w:rsidR="00BE7230">
        <w:t>May 2005</w:t>
      </w:r>
      <w:r w:rsidR="00BE7230">
        <w:rPr>
          <w:rStyle w:val="FootnoteReference"/>
        </w:rPr>
        <w:footnoteReference w:id="14"/>
      </w:r>
      <w:r w:rsidRPr="0014084D">
        <w:t xml:space="preserve"> in response to the recommendations of the Constitutional Affairs Select Committee in its report on the operation of SIAC and the use of Special Advocates.</w:t>
      </w:r>
      <w:r w:rsidRPr="0014084D">
        <w:rPr>
          <w:rStyle w:val="FootnoteReference"/>
          <w:smallCaps/>
        </w:rPr>
        <w:footnoteReference w:id="15"/>
      </w:r>
      <w:r w:rsidRPr="0014084D">
        <w:t xml:space="preserve"> The Committee corre</w:t>
      </w:r>
      <w:r w:rsidR="00C6091E" w:rsidRPr="0014084D">
        <w:t xml:space="preserve">ctly predicted </w:t>
      </w:r>
      <w:r w:rsidRPr="0014084D">
        <w:t>that the use of Special Advocates would increase and that a need therefore existed for the system to be formalised and regulated.</w:t>
      </w:r>
    </w:p>
    <w:p w14:paraId="7623FF39" w14:textId="77777777" w:rsidR="005474F7" w:rsidRPr="0014084D" w:rsidRDefault="005474F7" w:rsidP="003966DA">
      <w:pPr>
        <w:pStyle w:val="OPENmanualpara"/>
      </w:pPr>
      <w:bookmarkStart w:id="31" w:name="_Ref469579695"/>
      <w:r w:rsidRPr="0014084D">
        <w:t xml:space="preserve">SASO lawyers are divided into OPEN and CLOSED teams. The SASO OPEN team liaises with the Attorney General’s Office and </w:t>
      </w:r>
      <w:r w:rsidR="00DF3CB9" w:rsidRPr="0014084D">
        <w:t>OPEN Representatives</w:t>
      </w:r>
      <w:r w:rsidRPr="0014084D">
        <w:t xml:space="preserve"> regarding the selection and nomination of </w:t>
      </w:r>
      <w:r w:rsidR="005E54A0" w:rsidRPr="0014084D">
        <w:t xml:space="preserve">a </w:t>
      </w:r>
      <w:r w:rsidRPr="0014084D">
        <w:t xml:space="preserve">Special </w:t>
      </w:r>
      <w:r w:rsidR="005E54A0" w:rsidRPr="0014084D">
        <w:t>Advocate</w:t>
      </w:r>
      <w:r w:rsidR="004D77DB" w:rsidRPr="0014084D">
        <w:t>. It also</w:t>
      </w:r>
      <w:r w:rsidR="005E54A0" w:rsidRPr="0014084D">
        <w:t xml:space="preserve"> supports </w:t>
      </w:r>
      <w:r w:rsidR="005E54A0" w:rsidRPr="0014084D">
        <w:lastRenderedPageBreak/>
        <w:t>the Special Advocate</w:t>
      </w:r>
      <w:r w:rsidR="000F71AD" w:rsidRPr="0014084D">
        <w:t>(s)</w:t>
      </w:r>
      <w:r w:rsidR="005E54A0" w:rsidRPr="0014084D">
        <w:t xml:space="preserve"> whilst </w:t>
      </w:r>
      <w:r w:rsidR="000F71AD" w:rsidRPr="0014084D">
        <w:t>they</w:t>
      </w:r>
      <w:r w:rsidRPr="0014084D">
        <w:t xml:space="preserve"> remain</w:t>
      </w:r>
      <w:r w:rsidR="005E54A0" w:rsidRPr="0014084D">
        <w:t xml:space="preserve"> in OPEN, for example, preparing OPEN papers and</w:t>
      </w:r>
      <w:r w:rsidRPr="0014084D">
        <w:t xml:space="preserve"> attendin</w:t>
      </w:r>
      <w:r w:rsidR="005E54A0" w:rsidRPr="0014084D">
        <w:t>g OPEN conferences and hearings</w:t>
      </w:r>
      <w:r w:rsidRPr="0014084D">
        <w:t>.</w:t>
      </w:r>
      <w:bookmarkEnd w:id="31"/>
      <w:r w:rsidRPr="0014084D">
        <w:t xml:space="preserve">  </w:t>
      </w:r>
    </w:p>
    <w:p w14:paraId="5E033254" w14:textId="6500D454" w:rsidR="005474F7" w:rsidRPr="0014084D" w:rsidRDefault="005474F7" w:rsidP="003966DA">
      <w:pPr>
        <w:pStyle w:val="OPENmanualpara"/>
      </w:pPr>
      <w:r w:rsidRPr="0014084D">
        <w:t xml:space="preserve">SASO CLOSED lawyers </w:t>
      </w:r>
      <w:r w:rsidR="00B456AC" w:rsidRPr="0014084D">
        <w:t xml:space="preserve">have </w:t>
      </w:r>
      <w:r w:rsidR="009A395F">
        <w:t>security clearance</w:t>
      </w:r>
      <w:r w:rsidR="005E54A0" w:rsidRPr="0014084D">
        <w:t xml:space="preserve">. They have access to </w:t>
      </w:r>
      <w:r w:rsidR="009A395F">
        <w:t xml:space="preserve">the </w:t>
      </w:r>
      <w:r w:rsidR="00B56D67" w:rsidRPr="0014084D">
        <w:t>CLOSED mat</w:t>
      </w:r>
      <w:r w:rsidR="00165EE5" w:rsidRPr="0014084D">
        <w:t>erial and are therefore able to</w:t>
      </w:r>
      <w:r w:rsidR="005E54A0" w:rsidRPr="0014084D">
        <w:t xml:space="preserve"> consider and</w:t>
      </w:r>
      <w:r w:rsidRPr="0014084D">
        <w:t xml:space="preserve"> </w:t>
      </w:r>
      <w:r w:rsidR="005E54A0" w:rsidRPr="0014084D">
        <w:t>discuss th</w:t>
      </w:r>
      <w:r w:rsidR="009A395F">
        <w:t>at</w:t>
      </w:r>
      <w:r w:rsidR="00DB0FD8" w:rsidRPr="0014084D">
        <w:t xml:space="preserve"> with </w:t>
      </w:r>
      <w:r w:rsidR="009A395F">
        <w:t>a</w:t>
      </w:r>
      <w:r w:rsidR="00DB0FD8" w:rsidRPr="0014084D">
        <w:t xml:space="preserve"> Special Advocate in CLOSED</w:t>
      </w:r>
      <w:r w:rsidR="005E54A0" w:rsidRPr="0014084D">
        <w:t>,</w:t>
      </w:r>
      <w:r w:rsidR="00DB0FD8" w:rsidRPr="0014084D">
        <w:t xml:space="preserve"> and </w:t>
      </w:r>
      <w:r w:rsidR="005E54A0" w:rsidRPr="0014084D">
        <w:t xml:space="preserve">also to </w:t>
      </w:r>
      <w:r w:rsidRPr="0014084D">
        <w:t>attend CLOSED hearings</w:t>
      </w:r>
      <w:r w:rsidR="00154B90" w:rsidRPr="0014084D">
        <w:t xml:space="preserve">. </w:t>
      </w:r>
      <w:r w:rsidRPr="0014084D">
        <w:t xml:space="preserve"> </w:t>
      </w:r>
    </w:p>
    <w:p w14:paraId="3BAEADD6" w14:textId="584DC795" w:rsidR="005474F7" w:rsidRPr="0014084D" w:rsidRDefault="005474F7" w:rsidP="003966DA">
      <w:pPr>
        <w:pStyle w:val="OPENmanualpara"/>
      </w:pPr>
      <w:r w:rsidRPr="0014084D">
        <w:t xml:space="preserve">As a general rule, to avoid inadvertent disclosure of CLOSED information, only SASO OPEN lawyers will communicate with the excluded party or the </w:t>
      </w:r>
      <w:r w:rsidR="00DF3CB9" w:rsidRPr="0014084D">
        <w:t>OPEN Representatives</w:t>
      </w:r>
      <w:r w:rsidRPr="0014084D">
        <w:t>. This prohibition does not apply to the lawyers who represent</w:t>
      </w:r>
      <w:r w:rsidR="00DA6166">
        <w:t xml:space="preserve"> the</w:t>
      </w:r>
      <w:r w:rsidRPr="0014084D">
        <w:t xml:space="preserve"> </w:t>
      </w:r>
      <w:r w:rsidR="00FC620D">
        <w:t>Information Owner</w:t>
      </w:r>
      <w:r w:rsidRPr="0014084D">
        <w:t xml:space="preserve">s, who are permitted to communicate with an </w:t>
      </w:r>
      <w:r w:rsidR="004D77DB" w:rsidRPr="0014084D">
        <w:t>excluded party</w:t>
      </w:r>
      <w:r w:rsidRPr="0014084D">
        <w:t xml:space="preserve"> </w:t>
      </w:r>
      <w:r w:rsidR="005E54A0" w:rsidRPr="0014084D">
        <w:t>and/</w:t>
      </w:r>
      <w:r w:rsidRPr="0014084D">
        <w:t xml:space="preserve">or their </w:t>
      </w:r>
      <w:r w:rsidR="00DF3CB9" w:rsidRPr="0014084D">
        <w:t>OPEN Representatives</w:t>
      </w:r>
      <w:r w:rsidRPr="0014084D">
        <w:t xml:space="preserve"> notwithstanding that they</w:t>
      </w:r>
      <w:r w:rsidR="005E54A0" w:rsidRPr="0014084D">
        <w:t xml:space="preserve"> too</w:t>
      </w:r>
      <w:r w:rsidRPr="0014084D">
        <w:t xml:space="preserve"> will have viewed CLOSED material. </w:t>
      </w:r>
    </w:p>
    <w:p w14:paraId="374FC51B" w14:textId="2221664E" w:rsidR="005474F7" w:rsidRPr="000D6956" w:rsidRDefault="004D77DB" w:rsidP="003966DA">
      <w:pPr>
        <w:pStyle w:val="OPENmanualpara"/>
      </w:pPr>
      <w:bookmarkStart w:id="32" w:name="_Ref524001799"/>
      <w:r w:rsidRPr="0014084D">
        <w:t>L</w:t>
      </w:r>
      <w:r w:rsidR="005474F7" w:rsidRPr="0014084D">
        <w:t xml:space="preserve">awyers representing the </w:t>
      </w:r>
      <w:r w:rsidR="00EF66A4">
        <w:t>government</w:t>
      </w:r>
      <w:r w:rsidRPr="0014084D">
        <w:t xml:space="preserve"> are also located within </w:t>
      </w:r>
      <w:r w:rsidR="0097761D">
        <w:t xml:space="preserve">the </w:t>
      </w:r>
      <w:r w:rsidR="00EF66A4" w:rsidRPr="0054300A">
        <w:t>Government Legal Department</w:t>
      </w:r>
      <w:r w:rsidR="00EF66A4">
        <w:t>, and a</w:t>
      </w:r>
      <w:r w:rsidR="005474F7" w:rsidRPr="0014084D">
        <w:t>n information barrier and ot</w:t>
      </w:r>
      <w:r w:rsidR="00EF66A4">
        <w:t xml:space="preserve">her measures exist to ensure that SASO is </w:t>
      </w:r>
      <w:r w:rsidR="005474F7" w:rsidRPr="0014084D">
        <w:t>independen</w:t>
      </w:r>
      <w:r w:rsidR="00EF66A4">
        <w:t>t</w:t>
      </w:r>
      <w:r w:rsidR="005474F7" w:rsidRPr="00277538">
        <w:t xml:space="preserve">. </w:t>
      </w:r>
      <w:r w:rsidR="00EF66A4">
        <w:t xml:space="preserve">The Supreme Court scrutinised </w:t>
      </w:r>
      <w:r w:rsidR="00EF66A4" w:rsidRPr="0014084D">
        <w:t>SASO’s role in some detail</w:t>
      </w:r>
      <w:r w:rsidR="00EF66A4" w:rsidRPr="00277538">
        <w:t xml:space="preserve"> </w:t>
      </w:r>
      <w:r w:rsidR="00EF66A4">
        <w:t>i</w:t>
      </w:r>
      <w:r w:rsidR="005474F7" w:rsidRPr="00277538">
        <w:t xml:space="preserve">n </w:t>
      </w:r>
      <w:proofErr w:type="gramStart"/>
      <w:r w:rsidR="005474F7" w:rsidRPr="00277538">
        <w:rPr>
          <w:i/>
        </w:rPr>
        <w:t>Home</w:t>
      </w:r>
      <w:proofErr w:type="gramEnd"/>
      <w:r w:rsidR="005474F7" w:rsidRPr="00277538">
        <w:rPr>
          <w:i/>
        </w:rPr>
        <w:t xml:space="preserve"> Office v Tariq </w:t>
      </w:r>
      <w:r w:rsidR="005474F7" w:rsidRPr="00277538">
        <w:t>[2011] UKSC 35</w:t>
      </w:r>
      <w:r w:rsidR="0089064F" w:rsidRPr="00277538">
        <w:rPr>
          <w:rStyle w:val="FootnoteReference"/>
        </w:rPr>
        <w:footnoteReference w:id="16"/>
      </w:r>
      <w:r w:rsidR="00784AFD" w:rsidRPr="00277538">
        <w:t xml:space="preserve">, </w:t>
      </w:r>
      <w:r w:rsidR="005474F7" w:rsidRPr="00277538">
        <w:t>at</w:t>
      </w:r>
      <w:r w:rsidR="00195F43" w:rsidRPr="00277538">
        <w:t xml:space="preserve"> paragraphs</w:t>
      </w:r>
      <w:r w:rsidR="005474F7" w:rsidRPr="00277538">
        <w:t xml:space="preserve"> </w:t>
      </w:r>
      <w:r w:rsidR="00784AFD" w:rsidRPr="00277538">
        <w:t>48-</w:t>
      </w:r>
      <w:r w:rsidR="00EF66A4">
        <w:t>54</w:t>
      </w:r>
      <w:r w:rsidR="005474F7" w:rsidRPr="0014084D">
        <w:t xml:space="preserve">. The decision endorsed the arrangements put in place to ensure a separation between SASO and </w:t>
      </w:r>
      <w:r w:rsidR="005474F7" w:rsidRPr="000D6956">
        <w:t>other government legal teams.</w:t>
      </w:r>
      <w:bookmarkEnd w:id="32"/>
    </w:p>
    <w:p w14:paraId="0A4978E6" w14:textId="77777777" w:rsidR="005474F7" w:rsidRPr="000D6956" w:rsidRDefault="005474F7" w:rsidP="0010598E">
      <w:pPr>
        <w:pStyle w:val="Heading3"/>
      </w:pPr>
      <w:bookmarkStart w:id="33" w:name="_Toc499805106"/>
      <w:bookmarkStart w:id="34" w:name="_Toc3904889"/>
      <w:r w:rsidRPr="000D6956">
        <w:t>SASO</w:t>
      </w:r>
      <w:r w:rsidR="005E54A0" w:rsidRPr="000D6956">
        <w:t>’s Role</w:t>
      </w:r>
      <w:bookmarkEnd w:id="33"/>
      <w:bookmarkEnd w:id="34"/>
    </w:p>
    <w:p w14:paraId="3FAFCC19" w14:textId="0F70DA6E" w:rsidR="005474F7" w:rsidRPr="0014084D" w:rsidRDefault="00784AFD" w:rsidP="003966DA">
      <w:pPr>
        <w:pStyle w:val="OPENmanualpara"/>
      </w:pPr>
      <w:r w:rsidRPr="000D6956">
        <w:t>T</w:t>
      </w:r>
      <w:r w:rsidR="00F106D4" w:rsidRPr="000D6956">
        <w:t>he Special</w:t>
      </w:r>
      <w:r w:rsidR="00F106D4" w:rsidRPr="0014084D">
        <w:t xml:space="preserve"> Advocate takes the </w:t>
      </w:r>
      <w:r w:rsidR="005474F7" w:rsidRPr="0014084D">
        <w:t>substantive case related and tactical decisions in a case</w:t>
      </w:r>
      <w:r w:rsidR="0089726A">
        <w:t xml:space="preserve"> (see </w:t>
      </w:r>
      <w:r w:rsidR="00892A68">
        <w:fldChar w:fldCharType="begin"/>
      </w:r>
      <w:r w:rsidR="00892A68">
        <w:instrText xml:space="preserve"> REF _Ref522700403 \r \h </w:instrText>
      </w:r>
      <w:r w:rsidR="00892A68">
        <w:fldChar w:fldCharType="separate"/>
      </w:r>
      <w:r w:rsidR="00316350">
        <w:t>43</w:t>
      </w:r>
      <w:r w:rsidR="00892A68">
        <w:fldChar w:fldCharType="end"/>
      </w:r>
      <w:r w:rsidR="00892A68">
        <w:t xml:space="preserve"> below)</w:t>
      </w:r>
      <w:r w:rsidR="005474F7" w:rsidRPr="0014084D">
        <w:t xml:space="preserve">. Once appointed, a Special Advocate may request whatever assistance they require from SASO, </w:t>
      </w:r>
      <w:r w:rsidR="00F106D4" w:rsidRPr="0014084D">
        <w:t>much as they would from an</w:t>
      </w:r>
      <w:r w:rsidR="005474F7" w:rsidRPr="0014084D">
        <w:t xml:space="preserve"> instructing solicitor. The </w:t>
      </w:r>
      <w:r w:rsidR="005E54A0" w:rsidRPr="0014084D">
        <w:t xml:space="preserve">support </w:t>
      </w:r>
      <w:r w:rsidR="005474F7" w:rsidRPr="0014084D">
        <w:t>services provided by SASO include the following:</w:t>
      </w:r>
    </w:p>
    <w:p w14:paraId="5635ABEE" w14:textId="73BDA957" w:rsidR="005474F7" w:rsidRPr="0014084D" w:rsidRDefault="0097761D" w:rsidP="009928E3">
      <w:pPr>
        <w:pStyle w:val="OPENmanualpara"/>
        <w:numPr>
          <w:ilvl w:val="1"/>
          <w:numId w:val="5"/>
        </w:numPr>
      </w:pPr>
      <w:r>
        <w:t>p</w:t>
      </w:r>
      <w:r w:rsidR="005474F7" w:rsidRPr="0014084D">
        <w:t>roviding</w:t>
      </w:r>
      <w:r w:rsidR="0089726A">
        <w:t xml:space="preserve"> an</w:t>
      </w:r>
      <w:r w:rsidR="005474F7" w:rsidRPr="0014084D">
        <w:t xml:space="preserve"> initial </w:t>
      </w:r>
      <w:r w:rsidR="0089726A">
        <w:t>briefing</w:t>
      </w:r>
      <w:r w:rsidR="005474F7" w:rsidRPr="0014084D">
        <w:t>,</w:t>
      </w:r>
      <w:r w:rsidR="0089726A">
        <w:t xml:space="preserve"> collating the </w:t>
      </w:r>
      <w:r w:rsidR="005474F7" w:rsidRPr="0014084D">
        <w:t xml:space="preserve">OPEN papers and legal </w:t>
      </w:r>
      <w:proofErr w:type="gramStart"/>
      <w:r w:rsidR="005474F7" w:rsidRPr="0014084D">
        <w:t>materials;</w:t>
      </w:r>
      <w:proofErr w:type="gramEnd"/>
    </w:p>
    <w:p w14:paraId="6411A2EC" w14:textId="6CB45075" w:rsidR="005474F7" w:rsidRPr="0014084D" w:rsidRDefault="005474F7" w:rsidP="009928E3">
      <w:pPr>
        <w:pStyle w:val="OPENmanualpara"/>
        <w:numPr>
          <w:ilvl w:val="1"/>
          <w:numId w:val="5"/>
        </w:numPr>
      </w:pPr>
      <w:r w:rsidRPr="0014084D">
        <w:t xml:space="preserve">corresponding with </w:t>
      </w:r>
      <w:r w:rsidR="0089726A">
        <w:t>the</w:t>
      </w:r>
      <w:r w:rsidRPr="0014084D">
        <w:t xml:space="preserve"> excluded party, the </w:t>
      </w:r>
      <w:r w:rsidR="00DF3CB9" w:rsidRPr="0014084D">
        <w:t>OPEN Representatives</w:t>
      </w:r>
      <w:r w:rsidRPr="0014084D">
        <w:t xml:space="preserve"> and the </w:t>
      </w:r>
      <w:r w:rsidR="00FC620D">
        <w:t>Information Owner</w:t>
      </w:r>
      <w:r w:rsidR="005E54A0" w:rsidRPr="0014084D">
        <w:t>s’</w:t>
      </w:r>
      <w:r w:rsidRPr="0014084D">
        <w:t xml:space="preserve"> representatives about case management directions, conferences, evidence, and preparation for </w:t>
      </w:r>
      <w:proofErr w:type="gramStart"/>
      <w:r w:rsidRPr="0014084D">
        <w:t>hearings;</w:t>
      </w:r>
      <w:proofErr w:type="gramEnd"/>
    </w:p>
    <w:p w14:paraId="13A4334B" w14:textId="77777777" w:rsidR="005474F7" w:rsidRPr="0014084D" w:rsidRDefault="005474F7" w:rsidP="009928E3">
      <w:pPr>
        <w:pStyle w:val="OPENmanualpara"/>
        <w:numPr>
          <w:ilvl w:val="1"/>
          <w:numId w:val="5"/>
        </w:numPr>
      </w:pPr>
      <w:r w:rsidRPr="0014084D">
        <w:lastRenderedPageBreak/>
        <w:t xml:space="preserve">attending hearings and corresponding with courts in relation to directions and other procedural </w:t>
      </w:r>
      <w:proofErr w:type="gramStart"/>
      <w:r w:rsidRPr="0014084D">
        <w:t>matters;</w:t>
      </w:r>
      <w:proofErr w:type="gramEnd"/>
    </w:p>
    <w:p w14:paraId="1D508BE1" w14:textId="2420DFF3" w:rsidR="005474F7" w:rsidRPr="0014084D" w:rsidRDefault="005E54A0" w:rsidP="009928E3">
      <w:pPr>
        <w:pStyle w:val="OPENmanualpara"/>
        <w:numPr>
          <w:ilvl w:val="1"/>
          <w:numId w:val="5"/>
        </w:numPr>
      </w:pPr>
      <w:r w:rsidRPr="0014084D">
        <w:t xml:space="preserve">corresponding with </w:t>
      </w:r>
      <w:r w:rsidR="00FC620D">
        <w:t>Information Owner</w:t>
      </w:r>
      <w:r w:rsidR="005474F7" w:rsidRPr="0014084D">
        <w:t xml:space="preserve">s and courts regarding communication </w:t>
      </w:r>
      <w:proofErr w:type="gramStart"/>
      <w:r w:rsidR="005474F7" w:rsidRPr="0014084D">
        <w:t>requests;</w:t>
      </w:r>
      <w:proofErr w:type="gramEnd"/>
    </w:p>
    <w:p w14:paraId="36130317" w14:textId="77777777" w:rsidR="005474F7" w:rsidRPr="0014084D" w:rsidRDefault="005474F7" w:rsidP="009928E3">
      <w:pPr>
        <w:pStyle w:val="OPENmanualpara"/>
        <w:numPr>
          <w:ilvl w:val="1"/>
          <w:numId w:val="5"/>
        </w:numPr>
      </w:pPr>
      <w:r w:rsidRPr="0014084D">
        <w:t>preparing CLOSED materials</w:t>
      </w:r>
      <w:r w:rsidR="000920C7" w:rsidRPr="0014084D">
        <w:t>,</w:t>
      </w:r>
      <w:r w:rsidRPr="0014084D">
        <w:t xml:space="preserve"> </w:t>
      </w:r>
      <w:r w:rsidR="00F106D4" w:rsidRPr="0014084D">
        <w:t>and</w:t>
      </w:r>
      <w:r w:rsidRPr="0014084D">
        <w:t xml:space="preserve"> filing and serving on various </w:t>
      </w:r>
      <w:proofErr w:type="gramStart"/>
      <w:r w:rsidRPr="0014084D">
        <w:t>parties;</w:t>
      </w:r>
      <w:proofErr w:type="gramEnd"/>
    </w:p>
    <w:p w14:paraId="126A66B8" w14:textId="77777777" w:rsidR="005474F7" w:rsidRPr="0014084D" w:rsidRDefault="005474F7" w:rsidP="0000383A">
      <w:pPr>
        <w:pStyle w:val="OPENmanualpara"/>
        <w:numPr>
          <w:ilvl w:val="1"/>
          <w:numId w:val="5"/>
        </w:numPr>
        <w:tabs>
          <w:tab w:val="left" w:pos="851"/>
        </w:tabs>
      </w:pPr>
      <w:r w:rsidRPr="0014084D">
        <w:t>arranging and hosting meetings for Special Advocates to discuss matters relevant to their work, including developments in the law;</w:t>
      </w:r>
      <w:r w:rsidR="0097761D">
        <w:t xml:space="preserve"> and</w:t>
      </w:r>
    </w:p>
    <w:p w14:paraId="16F360C3" w14:textId="56207A2A" w:rsidR="005474F7" w:rsidRPr="0014084D" w:rsidRDefault="0097761D" w:rsidP="009928E3">
      <w:pPr>
        <w:pStyle w:val="OPENmanualpara"/>
        <w:numPr>
          <w:ilvl w:val="1"/>
          <w:numId w:val="5"/>
        </w:numPr>
      </w:pPr>
      <w:r>
        <w:t>a</w:t>
      </w:r>
      <w:r w:rsidR="005474F7" w:rsidRPr="0014084D">
        <w:t xml:space="preserve">ssisting the wider legal and academic community with matters relating to CLOSED </w:t>
      </w:r>
      <w:r w:rsidR="00EF66A4">
        <w:t>material proceedings</w:t>
      </w:r>
      <w:r w:rsidR="005474F7" w:rsidRPr="0014084D">
        <w:t xml:space="preserve"> (including court working groups, academics</w:t>
      </w:r>
      <w:r w:rsidR="00F106D4" w:rsidRPr="0014084D">
        <w:t>,</w:t>
      </w:r>
      <w:r w:rsidR="005474F7" w:rsidRPr="0014084D">
        <w:t xml:space="preserve"> </w:t>
      </w:r>
      <w:r w:rsidR="00AF3514" w:rsidRPr="0014084D">
        <w:t xml:space="preserve">research, and discussions) </w:t>
      </w:r>
      <w:r w:rsidR="005474F7" w:rsidRPr="0014084D">
        <w:t>and lawy</w:t>
      </w:r>
      <w:r w:rsidR="00AF3514" w:rsidRPr="0014084D">
        <w:t>ers from overseas jurisdictions</w:t>
      </w:r>
      <w:r w:rsidR="005474F7" w:rsidRPr="0014084D">
        <w:t>.</w:t>
      </w:r>
    </w:p>
    <w:p w14:paraId="11D3C9FF" w14:textId="4E8B82F0" w:rsidR="005474F7" w:rsidRPr="0014084D" w:rsidRDefault="005474F7" w:rsidP="005F5CD0">
      <w:pPr>
        <w:pStyle w:val="Heading2"/>
      </w:pPr>
      <w:bookmarkStart w:id="35" w:name="_Toc499805107"/>
      <w:bookmarkStart w:id="36" w:name="_Toc3904890"/>
      <w:r w:rsidRPr="0014084D">
        <w:t xml:space="preserve">The </w:t>
      </w:r>
      <w:r w:rsidR="00152A74">
        <w:t>r</w:t>
      </w:r>
      <w:r w:rsidRPr="0014084D">
        <w:t>ole of a Special Advocate</w:t>
      </w:r>
      <w:bookmarkEnd w:id="35"/>
      <w:bookmarkEnd w:id="36"/>
    </w:p>
    <w:p w14:paraId="04F8F51C" w14:textId="53DB8184" w:rsidR="005474F7" w:rsidRPr="0014084D" w:rsidRDefault="005474F7" w:rsidP="003966DA">
      <w:pPr>
        <w:pStyle w:val="OPENmanualpara"/>
      </w:pPr>
      <w:bookmarkStart w:id="37" w:name="_Ref522700403"/>
      <w:r w:rsidRPr="0014084D">
        <w:t xml:space="preserve">The role of a Special Advocate is different to that of ordinary counsel. </w:t>
      </w:r>
      <w:r w:rsidR="00892A68">
        <w:t>B</w:t>
      </w:r>
      <w:r w:rsidRPr="0014084D">
        <w:t xml:space="preserve">y virtue of </w:t>
      </w:r>
      <w:r w:rsidR="00DB0FD8" w:rsidRPr="0014084D">
        <w:t xml:space="preserve">section </w:t>
      </w:r>
      <w:r w:rsidRPr="0014084D">
        <w:t>9(</w:t>
      </w:r>
      <w:r w:rsidR="00F44357">
        <w:t>1</w:t>
      </w:r>
      <w:r w:rsidRPr="0014084D">
        <w:t xml:space="preserve">) </w:t>
      </w:r>
      <w:r w:rsidR="00DB0FD8" w:rsidRPr="0014084D">
        <w:t xml:space="preserve">of the </w:t>
      </w:r>
      <w:r w:rsidRPr="0014084D">
        <w:t xml:space="preserve">JSA </w:t>
      </w:r>
      <w:r w:rsidR="00DB0FD8" w:rsidRPr="0014084D">
        <w:t>2013</w:t>
      </w:r>
      <w:r w:rsidR="00B56D67" w:rsidRPr="0014084D">
        <w:t>,</w:t>
      </w:r>
      <w:r w:rsidR="00DB0FD8" w:rsidRPr="0014084D">
        <w:t xml:space="preserve"> </w:t>
      </w:r>
      <w:r w:rsidRPr="0014084D">
        <w:t>a Special Advocate</w:t>
      </w:r>
      <w:r w:rsidR="00F44357">
        <w:t xml:space="preserve"> is appointed to </w:t>
      </w:r>
      <w:r w:rsidRPr="0014084D">
        <w:t xml:space="preserve">represent the </w:t>
      </w:r>
      <w:r w:rsidRPr="0014084D">
        <w:rPr>
          <w:i/>
        </w:rPr>
        <w:t>interests</w:t>
      </w:r>
      <w:r w:rsidRPr="0014084D">
        <w:t xml:space="preserve"> of the excluded party, but </w:t>
      </w:r>
      <w:r w:rsidR="00F44357">
        <w:t xml:space="preserve">pursuant to section 9(4) </w:t>
      </w:r>
      <w:r w:rsidRPr="0014084D">
        <w:t xml:space="preserve">is not </w:t>
      </w:r>
      <w:r w:rsidRPr="0014084D">
        <w:rPr>
          <w:i/>
        </w:rPr>
        <w:t>accountable</w:t>
      </w:r>
      <w:r w:rsidRPr="0014084D">
        <w:t xml:space="preserve"> to them.</w:t>
      </w:r>
      <w:r w:rsidR="00F44357">
        <w:t xml:space="preserve"> As the status of </w:t>
      </w:r>
      <w:r w:rsidR="00F44357" w:rsidRPr="00A9146D">
        <w:t>Special Advocate</w:t>
      </w:r>
      <w:r w:rsidR="00F44357">
        <w:t xml:space="preserve"> is conferred by appointment,</w:t>
      </w:r>
      <w:r w:rsidRPr="0014084D">
        <w:t xml:space="preserve"> </w:t>
      </w:r>
      <w:r w:rsidR="00F44357">
        <w:t>a</w:t>
      </w:r>
      <w:r w:rsidR="00AF3514" w:rsidRPr="0014084D">
        <w:t xml:space="preserve"> </w:t>
      </w:r>
      <w:r w:rsidRPr="0014084D">
        <w:t xml:space="preserve">Special </w:t>
      </w:r>
      <w:r w:rsidR="00F106D4" w:rsidRPr="0014084D">
        <w:t>A</w:t>
      </w:r>
      <w:r w:rsidR="00AF3514" w:rsidRPr="0014084D">
        <w:t xml:space="preserve">dvocate does not </w:t>
      </w:r>
      <w:r w:rsidRPr="0014084D">
        <w:t xml:space="preserve">“take instructions” </w:t>
      </w:r>
      <w:r w:rsidR="00F44357" w:rsidRPr="0014084D">
        <w:t>in the traditional sense</w:t>
      </w:r>
      <w:r w:rsidR="00F44357">
        <w:t xml:space="preserve">, </w:t>
      </w:r>
      <w:r w:rsidR="00892A68">
        <w:t>either from</w:t>
      </w:r>
      <w:r w:rsidR="0089064F">
        <w:t xml:space="preserve"> the </w:t>
      </w:r>
      <w:r w:rsidR="0089064F" w:rsidRPr="00A64CE5">
        <w:t>Attorney General</w:t>
      </w:r>
      <w:r w:rsidR="0089064F">
        <w:t>,</w:t>
      </w:r>
      <w:r w:rsidR="00F44357">
        <w:t xml:space="preserve"> SASO or the excluded party.</w:t>
      </w:r>
      <w:r w:rsidR="00892A68">
        <w:t xml:space="preserve"> </w:t>
      </w:r>
      <w:r w:rsidR="00F44357">
        <w:t xml:space="preserve">The </w:t>
      </w:r>
      <w:r w:rsidR="00F44357" w:rsidRPr="00A9146D">
        <w:t>Special Advocate</w:t>
      </w:r>
      <w:r w:rsidR="00F44357">
        <w:t xml:space="preserve"> thus </w:t>
      </w:r>
      <w:r w:rsidR="00B942B5" w:rsidRPr="0014084D">
        <w:t xml:space="preserve">has </w:t>
      </w:r>
      <w:r w:rsidRPr="0014084D">
        <w:t xml:space="preserve">the discretion to take any </w:t>
      </w:r>
      <w:r w:rsidR="00B942B5" w:rsidRPr="0014084D">
        <w:t>decisions that they consider to be</w:t>
      </w:r>
      <w:r w:rsidRPr="0014084D">
        <w:t xml:space="preserve"> in the excluded party’s best interests.</w:t>
      </w:r>
      <w:bookmarkEnd w:id="37"/>
      <w:r w:rsidRPr="0014084D">
        <w:t xml:space="preserve"> </w:t>
      </w:r>
    </w:p>
    <w:p w14:paraId="5DDFF2DC" w14:textId="77777777" w:rsidR="009F5FC2" w:rsidRDefault="009057EC" w:rsidP="003966DA">
      <w:pPr>
        <w:pStyle w:val="OPENmanualpara"/>
      </w:pPr>
      <w:r w:rsidRPr="00FB377F">
        <w:t xml:space="preserve">In </w:t>
      </w:r>
      <w:proofErr w:type="spellStart"/>
      <w:r w:rsidR="00C02915" w:rsidRPr="00FB377F">
        <w:rPr>
          <w:i/>
        </w:rPr>
        <w:t>Kam</w:t>
      </w:r>
      <w:r w:rsidRPr="00FB377F">
        <w:rPr>
          <w:i/>
        </w:rPr>
        <w:t>oka</w:t>
      </w:r>
      <w:proofErr w:type="spellEnd"/>
      <w:r w:rsidRPr="00FB377F">
        <w:rPr>
          <w:i/>
        </w:rPr>
        <w:t xml:space="preserve"> </w:t>
      </w:r>
      <w:r w:rsidR="0052520B" w:rsidRPr="00FB377F">
        <w:rPr>
          <w:i/>
        </w:rPr>
        <w:t xml:space="preserve">&amp; </w:t>
      </w:r>
      <w:proofErr w:type="spellStart"/>
      <w:r w:rsidR="0052520B" w:rsidRPr="00FB377F">
        <w:rPr>
          <w:i/>
        </w:rPr>
        <w:t>Ors</w:t>
      </w:r>
      <w:proofErr w:type="spellEnd"/>
      <w:r w:rsidR="0052520B" w:rsidRPr="00FB377F">
        <w:rPr>
          <w:i/>
        </w:rPr>
        <w:t xml:space="preserve"> v Security Service &amp; </w:t>
      </w:r>
      <w:proofErr w:type="spellStart"/>
      <w:r w:rsidR="0052520B" w:rsidRPr="00FB377F">
        <w:rPr>
          <w:i/>
        </w:rPr>
        <w:t>Ors</w:t>
      </w:r>
      <w:proofErr w:type="spellEnd"/>
      <w:r w:rsidR="0052520B" w:rsidRPr="00FB377F">
        <w:t xml:space="preserve"> </w:t>
      </w:r>
      <w:r w:rsidR="00892A68" w:rsidRPr="00FB377F">
        <w:t>[2016] EWHC 769 (QB)</w:t>
      </w:r>
      <w:r w:rsidR="0052520B" w:rsidRPr="00FB377F">
        <w:t xml:space="preserve"> </w:t>
      </w:r>
      <w:r w:rsidR="00724D46" w:rsidRPr="00FB377F">
        <w:t xml:space="preserve">Irwin </w:t>
      </w:r>
      <w:r w:rsidR="0052520B" w:rsidRPr="00FB377F">
        <w:t>J</w:t>
      </w:r>
      <w:r w:rsidR="00867A29" w:rsidRPr="00FB377F">
        <w:t xml:space="preserve"> (as</w:t>
      </w:r>
      <w:r w:rsidR="00867A29">
        <w:t xml:space="preserve"> he was then)</w:t>
      </w:r>
      <w:r w:rsidR="00B942B5" w:rsidRPr="009F5FC2">
        <w:t>,</w:t>
      </w:r>
      <w:r w:rsidR="0052520B" w:rsidRPr="009F5FC2">
        <w:t xml:space="preserve"> at paragraph 32</w:t>
      </w:r>
      <w:r w:rsidR="00B942B5" w:rsidRPr="009F5FC2">
        <w:t>, identified that a Special Advocate was “</w:t>
      </w:r>
      <w:r w:rsidR="0089064F">
        <w:t>…</w:t>
      </w:r>
      <w:r w:rsidR="009F5FC2" w:rsidRPr="003E38AF">
        <w:rPr>
          <w:i/>
        </w:rPr>
        <w:t xml:space="preserve">confined by statute; that although Special Advocates act in the interests of the party concerned, he or she is not “responsible to the person whose interests he is appointed to </w:t>
      </w:r>
      <w:proofErr w:type="gramStart"/>
      <w:r w:rsidR="009F5FC2" w:rsidRPr="003E38AF">
        <w:rPr>
          <w:i/>
        </w:rPr>
        <w:t>represent</w:t>
      </w:r>
      <w:r w:rsidR="009F5FC2" w:rsidRPr="009F5FC2">
        <w:t>”</w:t>
      </w:r>
      <w:r w:rsidR="0089064F">
        <w:t>…</w:t>
      </w:r>
      <w:proofErr w:type="gramEnd"/>
      <w:r w:rsidR="009F5FC2">
        <w:t>”.</w:t>
      </w:r>
      <w:r w:rsidR="00B942B5" w:rsidRPr="009F5FC2">
        <w:t xml:space="preserve"> </w:t>
      </w:r>
    </w:p>
    <w:p w14:paraId="7374CAE5" w14:textId="4F223FD6" w:rsidR="009F5FC2" w:rsidRDefault="009F5FC2" w:rsidP="003966DA">
      <w:pPr>
        <w:pStyle w:val="OPENmanualpara"/>
      </w:pPr>
      <w:r>
        <w:t xml:space="preserve">Thus, the </w:t>
      </w:r>
      <w:r w:rsidRPr="009F5FC2">
        <w:t>Special Advocate</w:t>
      </w:r>
      <w:r>
        <w:t xml:space="preserve"> </w:t>
      </w:r>
      <w:r w:rsidR="00B942B5" w:rsidRPr="009F5FC2">
        <w:t>did not represent the appellant or have a lawyer/client relationship in the usual sense</w:t>
      </w:r>
      <w:r w:rsidR="00C02915" w:rsidRPr="009F5FC2">
        <w:t xml:space="preserve"> and so no concomitant professional obligations arose. Furthermore, </w:t>
      </w:r>
      <w:r>
        <w:t xml:space="preserve">the court recognised that </w:t>
      </w:r>
      <w:r w:rsidR="00C02915" w:rsidRPr="009F5FC2">
        <w:t>once a Special Advocate had seen CLOSED</w:t>
      </w:r>
      <w:r w:rsidR="00085677">
        <w:t xml:space="preserve"> </w:t>
      </w:r>
      <w:proofErr w:type="gramStart"/>
      <w:r w:rsidR="00085677">
        <w:t>material</w:t>
      </w:r>
      <w:proofErr w:type="gramEnd"/>
      <w:r w:rsidR="00C02915" w:rsidRPr="009F5FC2">
        <w:t xml:space="preserve"> </w:t>
      </w:r>
      <w:r>
        <w:t xml:space="preserve">they </w:t>
      </w:r>
      <w:r w:rsidR="00C02915" w:rsidRPr="009F5FC2">
        <w:t xml:space="preserve">could not communicate with the party </w:t>
      </w:r>
      <w:r w:rsidR="00C02915" w:rsidRPr="009F5FC2">
        <w:lastRenderedPageBreak/>
        <w:t xml:space="preserve">whose interests </w:t>
      </w:r>
      <w:r w:rsidR="003E38AF">
        <w:t>they</w:t>
      </w:r>
      <w:r w:rsidR="00C02915" w:rsidRPr="009F5FC2">
        <w:t xml:space="preserve"> represented, save with the consent </w:t>
      </w:r>
      <w:r w:rsidR="00A44EFF" w:rsidRPr="009F5FC2">
        <w:t xml:space="preserve">of the </w:t>
      </w:r>
      <w:r w:rsidR="00FC620D">
        <w:t>Information Owner</w:t>
      </w:r>
      <w:r w:rsidR="00F44357">
        <w:t xml:space="preserve"> </w:t>
      </w:r>
      <w:r w:rsidR="00A44EFF" w:rsidRPr="009F5FC2">
        <w:t xml:space="preserve">or the court. </w:t>
      </w:r>
    </w:p>
    <w:p w14:paraId="62989F63" w14:textId="5162DD42" w:rsidR="00AF3514" w:rsidRPr="009F5FC2" w:rsidRDefault="00A44EFF" w:rsidP="003966DA">
      <w:pPr>
        <w:pStyle w:val="OPENmanualpara"/>
      </w:pPr>
      <w:r w:rsidRPr="009F5FC2">
        <w:t>Given those limitations o</w:t>
      </w:r>
      <w:r w:rsidR="00F44357">
        <w:t>f</w:t>
      </w:r>
      <w:r w:rsidRPr="009F5FC2">
        <w:t xml:space="preserve"> the role</w:t>
      </w:r>
      <w:r w:rsidR="00152A74">
        <w:t>,</w:t>
      </w:r>
      <w:r w:rsidRPr="009F5FC2">
        <w:t xml:space="preserve"> </w:t>
      </w:r>
      <w:r w:rsidR="009F5FC2">
        <w:t xml:space="preserve">the court </w:t>
      </w:r>
      <w:r w:rsidRPr="009F5FC2">
        <w:t>found that ther</w:t>
      </w:r>
      <w:r w:rsidR="00EE5CBB" w:rsidRPr="009F5FC2">
        <w:t>e could be no question of the Special Advocates having been</w:t>
      </w:r>
      <w:r w:rsidR="00E8497D">
        <w:t xml:space="preserve"> prox</w:t>
      </w:r>
      <w:r w:rsidRPr="009F5FC2">
        <w:t xml:space="preserve">ies of the appellant in their conduct of </w:t>
      </w:r>
      <w:r w:rsidR="00EE5CBB" w:rsidRPr="009F5FC2">
        <w:t xml:space="preserve">the </w:t>
      </w:r>
      <w:r w:rsidRPr="009F5FC2">
        <w:t>CLOSED proc</w:t>
      </w:r>
      <w:r w:rsidR="00EE5CBB" w:rsidRPr="009F5FC2">
        <w:t>eedings, or for that matter of being agents for the appellants.</w:t>
      </w:r>
    </w:p>
    <w:p w14:paraId="14277DE5" w14:textId="66F8DC81" w:rsidR="005474F7" w:rsidRPr="0014084D" w:rsidRDefault="00436BD1" w:rsidP="003966DA">
      <w:pPr>
        <w:pStyle w:val="OPENmanualpara"/>
      </w:pPr>
      <w:r w:rsidRPr="0014084D">
        <w:t>A</w:t>
      </w:r>
      <w:r w:rsidR="005474F7" w:rsidRPr="0014084D">
        <w:t xml:space="preserve"> Special Advocate</w:t>
      </w:r>
      <w:r w:rsidR="00456214">
        <w:t xml:space="preserve"> generally</w:t>
      </w:r>
      <w:r w:rsidR="005474F7" w:rsidRPr="0014084D">
        <w:t xml:space="preserve"> performs their task in three distinct ways:</w:t>
      </w:r>
    </w:p>
    <w:p w14:paraId="729C8EBE" w14:textId="3CD4467F" w:rsidR="00456214" w:rsidRDefault="00152A74" w:rsidP="0000383A">
      <w:pPr>
        <w:pStyle w:val="OPENmanualpara"/>
        <w:numPr>
          <w:ilvl w:val="1"/>
          <w:numId w:val="5"/>
        </w:numPr>
      </w:pPr>
      <w:r>
        <w:t>A</w:t>
      </w:r>
      <w:r w:rsidR="00B94406">
        <w:t xml:space="preserve">ttempting to open up parts of the </w:t>
      </w:r>
      <w:r w:rsidR="00B94406" w:rsidRPr="00E71929">
        <w:t>CLOSED</w:t>
      </w:r>
      <w:r w:rsidR="00B94406">
        <w:t xml:space="preserve"> material </w:t>
      </w:r>
      <w:r w:rsidR="00436BD1" w:rsidRPr="0014084D">
        <w:t>by</w:t>
      </w:r>
      <w:r w:rsidR="00456214">
        <w:t>:</w:t>
      </w:r>
      <w:r w:rsidR="00436BD1" w:rsidRPr="0014084D">
        <w:t xml:space="preserve"> </w:t>
      </w:r>
    </w:p>
    <w:p w14:paraId="10785E3F" w14:textId="354562B8" w:rsidR="00456214" w:rsidRDefault="00456214" w:rsidP="00456214">
      <w:pPr>
        <w:pStyle w:val="OPENmanualpara"/>
        <w:numPr>
          <w:ilvl w:val="2"/>
          <w:numId w:val="5"/>
        </w:numPr>
      </w:pPr>
      <w:r>
        <w:t>F</w:t>
      </w:r>
      <w:r w:rsidR="00436BD1" w:rsidRPr="0014084D">
        <w:t>irst</w:t>
      </w:r>
      <w:r>
        <w:t>ly</w:t>
      </w:r>
      <w:r w:rsidR="005474F7" w:rsidRPr="0014084D">
        <w:t>, establishing what material should properly be provided to the Special Advocate, and</w:t>
      </w:r>
      <w:r w:rsidR="00E8341C">
        <w:t xml:space="preserve"> reviewing that CLOSED material. </w:t>
      </w:r>
    </w:p>
    <w:p w14:paraId="47844D0C" w14:textId="13CDB87F" w:rsidR="00456214" w:rsidRDefault="00E8341C" w:rsidP="00456214">
      <w:pPr>
        <w:pStyle w:val="OPENmanualpara"/>
        <w:numPr>
          <w:ilvl w:val="2"/>
          <w:numId w:val="5"/>
        </w:numPr>
      </w:pPr>
      <w:r>
        <w:t>S</w:t>
      </w:r>
      <w:r w:rsidR="00F106D4" w:rsidRPr="0014084D">
        <w:t xml:space="preserve">econdly, </w:t>
      </w:r>
      <w:r w:rsidR="00B94406">
        <w:t xml:space="preserve">by negotiating </w:t>
      </w:r>
      <w:r w:rsidR="005474F7" w:rsidRPr="0014084D">
        <w:t xml:space="preserve">with the </w:t>
      </w:r>
      <w:r w:rsidR="00FC620D">
        <w:t>Information Owner</w:t>
      </w:r>
      <w:r w:rsidR="00B94406">
        <w:t xml:space="preserve"> and/or making</w:t>
      </w:r>
      <w:r w:rsidR="005474F7" w:rsidRPr="0014084D">
        <w:t xml:space="preserve"> submissions to the court as to which elements of the material should properly be disclosed to t</w:t>
      </w:r>
      <w:r w:rsidR="00A35CD1" w:rsidRPr="0014084D">
        <w:t>he excluded party and therefore form part of the</w:t>
      </w:r>
      <w:r w:rsidR="005474F7" w:rsidRPr="0014084D">
        <w:t xml:space="preserve"> OPEN case. </w:t>
      </w:r>
    </w:p>
    <w:p w14:paraId="4A15875E" w14:textId="7F6C1E76" w:rsidR="005474F7" w:rsidRPr="0014084D" w:rsidRDefault="005474F7" w:rsidP="00456214">
      <w:pPr>
        <w:pStyle w:val="OPENmanualpara"/>
        <w:numPr>
          <w:ilvl w:val="2"/>
          <w:numId w:val="5"/>
        </w:numPr>
      </w:pPr>
      <w:r w:rsidRPr="0014084D">
        <w:t xml:space="preserve">As an alternative to disclosure, the Special Advocate can request or agree that the excluded party be provided with a </w:t>
      </w:r>
      <w:r w:rsidR="00154B90" w:rsidRPr="0014084D">
        <w:t xml:space="preserve">summary or “gist” </w:t>
      </w:r>
      <w:r w:rsidRPr="0014084D">
        <w:t>of the CLOSED material in accordance with the relevant legal</w:t>
      </w:r>
      <w:r w:rsidR="00A35CD1" w:rsidRPr="0014084D">
        <w:t xml:space="preserve"> test</w:t>
      </w:r>
      <w:r w:rsidR="007F646C">
        <w:t xml:space="preserve"> (see </w:t>
      </w:r>
      <w:r w:rsidR="007F646C">
        <w:fldChar w:fldCharType="begin"/>
      </w:r>
      <w:r w:rsidR="007F646C">
        <w:instrText xml:space="preserve"> REF _Ref2173379 \h </w:instrText>
      </w:r>
      <w:r w:rsidR="007F646C">
        <w:fldChar w:fldCharType="separate"/>
      </w:r>
      <w:r w:rsidR="00316350">
        <w:t>Part V – Disclosure</w:t>
      </w:r>
      <w:r w:rsidR="007F646C">
        <w:fldChar w:fldCharType="end"/>
      </w:r>
      <w:r w:rsidR="007F646C">
        <w:t>)</w:t>
      </w:r>
      <w:r w:rsidRPr="0014084D">
        <w:t xml:space="preserve">.  </w:t>
      </w:r>
    </w:p>
    <w:p w14:paraId="36F6FE6F" w14:textId="3103157E" w:rsidR="005474F7" w:rsidRPr="0014084D" w:rsidRDefault="00152A74" w:rsidP="0000383A">
      <w:pPr>
        <w:pStyle w:val="OPENmanualpara"/>
        <w:numPr>
          <w:ilvl w:val="1"/>
          <w:numId w:val="5"/>
        </w:numPr>
      </w:pPr>
      <w:r>
        <w:t>R</w:t>
      </w:r>
      <w:r w:rsidR="005474F7" w:rsidRPr="0014084D">
        <w:t xml:space="preserve">epresenting the excluded party’s interests in </w:t>
      </w:r>
      <w:r w:rsidR="007F646C">
        <w:t xml:space="preserve">the </w:t>
      </w:r>
      <w:r w:rsidR="005474F7" w:rsidRPr="0014084D">
        <w:t xml:space="preserve">CLOSED </w:t>
      </w:r>
      <w:r w:rsidR="007F646C">
        <w:t xml:space="preserve">proceedings </w:t>
      </w:r>
      <w:r w:rsidR="000B0616">
        <w:t>(</w:t>
      </w:r>
      <w:proofErr w:type="gramStart"/>
      <w:r w:rsidR="007F646C">
        <w:t>e.g</w:t>
      </w:r>
      <w:r w:rsidR="000B0616">
        <w:t>.</w:t>
      </w:r>
      <w:proofErr w:type="gramEnd"/>
      <w:r w:rsidR="000B0616">
        <w:t xml:space="preserve"> </w:t>
      </w:r>
      <w:r w:rsidR="005474F7" w:rsidRPr="0014084D">
        <w:t xml:space="preserve">by challenging the CLOSED case and </w:t>
      </w:r>
      <w:r w:rsidR="007F646C">
        <w:t xml:space="preserve">testing the </w:t>
      </w:r>
      <w:r w:rsidR="007F646C" w:rsidRPr="00E71929">
        <w:t>CLOSED</w:t>
      </w:r>
      <w:r w:rsidR="007F646C">
        <w:t xml:space="preserve"> evidence</w:t>
      </w:r>
      <w:r w:rsidR="000B0616">
        <w:t>)</w:t>
      </w:r>
      <w:r w:rsidR="005474F7" w:rsidRPr="0014084D">
        <w:t>.</w:t>
      </w:r>
    </w:p>
    <w:p w14:paraId="3C8BC7A2" w14:textId="363B938D" w:rsidR="005474F7" w:rsidRPr="0014084D" w:rsidRDefault="00152A74" w:rsidP="0000383A">
      <w:pPr>
        <w:pStyle w:val="OPENmanualpara"/>
        <w:numPr>
          <w:ilvl w:val="1"/>
          <w:numId w:val="5"/>
        </w:numPr>
      </w:pPr>
      <w:r>
        <w:t>P</w:t>
      </w:r>
      <w:r w:rsidR="005474F7" w:rsidRPr="0014084D">
        <w:t>otentially saying nothing at all or declining to take part in proceedings. This may appear surprising and suggest a failure to perform their role, but circumstances have arisen where this has been considered to be in the excluded party’s interest.</w:t>
      </w:r>
      <w:r w:rsidR="005474F7" w:rsidRPr="00EB567A">
        <w:rPr>
          <w:rStyle w:val="FootnoteReference"/>
          <w:smallCaps/>
        </w:rPr>
        <w:footnoteReference w:id="17"/>
      </w:r>
    </w:p>
    <w:p w14:paraId="59766D7D" w14:textId="77777777" w:rsidR="005474F7" w:rsidRPr="0014084D" w:rsidRDefault="005474F7" w:rsidP="005F5CD0">
      <w:pPr>
        <w:pStyle w:val="Heading2"/>
      </w:pPr>
      <w:bookmarkStart w:id="38" w:name="_Toc499805108"/>
      <w:bookmarkStart w:id="39" w:name="_Toc3904891"/>
      <w:r w:rsidRPr="0014084D">
        <w:t>Tainting</w:t>
      </w:r>
      <w:bookmarkEnd w:id="38"/>
      <w:bookmarkEnd w:id="39"/>
      <w:r w:rsidRPr="0014084D">
        <w:t xml:space="preserve"> </w:t>
      </w:r>
    </w:p>
    <w:p w14:paraId="2F5333DF" w14:textId="0CBACA4D" w:rsidR="005474F7" w:rsidRPr="0014084D" w:rsidRDefault="005474F7" w:rsidP="003966DA">
      <w:pPr>
        <w:pStyle w:val="OPENmanualpara"/>
      </w:pPr>
      <w:bookmarkStart w:id="40" w:name="_Ref469928463"/>
      <w:r w:rsidRPr="0014084D">
        <w:t xml:space="preserve">Tainting is a consideration that is unique to CLOSED </w:t>
      </w:r>
      <w:r w:rsidR="00456214">
        <w:t>proceedings</w:t>
      </w:r>
      <w:r w:rsidRPr="0014084D">
        <w:t xml:space="preserve">. </w:t>
      </w:r>
      <w:bookmarkEnd w:id="40"/>
      <w:r w:rsidR="00456214">
        <w:t xml:space="preserve">Tainting (or being “Tainted”) describes the </w:t>
      </w:r>
      <w:r w:rsidRPr="0014084D">
        <w:t xml:space="preserve">risk </w:t>
      </w:r>
      <w:r w:rsidR="00456214">
        <w:t xml:space="preserve">that </w:t>
      </w:r>
      <w:r w:rsidRPr="0014084D">
        <w:t xml:space="preserve">a Special Advocate with knowledge of </w:t>
      </w:r>
      <w:r w:rsidR="00A35CD1" w:rsidRPr="0014084D">
        <w:t>certain</w:t>
      </w:r>
      <w:r w:rsidR="0075347B">
        <w:t xml:space="preserve"> </w:t>
      </w:r>
      <w:r w:rsidR="0075347B" w:rsidRPr="00E71929">
        <w:t>CLOSED</w:t>
      </w:r>
      <w:r w:rsidR="00A35CD1" w:rsidRPr="0014084D">
        <w:t xml:space="preserve"> information</w:t>
      </w:r>
      <w:r w:rsidR="00D5078F">
        <w:t xml:space="preserve"> derived from</w:t>
      </w:r>
      <w:r w:rsidR="0075347B">
        <w:t xml:space="preserve"> reading into</w:t>
      </w:r>
      <w:r w:rsidR="00D5078F">
        <w:t xml:space="preserve"> one case</w:t>
      </w:r>
      <w:r w:rsidR="00A35CD1" w:rsidRPr="0014084D">
        <w:t xml:space="preserve"> </w:t>
      </w:r>
      <w:r w:rsidRPr="0014084D">
        <w:t xml:space="preserve">might </w:t>
      </w:r>
      <w:r w:rsidRPr="0014084D">
        <w:lastRenderedPageBreak/>
        <w:t>inadvertently disclose</w:t>
      </w:r>
      <w:r w:rsidR="00A35CD1" w:rsidRPr="0014084D">
        <w:t xml:space="preserve"> it</w:t>
      </w:r>
      <w:r w:rsidR="00D5078F">
        <w:t xml:space="preserve"> to the </w:t>
      </w:r>
      <w:r w:rsidR="00D97ABE">
        <w:t>excluded party or</w:t>
      </w:r>
      <w:r w:rsidR="00456214">
        <w:t xml:space="preserve"> the</w:t>
      </w:r>
      <w:r w:rsidR="00D97ABE">
        <w:t xml:space="preserve"> OPEN Representatives</w:t>
      </w:r>
      <w:r w:rsidR="00D5078F">
        <w:t xml:space="preserve"> in another</w:t>
      </w:r>
      <w:r w:rsidR="0075347B">
        <w:t xml:space="preserve"> case</w:t>
      </w:r>
      <w:r w:rsidR="00265C96" w:rsidRPr="0014084D">
        <w:t>.</w:t>
      </w:r>
    </w:p>
    <w:p w14:paraId="25F9B539" w14:textId="649C13BC" w:rsidR="005474F7" w:rsidRPr="0014084D" w:rsidRDefault="0075347B" w:rsidP="003966DA">
      <w:pPr>
        <w:pStyle w:val="OPENmanualpara"/>
      </w:pPr>
      <w:r>
        <w:t>To prevent this from occurring, w</w:t>
      </w:r>
      <w:r w:rsidR="005474F7" w:rsidRPr="0014084D">
        <w:t xml:space="preserve">hen the excluded party or his OPEN representative </w:t>
      </w:r>
      <w:r w:rsidR="00556113" w:rsidRPr="0014084D">
        <w:t>request a</w:t>
      </w:r>
      <w:r>
        <w:t xml:space="preserve"> particular</w:t>
      </w:r>
      <w:r w:rsidR="00556113" w:rsidRPr="0014084D">
        <w:t xml:space="preserve"> </w:t>
      </w:r>
      <w:r w:rsidR="005474F7" w:rsidRPr="0014084D">
        <w:t xml:space="preserve">Special Advocate, </w:t>
      </w:r>
      <w:r w:rsidR="00C46E89" w:rsidRPr="0014084D">
        <w:t xml:space="preserve">SASO will ask </w:t>
      </w:r>
      <w:r w:rsidR="005474F7" w:rsidRPr="0014084D">
        <w:t xml:space="preserve">the </w:t>
      </w:r>
      <w:r w:rsidR="00FC620D">
        <w:t>Information Owner</w:t>
      </w:r>
      <w:r w:rsidR="00C46E89" w:rsidRPr="0014084D">
        <w:t xml:space="preserve"> to perform</w:t>
      </w:r>
      <w:r w:rsidR="005474F7" w:rsidRPr="0014084D">
        <w:t xml:space="preserve"> </w:t>
      </w:r>
      <w:r w:rsidR="00C46E89" w:rsidRPr="0014084D">
        <w:t xml:space="preserve">a ‘tainting check’ </w:t>
      </w:r>
      <w:r w:rsidR="005474F7" w:rsidRPr="0014084D">
        <w:t xml:space="preserve">before the appointment </w:t>
      </w:r>
      <w:r w:rsidR="00C46E89" w:rsidRPr="0014084D">
        <w:t xml:space="preserve">is </w:t>
      </w:r>
      <w:r w:rsidR="005474F7" w:rsidRPr="0014084D">
        <w:t>sought</w:t>
      </w:r>
      <w:r w:rsidR="00556113" w:rsidRPr="0014084D">
        <w:t xml:space="preserve"> from the Law </w:t>
      </w:r>
      <w:r w:rsidR="00C14671">
        <w:t>O</w:t>
      </w:r>
      <w:r w:rsidR="00556113" w:rsidRPr="0014084D">
        <w:t>fficers</w:t>
      </w:r>
      <w:r w:rsidR="005474F7" w:rsidRPr="0014084D">
        <w:t xml:space="preserve">. </w:t>
      </w:r>
    </w:p>
    <w:p w14:paraId="77AA22EC" w14:textId="781B4A9B" w:rsidR="005474F7" w:rsidRPr="0014084D" w:rsidRDefault="005474F7" w:rsidP="003966DA">
      <w:pPr>
        <w:pStyle w:val="OPENmanualpara"/>
      </w:pPr>
      <w:r w:rsidRPr="0014084D">
        <w:t xml:space="preserve">Where an </w:t>
      </w:r>
      <w:r w:rsidR="00FC620D">
        <w:t>Information Owner</w:t>
      </w:r>
      <w:r w:rsidRPr="0014084D">
        <w:t xml:space="preserve"> asserts that a Special Advocate is tainted, they will inform SASO and provide reasons. SASO will then check the basis for the </w:t>
      </w:r>
      <w:r w:rsidR="00903EFD">
        <w:t>assertion</w:t>
      </w:r>
      <w:r w:rsidRPr="0014084D">
        <w:t xml:space="preserve"> to ensure that no administrative</w:t>
      </w:r>
      <w:r w:rsidR="007934E6" w:rsidRPr="0014084D">
        <w:t xml:space="preserve"> </w:t>
      </w:r>
      <w:r w:rsidR="0075347B">
        <w:t>error has occurred.</w:t>
      </w:r>
    </w:p>
    <w:p w14:paraId="550AA20F" w14:textId="7DA1C59D" w:rsidR="005474F7" w:rsidRPr="0014084D" w:rsidRDefault="005474F7" w:rsidP="003966DA">
      <w:pPr>
        <w:pStyle w:val="OPENmanualpara"/>
      </w:pPr>
      <w:r w:rsidRPr="0014084D">
        <w:t xml:space="preserve">Where SASO and/or the Special Advocate do not accept the </w:t>
      </w:r>
      <w:r w:rsidR="00FC620D">
        <w:t>Information Owner</w:t>
      </w:r>
      <w:r w:rsidR="00C14671" w:rsidRPr="0014084D">
        <w:t xml:space="preserve">’s </w:t>
      </w:r>
      <w:r w:rsidRPr="0014084D">
        <w:t xml:space="preserve">assertion, </w:t>
      </w:r>
      <w:r w:rsidR="00161F93">
        <w:t>SASO will request a review</w:t>
      </w:r>
      <w:r w:rsidRPr="0014084D">
        <w:t xml:space="preserve">. </w:t>
      </w:r>
      <w:r w:rsidR="00330B01">
        <w:t>To the extent that it is possible to do so, a</w:t>
      </w:r>
      <w:r w:rsidRPr="0014084D">
        <w:t xml:space="preserve">n indication </w:t>
      </w:r>
      <w:r w:rsidR="00330B01">
        <w:t xml:space="preserve">of the </w:t>
      </w:r>
      <w:r w:rsidRPr="0014084D">
        <w:t xml:space="preserve">reasons </w:t>
      </w:r>
      <w:r w:rsidR="00330B01">
        <w:t xml:space="preserve">that a </w:t>
      </w:r>
      <w:r w:rsidR="00330B01" w:rsidRPr="00A9146D">
        <w:t>Special Advocate</w:t>
      </w:r>
      <w:r w:rsidR="00330B01">
        <w:t xml:space="preserve"> is considered to be tainted will </w:t>
      </w:r>
      <w:r w:rsidRPr="0014084D">
        <w:t>be shared</w:t>
      </w:r>
      <w:r w:rsidR="00C46E89" w:rsidRPr="0014084D">
        <w:t xml:space="preserve"> with the Special Advocate</w:t>
      </w:r>
      <w:r w:rsidR="00C14671">
        <w:t>,</w:t>
      </w:r>
      <w:r w:rsidR="00C46E89" w:rsidRPr="0014084D">
        <w:t xml:space="preserve"> </w:t>
      </w:r>
      <w:r w:rsidRPr="0014084D">
        <w:t xml:space="preserve">the excluded </w:t>
      </w:r>
      <w:proofErr w:type="gramStart"/>
      <w:r w:rsidRPr="0014084D">
        <w:t>party</w:t>
      </w:r>
      <w:proofErr w:type="gramEnd"/>
      <w:r w:rsidR="00C14671">
        <w:t xml:space="preserve"> and the </w:t>
      </w:r>
      <w:r w:rsidR="0075347B" w:rsidRPr="00E71929">
        <w:t>OPEN</w:t>
      </w:r>
      <w:r w:rsidR="00C14671">
        <w:t xml:space="preserve"> Representatives.</w:t>
      </w:r>
    </w:p>
    <w:p w14:paraId="13F7E9B3" w14:textId="52956335" w:rsidR="00265C96" w:rsidRPr="0014084D" w:rsidRDefault="00CF1A51" w:rsidP="003966DA">
      <w:pPr>
        <w:pStyle w:val="OPENmanualpara"/>
      </w:pPr>
      <w:r>
        <w:t>If an internal review does not resolve the question of tainting, d</w:t>
      </w:r>
      <w:r w:rsidR="00330B01">
        <w:t>isputed cases can ultimately be escalated to the Attorney General’s Office</w:t>
      </w:r>
      <w:r w:rsidR="00330B01" w:rsidRPr="0014084D">
        <w:t xml:space="preserve">. </w:t>
      </w:r>
      <w:r w:rsidR="005474F7" w:rsidRPr="0014084D">
        <w:t xml:space="preserve">The Attorney General will then make a final determination on the tainting issue and notify the interested parties accordingly. Ultimately, the Attorney General has the final say, as with </w:t>
      </w:r>
      <w:r w:rsidR="00463CC9">
        <w:t xml:space="preserve">appointments </w:t>
      </w:r>
      <w:r w:rsidR="005474F7" w:rsidRPr="0014084D">
        <w:t>more generally.</w:t>
      </w:r>
    </w:p>
    <w:p w14:paraId="28CD401C" w14:textId="77777777" w:rsidR="005474F7" w:rsidRPr="0014084D" w:rsidRDefault="005474F7" w:rsidP="003966DA">
      <w:pPr>
        <w:pStyle w:val="OPENmanualpara"/>
      </w:pPr>
      <w:r w:rsidRPr="0014084D">
        <w:t>The fact that a Special Advocate is considered to be tainted for a particular case does not prevent them</w:t>
      </w:r>
      <w:r w:rsidR="00A35CD1" w:rsidRPr="0014084D">
        <w:t xml:space="preserve"> from being </w:t>
      </w:r>
      <w:r w:rsidRPr="0014084D">
        <w:t>app</w:t>
      </w:r>
      <w:r w:rsidR="00A35CD1" w:rsidRPr="0014084D">
        <w:t xml:space="preserve">ointed. </w:t>
      </w:r>
      <w:r w:rsidR="009F5FC2">
        <w:t xml:space="preserve">The consequence of being tainted is that </w:t>
      </w:r>
      <w:r w:rsidRPr="0014084D">
        <w:t>that the</w:t>
      </w:r>
      <w:r w:rsidR="009F5FC2">
        <w:t xml:space="preserve"> </w:t>
      </w:r>
      <w:r w:rsidR="009F5FC2" w:rsidRPr="009F5FC2">
        <w:t>Special Advocate</w:t>
      </w:r>
      <w:r w:rsidRPr="0014084D">
        <w:t xml:space="preserve"> cannot meet the excluded party, and effectively ha</w:t>
      </w:r>
      <w:r w:rsidR="009F5FC2">
        <w:t>s</w:t>
      </w:r>
      <w:r w:rsidRPr="0014084D">
        <w:t xml:space="preserve"> to move straight into CLOSED. If this does not present a problem for the excluded party and the </w:t>
      </w:r>
      <w:r w:rsidR="00DF3CB9" w:rsidRPr="0014084D">
        <w:t xml:space="preserve">OPEN </w:t>
      </w:r>
      <w:proofErr w:type="gramStart"/>
      <w:r w:rsidR="00DF3CB9" w:rsidRPr="0014084D">
        <w:t>Representatives</w:t>
      </w:r>
      <w:proofErr w:type="gramEnd"/>
      <w:r w:rsidRPr="0014084D">
        <w:t xml:space="preserve"> then there will normally be no objection to the </w:t>
      </w:r>
      <w:r w:rsidR="0051053A" w:rsidRPr="0014084D">
        <w:t>appointment</w:t>
      </w:r>
      <w:r w:rsidRPr="0014084D">
        <w:t xml:space="preserve">. </w:t>
      </w:r>
    </w:p>
    <w:p w14:paraId="652141F8" w14:textId="77777777" w:rsidR="005474F7" w:rsidRPr="0014084D" w:rsidRDefault="005474F7" w:rsidP="003966DA">
      <w:pPr>
        <w:pStyle w:val="OPENmanualpara"/>
      </w:pPr>
      <w:bookmarkStart w:id="41" w:name="_Ref469580642"/>
      <w:r w:rsidRPr="0014084D">
        <w:t xml:space="preserve">This position can be managed in cases where there are two Special Advocates, since at least one is usually not tainted at the outset of a case and therefore is able to communicate freely with the excluded party and </w:t>
      </w:r>
      <w:r w:rsidR="00DF3CB9" w:rsidRPr="0014084D">
        <w:t>OPEN Representatives</w:t>
      </w:r>
      <w:r w:rsidRPr="0014084D">
        <w:t>.</w:t>
      </w:r>
      <w:bookmarkEnd w:id="41"/>
      <w:r w:rsidRPr="0014084D">
        <w:t xml:space="preserve"> </w:t>
      </w:r>
    </w:p>
    <w:p w14:paraId="47ECB217" w14:textId="77777777" w:rsidR="005474F7" w:rsidRPr="0014084D" w:rsidRDefault="005474F7" w:rsidP="005F5CD0">
      <w:pPr>
        <w:pStyle w:val="Heading2"/>
      </w:pPr>
      <w:bookmarkStart w:id="42" w:name="_Toc499805109"/>
      <w:bookmarkStart w:id="43" w:name="_Toc3904892"/>
      <w:r w:rsidRPr="0014084D">
        <w:lastRenderedPageBreak/>
        <w:t>Conflicts of interest</w:t>
      </w:r>
      <w:bookmarkEnd w:id="42"/>
      <w:bookmarkEnd w:id="43"/>
    </w:p>
    <w:p w14:paraId="5E7904E1" w14:textId="70A8D02E" w:rsidR="005474F7" w:rsidRPr="0014084D" w:rsidRDefault="005474F7" w:rsidP="003966DA">
      <w:pPr>
        <w:pStyle w:val="OPENmanualpara"/>
      </w:pPr>
      <w:r w:rsidRPr="0014084D">
        <w:t xml:space="preserve">Where an </w:t>
      </w:r>
      <w:r w:rsidR="00FC620D">
        <w:t>Information Owner</w:t>
      </w:r>
      <w:r w:rsidRPr="0014084D">
        <w:t xml:space="preserve"> asserts that a Special Advocate cannot b</w:t>
      </w:r>
      <w:r w:rsidR="0051053A" w:rsidRPr="0014084D">
        <w:t>e considered for nomination</w:t>
      </w:r>
      <w:r w:rsidRPr="0014084D">
        <w:t xml:space="preserve"> due to a conflict of interest, they will provide reasons for reaching this decision. The Special Advocate will then take a view bearing in mind their pro</w:t>
      </w:r>
      <w:r w:rsidR="00A35CD1" w:rsidRPr="0014084D">
        <w:t>fessional duties and obligations more generally</w:t>
      </w:r>
      <w:r w:rsidRPr="0014084D">
        <w:t xml:space="preserve">. </w:t>
      </w:r>
    </w:p>
    <w:p w14:paraId="63BD147C" w14:textId="26A2DD47" w:rsidR="005474F7" w:rsidRPr="0014084D" w:rsidRDefault="005474F7" w:rsidP="003966DA">
      <w:pPr>
        <w:pStyle w:val="OPENmanualpara"/>
      </w:pPr>
      <w:r w:rsidRPr="0014084D">
        <w:t xml:space="preserve">If the Special Advocate believes that there is no conflict of </w:t>
      </w:r>
      <w:proofErr w:type="gramStart"/>
      <w:r w:rsidRPr="0014084D">
        <w:t>interest</w:t>
      </w:r>
      <w:proofErr w:type="gramEnd"/>
      <w:r w:rsidRPr="0014084D">
        <w:t xml:space="preserve"> </w:t>
      </w:r>
      <w:r w:rsidR="002615C8">
        <w:t xml:space="preserve">then </w:t>
      </w:r>
      <w:r w:rsidRPr="0014084D">
        <w:t xml:space="preserve">the </w:t>
      </w:r>
      <w:r w:rsidR="00FC620D">
        <w:t>Information Owner</w:t>
      </w:r>
      <w:r w:rsidRPr="0014084D">
        <w:t xml:space="preserve"> may raise the issue with the Bar Council</w:t>
      </w:r>
      <w:r w:rsidRPr="0014084D">
        <w:rPr>
          <w:rStyle w:val="FootnoteReference"/>
        </w:rPr>
        <w:footnoteReference w:id="18"/>
      </w:r>
      <w:r w:rsidRPr="0014084D">
        <w:t xml:space="preserve"> for determination. </w:t>
      </w:r>
    </w:p>
    <w:p w14:paraId="67C7D6B3" w14:textId="77777777" w:rsidR="00FB377F" w:rsidRDefault="00FB377F" w:rsidP="005F5CD0">
      <w:pPr>
        <w:pStyle w:val="Heading1"/>
        <w:sectPr w:rsidR="00FB377F" w:rsidSect="009F09E8">
          <w:headerReference w:type="even" r:id="rId33"/>
          <w:headerReference w:type="default" r:id="rId34"/>
          <w:headerReference w:type="first" r:id="rId35"/>
          <w:pgSz w:w="11906" w:h="16838" w:code="9"/>
          <w:pgMar w:top="1440" w:right="1440" w:bottom="851" w:left="1440" w:header="709" w:footer="170" w:gutter="0"/>
          <w:cols w:space="708"/>
          <w:docGrid w:linePitch="360"/>
        </w:sectPr>
      </w:pPr>
      <w:bookmarkStart w:id="44" w:name="_Toc499805110"/>
    </w:p>
    <w:p w14:paraId="78848251" w14:textId="6D976062" w:rsidR="005474F7" w:rsidRPr="0014084D" w:rsidRDefault="00BE70C5" w:rsidP="005F5CD0">
      <w:pPr>
        <w:pStyle w:val="Heading1"/>
      </w:pPr>
      <w:bookmarkStart w:id="45" w:name="_Ref522713156"/>
      <w:bookmarkStart w:id="46" w:name="_Ref522713210"/>
      <w:bookmarkStart w:id="47" w:name="_Ref522713215"/>
      <w:bookmarkStart w:id="48" w:name="_Ref522713231"/>
      <w:bookmarkStart w:id="49" w:name="_Ref522713248"/>
      <w:bookmarkStart w:id="50" w:name="_Ref522713256"/>
      <w:bookmarkStart w:id="51" w:name="_Ref522713261"/>
      <w:bookmarkStart w:id="52" w:name="_Ref522713265"/>
      <w:bookmarkStart w:id="53" w:name="_Toc3904893"/>
      <w:r>
        <w:lastRenderedPageBreak/>
        <w:t xml:space="preserve">Part IV - </w:t>
      </w:r>
      <w:bookmarkStart w:id="54" w:name="Part4"/>
      <w:r w:rsidR="00FB377F">
        <w:t xml:space="preserve">The Typical Format of CLOSED </w:t>
      </w:r>
      <w:bookmarkEnd w:id="44"/>
      <w:bookmarkEnd w:id="45"/>
      <w:bookmarkEnd w:id="46"/>
      <w:bookmarkEnd w:id="47"/>
      <w:bookmarkEnd w:id="48"/>
      <w:bookmarkEnd w:id="49"/>
      <w:bookmarkEnd w:id="50"/>
      <w:bookmarkEnd w:id="51"/>
      <w:bookmarkEnd w:id="52"/>
      <w:r w:rsidR="00FC620D">
        <w:t>proceedings</w:t>
      </w:r>
      <w:bookmarkEnd w:id="53"/>
      <w:bookmarkEnd w:id="54"/>
    </w:p>
    <w:p w14:paraId="0E884FD8" w14:textId="3F623489" w:rsidR="005474F7" w:rsidRPr="0014084D" w:rsidRDefault="005474F7" w:rsidP="005F5CD0">
      <w:pPr>
        <w:pStyle w:val="Heading2"/>
      </w:pPr>
      <w:bookmarkStart w:id="55" w:name="_Toc499805111"/>
      <w:bookmarkStart w:id="56" w:name="_Toc3904894"/>
      <w:r w:rsidRPr="0014084D">
        <w:t xml:space="preserve">Conference with the </w:t>
      </w:r>
      <w:r w:rsidR="002615C8">
        <w:t>E</w:t>
      </w:r>
      <w:r w:rsidR="004A249F">
        <w:t xml:space="preserve">xcluded </w:t>
      </w:r>
      <w:r w:rsidR="002615C8">
        <w:t>P</w:t>
      </w:r>
      <w:r w:rsidR="004A249F">
        <w:t>arty</w:t>
      </w:r>
      <w:r w:rsidR="004A249F" w:rsidRPr="0014084D">
        <w:t xml:space="preserve"> </w:t>
      </w:r>
      <w:r w:rsidRPr="0014084D">
        <w:t xml:space="preserve">and </w:t>
      </w:r>
      <w:r w:rsidR="002615C8">
        <w:t xml:space="preserve">the </w:t>
      </w:r>
      <w:r w:rsidR="00DF3CB9" w:rsidRPr="0014084D">
        <w:t>OPEN Representatives</w:t>
      </w:r>
      <w:bookmarkEnd w:id="55"/>
      <w:bookmarkEnd w:id="56"/>
    </w:p>
    <w:p w14:paraId="1E6BD309" w14:textId="75F26C72" w:rsidR="005474F7" w:rsidRPr="0014084D" w:rsidRDefault="005474F7" w:rsidP="003966DA">
      <w:pPr>
        <w:pStyle w:val="OPENmanualpara"/>
      </w:pPr>
      <w:r w:rsidRPr="0014084D">
        <w:t xml:space="preserve">Once </w:t>
      </w:r>
      <w:r w:rsidR="009F5FC2">
        <w:t xml:space="preserve">a </w:t>
      </w:r>
      <w:r w:rsidR="009F5FC2" w:rsidRPr="009F5FC2">
        <w:t>Special Advocate</w:t>
      </w:r>
      <w:r w:rsidR="009F5FC2">
        <w:t xml:space="preserve"> is </w:t>
      </w:r>
      <w:r w:rsidRPr="0014084D">
        <w:t xml:space="preserve">appointed, and </w:t>
      </w:r>
      <w:r w:rsidR="009F5FC2">
        <w:t xml:space="preserve">has </w:t>
      </w:r>
      <w:r w:rsidR="00A35CD1" w:rsidRPr="0014084D">
        <w:t>review</w:t>
      </w:r>
      <w:r w:rsidR="009F5FC2">
        <w:t>ed</w:t>
      </w:r>
      <w:r w:rsidR="00A35CD1" w:rsidRPr="0014084D">
        <w:t xml:space="preserve"> the OPEN material, a Special Advocate</w:t>
      </w:r>
      <w:r w:rsidR="00C03060">
        <w:t xml:space="preserve"> and </w:t>
      </w:r>
      <w:r w:rsidR="00C03060" w:rsidRPr="0014084D">
        <w:t>a member of SASO OPEN</w:t>
      </w:r>
      <w:r w:rsidRPr="0014084D">
        <w:t xml:space="preserve"> </w:t>
      </w:r>
      <w:r w:rsidR="009F5FC2">
        <w:t>will usually</w:t>
      </w:r>
      <w:r w:rsidR="00FE72B3" w:rsidRPr="0014084D">
        <w:t xml:space="preserve"> </w:t>
      </w:r>
      <w:r w:rsidRPr="0014084D">
        <w:t>have a conference with the excluded party and</w:t>
      </w:r>
      <w:r w:rsidR="00BC37DE">
        <w:t>/or</w:t>
      </w:r>
      <w:r w:rsidRPr="0014084D">
        <w:t xml:space="preserve"> </w:t>
      </w:r>
      <w:r w:rsidR="001E07DA">
        <w:t>O</w:t>
      </w:r>
      <w:r w:rsidR="00DF3CB9" w:rsidRPr="0014084D">
        <w:t>PEN Representatives</w:t>
      </w:r>
      <w:r w:rsidR="001E07DA">
        <w:t xml:space="preserve">. </w:t>
      </w:r>
      <w:r w:rsidR="002615C8">
        <w:t>It is no</w:t>
      </w:r>
      <w:r w:rsidR="00E8497D">
        <w:t>t</w:t>
      </w:r>
      <w:r w:rsidR="002615C8">
        <w:t xml:space="preserve"> unheard of for the </w:t>
      </w:r>
      <w:r w:rsidR="002615C8" w:rsidRPr="00E71929">
        <w:t>OPEN</w:t>
      </w:r>
      <w:r w:rsidR="002615C8">
        <w:t xml:space="preserve"> conference to be held abroad.</w:t>
      </w:r>
    </w:p>
    <w:p w14:paraId="298BB146" w14:textId="77777777" w:rsidR="005474F7" w:rsidRPr="0014084D" w:rsidRDefault="005474F7" w:rsidP="005F5CD0">
      <w:pPr>
        <w:pStyle w:val="Heading2"/>
      </w:pPr>
      <w:bookmarkStart w:id="57" w:name="_Toc499805112"/>
      <w:bookmarkStart w:id="58" w:name="_Toc3904895"/>
      <w:r w:rsidRPr="0014084D">
        <w:t>Service of OPEN material</w:t>
      </w:r>
      <w:bookmarkEnd w:id="57"/>
      <w:bookmarkEnd w:id="58"/>
    </w:p>
    <w:p w14:paraId="6F1C9C53" w14:textId="62D44296" w:rsidR="005474F7" w:rsidRPr="0014084D" w:rsidRDefault="005474F7" w:rsidP="003966DA">
      <w:pPr>
        <w:pStyle w:val="OPENmanualpara"/>
      </w:pPr>
      <w:r w:rsidRPr="0014084D">
        <w:t>Depending on the proce</w:t>
      </w:r>
      <w:r w:rsidR="0051053A" w:rsidRPr="0014084D">
        <w:t>dural requirements which apply</w:t>
      </w:r>
      <w:r w:rsidR="002615C8">
        <w:t xml:space="preserve"> to the case,</w:t>
      </w:r>
      <w:r w:rsidRPr="0014084D">
        <w:t xml:space="preserve"> there will then be an exchange of OPEN evidence and witness statements between the excluded party and the </w:t>
      </w:r>
      <w:r w:rsidR="00FC620D">
        <w:t>Information Owner</w:t>
      </w:r>
      <w:r w:rsidRPr="0014084D">
        <w:t xml:space="preserve">. </w:t>
      </w:r>
    </w:p>
    <w:p w14:paraId="37A60A73" w14:textId="77777777" w:rsidR="005474F7" w:rsidRPr="0014084D" w:rsidRDefault="005474F7" w:rsidP="005F5CD0">
      <w:pPr>
        <w:pStyle w:val="Heading2"/>
      </w:pPr>
      <w:bookmarkStart w:id="59" w:name="_Toc499805113"/>
      <w:bookmarkStart w:id="60" w:name="_Toc3904896"/>
      <w:r w:rsidRPr="0014084D">
        <w:t>Service of CLOSED material</w:t>
      </w:r>
      <w:bookmarkEnd w:id="59"/>
      <w:bookmarkEnd w:id="60"/>
    </w:p>
    <w:p w14:paraId="77EB9FA3" w14:textId="4280B0C4" w:rsidR="005474F7" w:rsidRPr="0014084D" w:rsidRDefault="005474F7" w:rsidP="003966DA">
      <w:pPr>
        <w:pStyle w:val="OPENmanualpara"/>
      </w:pPr>
      <w:r w:rsidRPr="0014084D">
        <w:t xml:space="preserve">The </w:t>
      </w:r>
      <w:r w:rsidR="00FC620D">
        <w:t>Information Owner</w:t>
      </w:r>
      <w:r w:rsidR="00BB2880" w:rsidRPr="0014084D">
        <w:t xml:space="preserve"> will serve CLOSED material </w:t>
      </w:r>
      <w:r w:rsidRPr="0014084D">
        <w:t xml:space="preserve">on SASO, which will hold it until the Special Advocate is ready to </w:t>
      </w:r>
      <w:r w:rsidR="00DF6558">
        <w:t>“</w:t>
      </w:r>
      <w:r w:rsidRPr="0014084D">
        <w:t>go into CLOSED</w:t>
      </w:r>
      <w:r w:rsidR="00DF6558">
        <w:t>”</w:t>
      </w:r>
      <w:r w:rsidRPr="0014084D">
        <w:t xml:space="preserve">. </w:t>
      </w:r>
    </w:p>
    <w:p w14:paraId="25582375" w14:textId="76CE73FE" w:rsidR="005474F7" w:rsidRPr="0014084D" w:rsidRDefault="005474F7" w:rsidP="003966DA">
      <w:pPr>
        <w:pStyle w:val="OPENmanualpara"/>
      </w:pPr>
      <w:r w:rsidRPr="0014084D">
        <w:t xml:space="preserve">Once the Special Advocate is ready to go into </w:t>
      </w:r>
      <w:proofErr w:type="gramStart"/>
      <w:r w:rsidRPr="0014084D">
        <w:t>CLOSED</w:t>
      </w:r>
      <w:proofErr w:type="gramEnd"/>
      <w:r w:rsidRPr="0014084D">
        <w:t xml:space="preserve"> they will ask SASO to deliver the CLOSED material. It should be remembered that</w:t>
      </w:r>
      <w:r w:rsidR="002615C8">
        <w:t>, because</w:t>
      </w:r>
      <w:r w:rsidRPr="0014084D">
        <w:t xml:space="preserve"> the </w:t>
      </w:r>
      <w:r w:rsidR="00DF3CB9" w:rsidRPr="0014084D">
        <w:t>OPEN Representatives</w:t>
      </w:r>
      <w:r w:rsidRPr="0014084D">
        <w:t xml:space="preserve"> do not instruct the Special Advocate</w:t>
      </w:r>
      <w:r w:rsidR="002615C8">
        <w:t xml:space="preserve">, </w:t>
      </w:r>
      <w:r w:rsidRPr="0014084D">
        <w:t xml:space="preserve">the Special Advocate will decide when to accept the CLOSED material, although they will try to accommodate the </w:t>
      </w:r>
      <w:r w:rsidR="00DF3CB9" w:rsidRPr="0014084D">
        <w:t>OPEN Representatives</w:t>
      </w:r>
      <w:r w:rsidRPr="0014084D">
        <w:t>’ wishes</w:t>
      </w:r>
      <w:r w:rsidR="00BB2880" w:rsidRPr="0014084D">
        <w:t xml:space="preserve"> as far as possible</w:t>
      </w:r>
      <w:r w:rsidRPr="0014084D">
        <w:t xml:space="preserve">. </w:t>
      </w:r>
    </w:p>
    <w:p w14:paraId="41550111" w14:textId="26049CCC" w:rsidR="005474F7" w:rsidRPr="0014084D" w:rsidRDefault="005474F7" w:rsidP="003966DA">
      <w:pPr>
        <w:pStyle w:val="OPENmanualpara"/>
      </w:pPr>
      <w:r w:rsidRPr="0014084D">
        <w:t xml:space="preserve">In cases involving two Special Advocates it is not always necessary for them both to go into CLOSED at the same time.  This may mean that one Special Advocate stays in OPEN for longer to enable them to communicate freely with the </w:t>
      </w:r>
      <w:r w:rsidR="00DF3CB9" w:rsidRPr="0014084D">
        <w:t>OPEN Representatives</w:t>
      </w:r>
      <w:r w:rsidR="00BB2880" w:rsidRPr="0014084D">
        <w:t xml:space="preserve"> </w:t>
      </w:r>
      <w:r w:rsidR="002615C8">
        <w:t>(</w:t>
      </w:r>
      <w:proofErr w:type="gramStart"/>
      <w:r w:rsidR="002615C8">
        <w:t>e.g.</w:t>
      </w:r>
      <w:proofErr w:type="gramEnd"/>
      <w:r w:rsidR="002615C8">
        <w:t xml:space="preserve"> to discuss any material disclosed after the first round of disclosure)</w:t>
      </w:r>
      <w:r w:rsidRPr="0014084D">
        <w:t xml:space="preserve">.  Once both Special Advocates are in CLOSED, they are then able to discuss CLOSED matters between themselves. </w:t>
      </w:r>
    </w:p>
    <w:p w14:paraId="7516C08A" w14:textId="4C00EA87" w:rsidR="005474F7" w:rsidRPr="0014084D" w:rsidRDefault="005474F7" w:rsidP="005F5CD0">
      <w:pPr>
        <w:pStyle w:val="Heading2"/>
      </w:pPr>
      <w:bookmarkStart w:id="61" w:name="_Toc499805114"/>
      <w:bookmarkStart w:id="62" w:name="_Toc3904897"/>
      <w:r w:rsidRPr="0014084D">
        <w:t xml:space="preserve">Communication </w:t>
      </w:r>
      <w:r w:rsidR="002615C8">
        <w:t>R</w:t>
      </w:r>
      <w:r w:rsidRPr="0014084D">
        <w:t>equests</w:t>
      </w:r>
      <w:bookmarkEnd w:id="61"/>
      <w:bookmarkEnd w:id="62"/>
    </w:p>
    <w:p w14:paraId="04E56666" w14:textId="77777777" w:rsidR="005474F7" w:rsidRPr="0014084D" w:rsidRDefault="005474F7" w:rsidP="003966DA">
      <w:pPr>
        <w:pStyle w:val="OPENmanualpara"/>
      </w:pPr>
      <w:r w:rsidRPr="0014084D">
        <w:t xml:space="preserve">Once a Special Advocate is in receipt of any CLOSED material, a fundamental feature of the system is that all direct communication between them and the </w:t>
      </w:r>
      <w:r w:rsidR="00DF3CB9" w:rsidRPr="0014084D">
        <w:t>OPEN Representatives</w:t>
      </w:r>
      <w:r w:rsidR="00AE3D38" w:rsidRPr="0014084D">
        <w:t xml:space="preserve"> in the ordinary way</w:t>
      </w:r>
      <w:r w:rsidRPr="0014084D">
        <w:t xml:space="preserve"> must cease.</w:t>
      </w:r>
    </w:p>
    <w:p w14:paraId="6F95F8B2" w14:textId="0956491F" w:rsidR="005474F7" w:rsidRPr="0014084D" w:rsidRDefault="005474F7" w:rsidP="003966DA">
      <w:pPr>
        <w:pStyle w:val="OPENmanualpara"/>
      </w:pPr>
      <w:r w:rsidRPr="0014084D">
        <w:lastRenderedPageBreak/>
        <w:t xml:space="preserve">According to the strict application of the court rules, although the </w:t>
      </w:r>
      <w:r w:rsidR="00DF3CB9" w:rsidRPr="0014084D">
        <w:t>OPEN Representatives</w:t>
      </w:r>
      <w:r w:rsidRPr="0014084D">
        <w:t xml:space="preserve"> may continue to send written communications to the Special Advocates (via SASO), there </w:t>
      </w:r>
      <w:r w:rsidR="001846DB" w:rsidRPr="0014084D">
        <w:t>is a blanket ban on</w:t>
      </w:r>
      <w:r w:rsidRPr="0014084D">
        <w:t xml:space="preserve"> communication from the Special Advocates</w:t>
      </w:r>
      <w:r w:rsidR="00DF6558">
        <w:t xml:space="preserve"> to the </w:t>
      </w:r>
      <w:r w:rsidR="002615C8">
        <w:t>E</w:t>
      </w:r>
      <w:r w:rsidR="00DF6558">
        <w:t xml:space="preserve">xcluded </w:t>
      </w:r>
      <w:r w:rsidR="002615C8">
        <w:t>P</w:t>
      </w:r>
      <w:r w:rsidR="00DF6558">
        <w:t>arty,</w:t>
      </w:r>
      <w:r w:rsidRPr="0014084D">
        <w:t xml:space="preserve"> </w:t>
      </w:r>
      <w:r w:rsidR="001846DB" w:rsidRPr="0014084D">
        <w:t>including</w:t>
      </w:r>
      <w:r w:rsidRPr="0014084D">
        <w:t xml:space="preserve"> </w:t>
      </w:r>
      <w:r w:rsidR="00AD0192" w:rsidRPr="0014084D">
        <w:t xml:space="preserve">to </w:t>
      </w:r>
      <w:r w:rsidRPr="0014084D">
        <w:t xml:space="preserve">the </w:t>
      </w:r>
      <w:r w:rsidR="00DF3CB9" w:rsidRPr="0014084D">
        <w:t>OPEN Representatives</w:t>
      </w:r>
      <w:r w:rsidR="001846DB" w:rsidRPr="0014084D">
        <w:t>,</w:t>
      </w:r>
      <w:r w:rsidRPr="0014084D">
        <w:t xml:space="preserve"> without the permission of the Court.</w:t>
      </w:r>
      <w:r w:rsidRPr="0014084D">
        <w:rPr>
          <w:rStyle w:val="FootnoteReference"/>
          <w:smallCaps/>
        </w:rPr>
        <w:footnoteReference w:id="19"/>
      </w:r>
      <w:r w:rsidRPr="0014084D">
        <w:t xml:space="preserve">  The principle underlying these rules is the protection of national security,</w:t>
      </w:r>
      <w:r w:rsidR="00700CD6">
        <w:t xml:space="preserve"> by</w:t>
      </w:r>
      <w:r w:rsidRPr="0014084D">
        <w:t xml:space="preserve"> </w:t>
      </w:r>
      <w:r w:rsidR="001846DB" w:rsidRPr="0014084D">
        <w:t>avoiding</w:t>
      </w:r>
      <w:r w:rsidR="00700CD6">
        <w:t xml:space="preserve"> the</w:t>
      </w:r>
      <w:r w:rsidRPr="0014084D">
        <w:t xml:space="preserve"> inadvertent disclosure of CLOSED material. </w:t>
      </w:r>
    </w:p>
    <w:p w14:paraId="6772B3DB" w14:textId="063A14DC" w:rsidR="005474F7" w:rsidRPr="0014084D" w:rsidRDefault="005474F7" w:rsidP="003966DA">
      <w:pPr>
        <w:pStyle w:val="OPENmanualpara"/>
      </w:pPr>
      <w:r w:rsidRPr="0014084D">
        <w:t xml:space="preserve">For this reason, a Special Advocate who has gone into CLOSED may </w:t>
      </w:r>
      <w:r w:rsidR="00EE7CDD">
        <w:t xml:space="preserve">also </w:t>
      </w:r>
      <w:r w:rsidRPr="0014084D">
        <w:t xml:space="preserve">not communicate with </w:t>
      </w:r>
      <w:r w:rsidR="002615C8">
        <w:t xml:space="preserve">their </w:t>
      </w:r>
      <w:r w:rsidRPr="0014084D">
        <w:t xml:space="preserve">leader </w:t>
      </w:r>
      <w:r w:rsidR="002615C8">
        <w:t>(</w:t>
      </w:r>
      <w:r w:rsidRPr="0014084D">
        <w:t>or junior</w:t>
      </w:r>
      <w:r w:rsidR="002615C8">
        <w:t>)</w:t>
      </w:r>
      <w:r w:rsidRPr="0014084D">
        <w:t xml:space="preserve"> who remains in OPEN.</w:t>
      </w:r>
    </w:p>
    <w:p w14:paraId="366AC7AE" w14:textId="44431A49" w:rsidR="005474F7" w:rsidRPr="0014084D" w:rsidRDefault="005474F7" w:rsidP="003966DA">
      <w:pPr>
        <w:pStyle w:val="OPENmanualpara"/>
      </w:pPr>
      <w:r w:rsidRPr="0014084D">
        <w:t xml:space="preserve">If a Special Advocate in CLOSED wants to communicate with the </w:t>
      </w:r>
      <w:r w:rsidR="00DF3CB9" w:rsidRPr="0014084D">
        <w:t>OPEN Representatives</w:t>
      </w:r>
      <w:r w:rsidRPr="0014084D">
        <w:t xml:space="preserve">, then they must put their communication in writing and obtain </w:t>
      </w:r>
      <w:r w:rsidR="007934E6" w:rsidRPr="0014084D">
        <w:t xml:space="preserve">approval from the </w:t>
      </w:r>
      <w:r w:rsidR="00FC620D">
        <w:t>Information Owner</w:t>
      </w:r>
      <w:r w:rsidR="007934E6" w:rsidRPr="0014084D">
        <w:t xml:space="preserve">. </w:t>
      </w:r>
      <w:r w:rsidR="00EE7CDD">
        <w:t>This is known as a C</w:t>
      </w:r>
      <w:r w:rsidRPr="0014084D">
        <w:t xml:space="preserve">ommunication </w:t>
      </w:r>
      <w:r w:rsidR="00EE7CDD">
        <w:t>R</w:t>
      </w:r>
      <w:r w:rsidRPr="0014084D">
        <w:t>equest</w:t>
      </w:r>
      <w:r w:rsidR="007934E6" w:rsidRPr="0014084D">
        <w:t xml:space="preserve"> and is handled via SASO</w:t>
      </w:r>
      <w:r w:rsidRPr="0014084D">
        <w:t xml:space="preserve">. </w:t>
      </w:r>
    </w:p>
    <w:p w14:paraId="397B2000" w14:textId="4A23CF71" w:rsidR="005474F7" w:rsidRPr="0014084D" w:rsidRDefault="005474F7" w:rsidP="003966DA">
      <w:pPr>
        <w:pStyle w:val="OPENmanualpara"/>
      </w:pPr>
      <w:r w:rsidRPr="0014084D">
        <w:t xml:space="preserve">The vast majority of </w:t>
      </w:r>
      <w:r w:rsidR="00EE7CDD">
        <w:t>C</w:t>
      </w:r>
      <w:r w:rsidRPr="0014084D">
        <w:t xml:space="preserve">ommunication </w:t>
      </w:r>
      <w:r w:rsidR="00EE7CDD">
        <w:t>R</w:t>
      </w:r>
      <w:r w:rsidRPr="0014084D">
        <w:t xml:space="preserve">equests are not contentious and, instead of sending every request to the court, the practice has evolved that SASO will pass the </w:t>
      </w:r>
      <w:r w:rsidR="00EE7CDD">
        <w:t>C</w:t>
      </w:r>
      <w:r w:rsidRPr="0014084D">
        <w:t xml:space="preserve">ommunication </w:t>
      </w:r>
      <w:r w:rsidR="00EE7CDD">
        <w:t>R</w:t>
      </w:r>
      <w:r w:rsidRPr="0014084D">
        <w:t xml:space="preserve">equest to the </w:t>
      </w:r>
      <w:r w:rsidR="00FC620D">
        <w:t>Information Owner</w:t>
      </w:r>
      <w:r w:rsidR="00E8497D">
        <w:t xml:space="preserve"> (via</w:t>
      </w:r>
      <w:r w:rsidR="00EE7CDD">
        <w:t xml:space="preserve"> their lawyers)</w:t>
      </w:r>
      <w:r w:rsidRPr="0014084D">
        <w:t>. The</w:t>
      </w:r>
      <w:r w:rsidR="00EE7CDD">
        <w:t xml:space="preserve"> </w:t>
      </w:r>
      <w:r w:rsidR="00FC620D">
        <w:t>Information Owner</w:t>
      </w:r>
      <w:r w:rsidR="00EE7CDD">
        <w:t xml:space="preserve"> </w:t>
      </w:r>
      <w:r w:rsidRPr="0014084D">
        <w:t xml:space="preserve">will review </w:t>
      </w:r>
      <w:r w:rsidR="00EE7CDD">
        <w:t>(</w:t>
      </w:r>
      <w:r w:rsidRPr="0014084D">
        <w:t xml:space="preserve">and </w:t>
      </w:r>
      <w:r w:rsidR="00EE7CDD">
        <w:t xml:space="preserve">normally </w:t>
      </w:r>
      <w:r w:rsidRPr="0014084D">
        <w:t>consent</w:t>
      </w:r>
      <w:r w:rsidR="00EE7CDD">
        <w:t>)</w:t>
      </w:r>
      <w:r w:rsidRPr="0014084D">
        <w:t xml:space="preserve"> to the content in the majority of cases, obviating the need for court involvement.</w:t>
      </w:r>
      <w:r w:rsidR="00265C96" w:rsidRPr="0014084D">
        <w:t xml:space="preserve"> The content of a communication request can only be objected to </w:t>
      </w:r>
      <w:r w:rsidR="003F0CE3" w:rsidRPr="0014084D">
        <w:t xml:space="preserve">by the </w:t>
      </w:r>
      <w:r w:rsidR="00FC620D">
        <w:t>Information Owner</w:t>
      </w:r>
      <w:r w:rsidR="003F0CE3" w:rsidRPr="0014084D">
        <w:t xml:space="preserve"> </w:t>
      </w:r>
      <w:r w:rsidR="00265C96" w:rsidRPr="0014084D">
        <w:t xml:space="preserve">on the grounds of national security </w:t>
      </w:r>
      <w:r w:rsidR="00BB2880" w:rsidRPr="0014084D">
        <w:t>alone</w:t>
      </w:r>
      <w:r w:rsidR="00265C96" w:rsidRPr="0014084D">
        <w:t xml:space="preserve">. </w:t>
      </w:r>
    </w:p>
    <w:p w14:paraId="438765E9" w14:textId="6B1433F0" w:rsidR="00265C96" w:rsidRPr="0014084D" w:rsidRDefault="005474F7" w:rsidP="003966DA">
      <w:pPr>
        <w:pStyle w:val="OPENmanualpara"/>
      </w:pPr>
      <w:r w:rsidRPr="0014084D">
        <w:t>Special consideration is also given to the protection of Legal Professional Privilege</w:t>
      </w:r>
      <w:r w:rsidR="00BB2880" w:rsidRPr="0014084D">
        <w:t xml:space="preserve"> (“LPP”)</w:t>
      </w:r>
      <w:r w:rsidRPr="0014084D">
        <w:t>.</w:t>
      </w:r>
      <w:r w:rsidRPr="0014084D">
        <w:rPr>
          <w:rStyle w:val="FootnoteReference"/>
          <w:smallCaps/>
        </w:rPr>
        <w:footnoteReference w:id="20"/>
      </w:r>
      <w:r w:rsidRPr="0014084D">
        <w:t xml:space="preserve">  An agreed process has been put in place between SASO and government lawyers acting for the </w:t>
      </w:r>
      <w:r w:rsidR="00FC620D">
        <w:t>Information Owner</w:t>
      </w:r>
      <w:r w:rsidRPr="0014084D">
        <w:t xml:space="preserve">s to ensure that communications which </w:t>
      </w:r>
      <w:r w:rsidR="00062628" w:rsidRPr="0014084D">
        <w:t>attract LPP</w:t>
      </w:r>
      <w:r w:rsidRPr="0014084D">
        <w:t xml:space="preserve"> are transmitted by administrative </w:t>
      </w:r>
      <w:proofErr w:type="gramStart"/>
      <w:r w:rsidRPr="0014084D">
        <w:t>staff, and</w:t>
      </w:r>
      <w:proofErr w:type="gramEnd"/>
      <w:r w:rsidRPr="0014084D">
        <w:t xml:space="preserve"> are not seen by the lawyers acting </w:t>
      </w:r>
      <w:r w:rsidR="00AE3D38" w:rsidRPr="0014084D">
        <w:t xml:space="preserve">on behalf of </w:t>
      </w:r>
      <w:r w:rsidRPr="0014084D">
        <w:t xml:space="preserve">the </w:t>
      </w:r>
      <w:r w:rsidR="00FC620D">
        <w:t>Information Owner</w:t>
      </w:r>
      <w:r w:rsidR="00AE3D38" w:rsidRPr="0014084D">
        <w:t xml:space="preserve"> in the case</w:t>
      </w:r>
      <w:r w:rsidR="003F0CE3">
        <w:t>.</w:t>
      </w:r>
      <w:r w:rsidRPr="0014084D">
        <w:t xml:space="preserve"> This ensures that the </w:t>
      </w:r>
      <w:r w:rsidR="00FC620D">
        <w:t>Information Owner</w:t>
      </w:r>
      <w:r w:rsidRPr="0014084D">
        <w:t xml:space="preserve"> does not obtain an unfair advantage in the litigation through having </w:t>
      </w:r>
      <w:r w:rsidR="008D42F9" w:rsidRPr="0014084D">
        <w:t>read</w:t>
      </w:r>
      <w:r w:rsidRPr="0014084D">
        <w:t xml:space="preserve"> the communication re</w:t>
      </w:r>
      <w:r w:rsidR="008D42F9" w:rsidRPr="0014084D">
        <w:t>quest</w:t>
      </w:r>
      <w:r w:rsidRPr="0014084D">
        <w:t>.</w:t>
      </w:r>
      <w:r w:rsidR="00265C96" w:rsidRPr="0014084D">
        <w:t xml:space="preserve"> </w:t>
      </w:r>
    </w:p>
    <w:p w14:paraId="3C5D612E" w14:textId="2D137FA2" w:rsidR="005474F7" w:rsidRPr="0014084D" w:rsidRDefault="00265C96" w:rsidP="003966DA">
      <w:pPr>
        <w:pStyle w:val="OPENmanualpara"/>
      </w:pPr>
      <w:r w:rsidRPr="0014084D">
        <w:lastRenderedPageBreak/>
        <w:t xml:space="preserve">Communication </w:t>
      </w:r>
      <w:r w:rsidR="00EE7CDD">
        <w:t>R</w:t>
      </w:r>
      <w:r w:rsidRPr="0014084D">
        <w:t xml:space="preserve">equests can still be brought to the court’s attention where agreement cannot be reached. </w:t>
      </w:r>
      <w:r w:rsidR="00AE3D38" w:rsidRPr="0014084D">
        <w:t xml:space="preserve"> The Court will then adjudicate on the dispute.</w:t>
      </w:r>
    </w:p>
    <w:p w14:paraId="6565EAC4" w14:textId="77777777" w:rsidR="005474F7" w:rsidRPr="0014084D" w:rsidRDefault="005474F7" w:rsidP="005F5CD0">
      <w:pPr>
        <w:pStyle w:val="Heading2"/>
      </w:pPr>
      <w:bookmarkStart w:id="63" w:name="_Toc499805115"/>
      <w:bookmarkStart w:id="64" w:name="_Toc3904898"/>
      <w:r w:rsidRPr="0014084D">
        <w:t>Disclosure</w:t>
      </w:r>
      <w:bookmarkEnd w:id="63"/>
      <w:bookmarkEnd w:id="64"/>
      <w:r w:rsidRPr="0014084D">
        <w:t xml:space="preserve"> </w:t>
      </w:r>
    </w:p>
    <w:p w14:paraId="11EC3EDE" w14:textId="307B53A7" w:rsidR="005474F7" w:rsidRPr="0014084D" w:rsidRDefault="008D42F9" w:rsidP="003966DA">
      <w:pPr>
        <w:pStyle w:val="OPENmanualpara"/>
      </w:pPr>
      <w:r w:rsidRPr="0014084D">
        <w:t>As noted above, o</w:t>
      </w:r>
      <w:r w:rsidR="005474F7" w:rsidRPr="0014084D">
        <w:t xml:space="preserve">ne of the major functions of a Special Advocate is to deal with disclosure and to challenge the basis upon which material is </w:t>
      </w:r>
      <w:r w:rsidR="00EE7CDD">
        <w:t xml:space="preserve">kept </w:t>
      </w:r>
      <w:r w:rsidR="005474F7" w:rsidRPr="0014084D">
        <w:t xml:space="preserve">in CLOSED.  </w:t>
      </w:r>
    </w:p>
    <w:p w14:paraId="044A6F12" w14:textId="15604259" w:rsidR="007215F2" w:rsidRDefault="007215F2" w:rsidP="007215F2">
      <w:pPr>
        <w:pStyle w:val="OPENmanualpara"/>
      </w:pPr>
      <w:r>
        <w:t xml:space="preserve">When </w:t>
      </w:r>
      <w:r w:rsidR="005474F7" w:rsidRPr="0014084D">
        <w:t xml:space="preserve">the </w:t>
      </w:r>
      <w:r w:rsidR="00FC620D">
        <w:t>Information Owner</w:t>
      </w:r>
      <w:r w:rsidR="005474F7" w:rsidRPr="0014084D">
        <w:t xml:space="preserve"> </w:t>
      </w:r>
      <w:r>
        <w:t xml:space="preserve">first </w:t>
      </w:r>
      <w:r w:rsidR="005474F7" w:rsidRPr="0014084D">
        <w:t xml:space="preserve">serves </w:t>
      </w:r>
      <w:r>
        <w:t xml:space="preserve">the </w:t>
      </w:r>
      <w:r w:rsidR="00EE7CDD" w:rsidRPr="00E71929">
        <w:t>CLOSED</w:t>
      </w:r>
      <w:r w:rsidR="00EE7CDD">
        <w:t xml:space="preserve"> </w:t>
      </w:r>
      <w:r w:rsidR="005474F7" w:rsidRPr="0014084D">
        <w:t>material</w:t>
      </w:r>
      <w:r w:rsidR="00EE7CDD">
        <w:t>,</w:t>
      </w:r>
      <w:r w:rsidR="005474F7" w:rsidRPr="0014084D">
        <w:t xml:space="preserve"> the division between what is OPEN an</w:t>
      </w:r>
      <w:r w:rsidR="008D42F9" w:rsidRPr="0014084D">
        <w:t xml:space="preserve">d what is CLOSED is set by the </w:t>
      </w:r>
      <w:r w:rsidR="00FC620D">
        <w:t>Information Owner</w:t>
      </w:r>
      <w:r w:rsidR="005474F7" w:rsidRPr="0014084D">
        <w:t xml:space="preserve">. </w:t>
      </w:r>
      <w:r>
        <w:t>However, t</w:t>
      </w:r>
      <w:r w:rsidRPr="0014084D">
        <w:t>he overarching principle of fairness at Common Law is that cases should be litigated as far as is possible on the basis of OPEN material.</w:t>
      </w:r>
    </w:p>
    <w:p w14:paraId="2F348013" w14:textId="215CEF1D" w:rsidR="005474F7" w:rsidRPr="0014084D" w:rsidRDefault="005474F7" w:rsidP="003966DA">
      <w:pPr>
        <w:pStyle w:val="OPENmanualpara"/>
      </w:pPr>
      <w:r w:rsidRPr="0014084D">
        <w:t xml:space="preserve">Following receipt of the CLOSED material, the </w:t>
      </w:r>
      <w:r w:rsidR="007215F2">
        <w:t xml:space="preserve">first </w:t>
      </w:r>
      <w:r w:rsidRPr="0014084D">
        <w:t xml:space="preserve">role of the Special Advocate is to prepare disclosure submissions addressing whether any of </w:t>
      </w:r>
      <w:r w:rsidR="007215F2">
        <w:t xml:space="preserve">the </w:t>
      </w:r>
      <w:r w:rsidR="007215F2" w:rsidRPr="00E71929">
        <w:t>CLOSED</w:t>
      </w:r>
      <w:r w:rsidR="007215F2">
        <w:t xml:space="preserve"> material </w:t>
      </w:r>
      <w:r w:rsidRPr="0014084D">
        <w:t xml:space="preserve">should be made OPEN (and therefore disclosed to the </w:t>
      </w:r>
      <w:r w:rsidR="00EE7CDD">
        <w:t>E</w:t>
      </w:r>
      <w:r w:rsidR="005F2E52">
        <w:t xml:space="preserve">xcluded </w:t>
      </w:r>
      <w:r w:rsidR="00EE7CDD">
        <w:t>P</w:t>
      </w:r>
      <w:r w:rsidR="005F2E52">
        <w:t xml:space="preserve">arty and </w:t>
      </w:r>
      <w:r w:rsidR="00DF3CB9" w:rsidRPr="0014084D">
        <w:t>OPEN Representatives</w:t>
      </w:r>
      <w:r w:rsidRPr="0014084D">
        <w:t xml:space="preserve">). </w:t>
      </w:r>
    </w:p>
    <w:p w14:paraId="142FF529" w14:textId="2F169B85" w:rsidR="005474F7" w:rsidRPr="0014084D" w:rsidRDefault="005474F7" w:rsidP="003966DA">
      <w:pPr>
        <w:pStyle w:val="OPENmanualpara"/>
      </w:pPr>
      <w:r w:rsidRPr="0014084D">
        <w:t>As such, the basi</w:t>
      </w:r>
      <w:r w:rsidR="006D2DD8" w:rsidRPr="0014084D">
        <w:t>s on which a</w:t>
      </w:r>
      <w:r w:rsidR="008D42F9" w:rsidRPr="0014084D">
        <w:t xml:space="preserve"> Special Advocate</w:t>
      </w:r>
      <w:r w:rsidRPr="0014084D">
        <w:t xml:space="preserve"> argue</w:t>
      </w:r>
      <w:r w:rsidR="008D42F9" w:rsidRPr="0014084D">
        <w:t>s</w:t>
      </w:r>
      <w:r w:rsidRPr="0014084D">
        <w:t xml:space="preserve"> that material should be disclosed from </w:t>
      </w:r>
      <w:r w:rsidR="00E67715" w:rsidRPr="0014084D">
        <w:t xml:space="preserve">CLOSED </w:t>
      </w:r>
      <w:r w:rsidRPr="0014084D">
        <w:t xml:space="preserve">to </w:t>
      </w:r>
      <w:r w:rsidR="00E67715" w:rsidRPr="0014084D">
        <w:t xml:space="preserve">OPEN </w:t>
      </w:r>
      <w:r w:rsidRPr="0014084D">
        <w:t xml:space="preserve">is that to do so would not harm </w:t>
      </w:r>
      <w:r w:rsidR="007215F2">
        <w:t>national security</w:t>
      </w:r>
      <w:r w:rsidR="007215F2">
        <w:rPr>
          <w:rStyle w:val="FootnoteReference"/>
        </w:rPr>
        <w:footnoteReference w:id="21"/>
      </w:r>
      <w:r w:rsidR="007215F2">
        <w:t xml:space="preserve">, or </w:t>
      </w:r>
      <w:r w:rsidRPr="0014084D">
        <w:t>the public interest</w:t>
      </w:r>
      <w:r w:rsidR="006D2DD8" w:rsidRPr="0014084D">
        <w:t>,</w:t>
      </w:r>
      <w:r w:rsidRPr="0014084D">
        <w:t xml:space="preserve"> for example, because:</w:t>
      </w:r>
    </w:p>
    <w:p w14:paraId="0EDCD780" w14:textId="77777777" w:rsidR="005474F7" w:rsidRPr="0014084D" w:rsidRDefault="005474F7" w:rsidP="003966DA">
      <w:pPr>
        <w:pStyle w:val="OPENmanualpara"/>
        <w:numPr>
          <w:ilvl w:val="0"/>
          <w:numId w:val="22"/>
        </w:numPr>
      </w:pPr>
      <w:r w:rsidRPr="0014084D">
        <w:t>the material is already in the public domain; or</w:t>
      </w:r>
    </w:p>
    <w:p w14:paraId="4944066B" w14:textId="77777777" w:rsidR="005474F7" w:rsidRPr="0014084D" w:rsidRDefault="005474F7" w:rsidP="003966DA">
      <w:pPr>
        <w:pStyle w:val="OPENmanualpara"/>
        <w:numPr>
          <w:ilvl w:val="0"/>
          <w:numId w:val="22"/>
        </w:numPr>
      </w:pPr>
      <w:r w:rsidRPr="0014084D">
        <w:t>the material could not be regarded as damaging to national security or other public interests.</w:t>
      </w:r>
    </w:p>
    <w:p w14:paraId="51B70432" w14:textId="36561739" w:rsidR="005474F7" w:rsidRPr="0014084D" w:rsidRDefault="006D2DD8" w:rsidP="003966DA">
      <w:pPr>
        <w:pStyle w:val="OPENmanualpara"/>
      </w:pPr>
      <w:r w:rsidRPr="0014084D">
        <w:t>Sometimes a</w:t>
      </w:r>
      <w:r w:rsidR="005474F7" w:rsidRPr="0014084D">
        <w:t xml:space="preserve"> Special Advocate will accept that certain </w:t>
      </w:r>
      <w:r w:rsidR="00A148DC" w:rsidRPr="00E71929">
        <w:t>CLOSED</w:t>
      </w:r>
      <w:r w:rsidR="00A148DC">
        <w:t xml:space="preserve"> material </w:t>
      </w:r>
      <w:r w:rsidR="005474F7" w:rsidRPr="0014084D">
        <w:t>cannot be disclosed</w:t>
      </w:r>
      <w:r w:rsidR="00A148DC">
        <w:t xml:space="preserve"> in its original </w:t>
      </w:r>
      <w:proofErr w:type="gramStart"/>
      <w:r w:rsidR="00A148DC">
        <w:t>form</w:t>
      </w:r>
      <w:r w:rsidR="005474F7" w:rsidRPr="0014084D">
        <w:t>, but</w:t>
      </w:r>
      <w:proofErr w:type="gramEnd"/>
      <w:r w:rsidR="005474F7" w:rsidRPr="0014084D">
        <w:t xml:space="preserve"> will instead propose that </w:t>
      </w:r>
      <w:r w:rsidR="00A148DC">
        <w:t xml:space="preserve">the </w:t>
      </w:r>
      <w:r w:rsidR="005474F7" w:rsidRPr="0014084D">
        <w:t xml:space="preserve">material could be disclosed to the </w:t>
      </w:r>
      <w:r w:rsidR="00DF3CB9" w:rsidRPr="0014084D">
        <w:t>OPEN Representatives</w:t>
      </w:r>
      <w:r w:rsidR="005474F7" w:rsidRPr="0014084D">
        <w:t xml:space="preserve"> </w:t>
      </w:r>
      <w:r w:rsidR="00A148DC" w:rsidRPr="0014084D">
        <w:t xml:space="preserve">without damaging national security </w:t>
      </w:r>
      <w:r w:rsidR="00A148DC">
        <w:t xml:space="preserve">by way of </w:t>
      </w:r>
      <w:r w:rsidR="005474F7" w:rsidRPr="0014084D">
        <w:t>redactions, or by way of a</w:t>
      </w:r>
      <w:r w:rsidRPr="0014084D">
        <w:t xml:space="preserve"> summary or gist</w:t>
      </w:r>
      <w:r w:rsidR="005474F7" w:rsidRPr="0014084D">
        <w:t xml:space="preserve">. </w:t>
      </w:r>
    </w:p>
    <w:p w14:paraId="7528DD62" w14:textId="77777777" w:rsidR="005474F7" w:rsidRPr="0014084D" w:rsidRDefault="006D2DD8" w:rsidP="003966DA">
      <w:pPr>
        <w:pStyle w:val="OPENmanualpara"/>
      </w:pPr>
      <w:r w:rsidRPr="0014084D">
        <w:t>In SIAC, a</w:t>
      </w:r>
      <w:r w:rsidR="005474F7" w:rsidRPr="0014084D">
        <w:t xml:space="preserve"> Special Advocate’s submissions will be balanced against SIAC’s duty under </w:t>
      </w:r>
      <w:r w:rsidR="00BB1D55" w:rsidRPr="0014084D">
        <w:t>r</w:t>
      </w:r>
      <w:r w:rsidR="005474F7" w:rsidRPr="0014084D">
        <w:t>ule 4</w:t>
      </w:r>
      <w:r w:rsidR="00BB1D55" w:rsidRPr="0014084D">
        <w:t xml:space="preserve"> of the</w:t>
      </w:r>
      <w:r w:rsidR="00AE3D38" w:rsidRPr="0014084D">
        <w:t xml:space="preserve"> SIAC Procedure</w:t>
      </w:r>
      <w:r w:rsidRPr="0014084D">
        <w:t xml:space="preserve"> Rules</w:t>
      </w:r>
      <w:r w:rsidR="005474F7" w:rsidRPr="0014084D">
        <w:t xml:space="preserve">. </w:t>
      </w:r>
      <w:proofErr w:type="gramStart"/>
      <w:r w:rsidR="005474F7" w:rsidRPr="0014084D">
        <w:t>This states</w:t>
      </w:r>
      <w:proofErr w:type="gramEnd"/>
      <w:r w:rsidR="005474F7" w:rsidRPr="0014084D">
        <w:t>:</w:t>
      </w:r>
    </w:p>
    <w:p w14:paraId="3BC1F608" w14:textId="77777777" w:rsidR="005474F7" w:rsidRPr="0014084D" w:rsidRDefault="005474F7" w:rsidP="009267E1">
      <w:pPr>
        <w:pStyle w:val="Quote"/>
      </w:pPr>
      <w:r w:rsidRPr="0014084D">
        <w:t xml:space="preserve">“When exercising its functions, the Commission shall secure that information is not disclosed contrary to the interests of national security, </w:t>
      </w:r>
      <w:r w:rsidRPr="0014084D">
        <w:lastRenderedPageBreak/>
        <w:t>the international relations of the United Kingdom, the detection and prevention of crime, or in any other circumstances where disclosure is likely to harm the public interest.”</w:t>
      </w:r>
    </w:p>
    <w:p w14:paraId="1B086D72" w14:textId="77777777" w:rsidR="005474F7" w:rsidRPr="0014084D" w:rsidRDefault="005474F7" w:rsidP="003966DA">
      <w:pPr>
        <w:pStyle w:val="OPENmanualpara"/>
      </w:pPr>
      <w:r w:rsidRPr="0014084D">
        <w:t xml:space="preserve">The directions should </w:t>
      </w:r>
      <w:r w:rsidR="006D2DD8" w:rsidRPr="0014084D">
        <w:t>provide a</w:t>
      </w:r>
      <w:r w:rsidRPr="0014084D">
        <w:t xml:space="preserve"> Special Advocate with a period of time after service of the CLOSED material in which to consider and prepare written submissions on what, if any, of the CLOSED material should become OPEN.</w:t>
      </w:r>
      <w:r w:rsidR="00A07FFA">
        <w:t xml:space="preserve"> </w:t>
      </w:r>
      <w:r w:rsidRPr="0014084D">
        <w:t xml:space="preserve"> In statutory cases this step is often built into the process.</w:t>
      </w:r>
      <w:r w:rsidRPr="00A07FFA">
        <w:rPr>
          <w:rStyle w:val="FootnoteReference"/>
          <w:smallCaps/>
        </w:rPr>
        <w:footnoteReference w:id="22"/>
      </w:r>
    </w:p>
    <w:p w14:paraId="2D5B6E67" w14:textId="6A7294C8" w:rsidR="005474F7" w:rsidRPr="0014084D" w:rsidRDefault="006D2DD8" w:rsidP="003966DA">
      <w:pPr>
        <w:pStyle w:val="OPENmanualpara"/>
      </w:pPr>
      <w:r w:rsidRPr="0014084D">
        <w:t>A</w:t>
      </w:r>
      <w:r w:rsidR="005474F7" w:rsidRPr="0014084D">
        <w:t xml:space="preserve"> Special Advocate’s disclosure submissions may also include requests to the </w:t>
      </w:r>
      <w:r w:rsidR="00FC620D">
        <w:t>Information Owner</w:t>
      </w:r>
      <w:r w:rsidR="005474F7" w:rsidRPr="0014084D">
        <w:t xml:space="preserve"> for further information or documents to be provided in CLOSED (or indeed, in OPEN). In SIAC proceedings, for example, this ensures that the material available to SIAC enables it properly to determine proceedings</w:t>
      </w:r>
      <w:r w:rsidR="00A148DC">
        <w:rPr>
          <w:rStyle w:val="FootnoteReference"/>
        </w:rPr>
        <w:footnoteReference w:id="23"/>
      </w:r>
      <w:r w:rsidR="005474F7" w:rsidRPr="0014084D">
        <w:t>.</w:t>
      </w:r>
    </w:p>
    <w:p w14:paraId="27A743E8" w14:textId="6CEECDFA" w:rsidR="005474F7" w:rsidRPr="0014084D" w:rsidRDefault="006D2DD8" w:rsidP="003966DA">
      <w:pPr>
        <w:pStyle w:val="OPENmanualpara"/>
      </w:pPr>
      <w:r w:rsidRPr="0014084D">
        <w:t>Once a</w:t>
      </w:r>
      <w:r w:rsidR="005474F7" w:rsidRPr="0014084D">
        <w:t xml:space="preserve"> Special Advocate has prepared the CLOSED disclosure submissi</w:t>
      </w:r>
      <w:r w:rsidR="008D42F9" w:rsidRPr="0014084D">
        <w:t>ons, SASO lodges them with the c</w:t>
      </w:r>
      <w:r w:rsidR="005474F7" w:rsidRPr="0014084D">
        <w:t xml:space="preserve">ourt and serves them on the </w:t>
      </w:r>
      <w:r w:rsidR="00FC620D">
        <w:t>Information Owner</w:t>
      </w:r>
      <w:r w:rsidR="005474F7" w:rsidRPr="0014084D">
        <w:t xml:space="preserve">. </w:t>
      </w:r>
    </w:p>
    <w:p w14:paraId="56E4D0A1" w14:textId="15FAD35D" w:rsidR="005474F7" w:rsidRPr="0014084D" w:rsidRDefault="005474F7" w:rsidP="003966DA">
      <w:pPr>
        <w:pStyle w:val="OPENmanualpara"/>
      </w:pPr>
      <w:r w:rsidRPr="0014084D">
        <w:t xml:space="preserve">The </w:t>
      </w:r>
      <w:r w:rsidR="00FC620D">
        <w:t>Information Owner</w:t>
      </w:r>
      <w:r w:rsidRPr="0014084D">
        <w:t xml:space="preserve"> will usually lodge a written reply, following which </w:t>
      </w:r>
      <w:r w:rsidR="00161AE1">
        <w:t>c</w:t>
      </w:r>
      <w:r w:rsidRPr="0014084D">
        <w:t xml:space="preserve">ounsel for the </w:t>
      </w:r>
      <w:r w:rsidR="00FC620D">
        <w:t>Information Owner</w:t>
      </w:r>
      <w:r w:rsidRPr="0014084D">
        <w:t xml:space="preserve"> and the Special Advocates may meet</w:t>
      </w:r>
      <w:r w:rsidR="00A148DC">
        <w:t>,</w:t>
      </w:r>
      <w:r w:rsidRPr="0014084D">
        <w:t xml:space="preserve"> in an attempt to reach agreement about what material should be </w:t>
      </w:r>
      <w:r w:rsidR="00A148DC">
        <w:t>disclosed</w:t>
      </w:r>
      <w:r w:rsidRPr="0014084D">
        <w:t xml:space="preserve"> into OPEN. If </w:t>
      </w:r>
      <w:r w:rsidR="00A148DC">
        <w:t xml:space="preserve">there is no </w:t>
      </w:r>
      <w:r w:rsidRPr="0014084D">
        <w:t>agreement</w:t>
      </w:r>
      <w:r w:rsidR="00A148DC">
        <w:t>,</w:t>
      </w:r>
      <w:r w:rsidRPr="0014084D">
        <w:t xml:space="preserve"> </w:t>
      </w:r>
      <w:r w:rsidR="00A148DC">
        <w:t xml:space="preserve">then </w:t>
      </w:r>
      <w:r w:rsidRPr="0014084D">
        <w:t>there will be a CLOSED d</w:t>
      </w:r>
      <w:r w:rsidR="008D42F9" w:rsidRPr="0014084D">
        <w:t>isclosure hearing at which the c</w:t>
      </w:r>
      <w:r w:rsidRPr="0014084D">
        <w:t xml:space="preserve">ourt will adjudicate on any outstanding issues. </w:t>
      </w:r>
    </w:p>
    <w:p w14:paraId="232496EB" w14:textId="7C87ACF8" w:rsidR="005474F7" w:rsidRPr="0014084D" w:rsidRDefault="00E13364" w:rsidP="003966DA">
      <w:pPr>
        <w:pStyle w:val="OPENmanualpara"/>
      </w:pPr>
      <w:r>
        <w:t xml:space="preserve">If the court does order that material be disclosed, but the </w:t>
      </w:r>
      <w:r w:rsidR="00FC620D">
        <w:t>Information Owner</w:t>
      </w:r>
      <w:r>
        <w:t xml:space="preserve"> </w:t>
      </w:r>
      <w:r w:rsidR="00A148DC">
        <w:t xml:space="preserve">nevertheless </w:t>
      </w:r>
      <w:r>
        <w:t xml:space="preserve">maintains that to do so would damage national security, then the </w:t>
      </w:r>
      <w:r w:rsidR="00FC620D">
        <w:t>Information Owner</w:t>
      </w:r>
      <w:r>
        <w:t xml:space="preserve"> is “put to their election”. They may withdraw the material in question from the case entirely and cease to rely on it. </w:t>
      </w:r>
    </w:p>
    <w:p w14:paraId="4DBE7476" w14:textId="33D01AC4" w:rsidR="0096424E" w:rsidRDefault="005474F7" w:rsidP="003966DA">
      <w:pPr>
        <w:pStyle w:val="OPENmanualpara"/>
      </w:pPr>
      <w:r w:rsidRPr="0014084D">
        <w:t xml:space="preserve">Following completion of the initial disclosure process the </w:t>
      </w:r>
      <w:r w:rsidR="00FC620D">
        <w:t>Information Owner</w:t>
      </w:r>
      <w:r w:rsidRPr="0014084D">
        <w:t xml:space="preserve"> will usually require time in whi</w:t>
      </w:r>
      <w:r w:rsidR="006D2DD8" w:rsidRPr="0014084D">
        <w:t>ch to make amendments to</w:t>
      </w:r>
      <w:r w:rsidR="0096424E">
        <w:t xml:space="preserve"> the</w:t>
      </w:r>
      <w:r w:rsidR="006D2DD8" w:rsidRPr="0014084D">
        <w:t xml:space="preserve"> OPEN</w:t>
      </w:r>
      <w:r w:rsidRPr="0014084D">
        <w:t xml:space="preserve"> statements to </w:t>
      </w:r>
      <w:r w:rsidR="0096424E">
        <w:t>add in</w:t>
      </w:r>
      <w:r w:rsidRPr="0014084D">
        <w:t xml:space="preserve"> any material which is to be made OPEN. Thereafter, the amended OPEN statements will be served on the </w:t>
      </w:r>
      <w:r w:rsidR="0097580C">
        <w:t>E</w:t>
      </w:r>
      <w:r w:rsidRPr="0014084D">
        <w:t xml:space="preserve">xcluded </w:t>
      </w:r>
      <w:r w:rsidR="0097580C">
        <w:t>P</w:t>
      </w:r>
      <w:r w:rsidRPr="0014084D">
        <w:t xml:space="preserve">arty. </w:t>
      </w:r>
    </w:p>
    <w:p w14:paraId="1E86AA76" w14:textId="305C51AC" w:rsidR="005474F7" w:rsidRPr="0014084D" w:rsidRDefault="005474F7" w:rsidP="003966DA">
      <w:pPr>
        <w:pStyle w:val="OPENmanualpara"/>
      </w:pPr>
      <w:r w:rsidRPr="0014084D">
        <w:lastRenderedPageBreak/>
        <w:t xml:space="preserve">There may then be an opportunity for the </w:t>
      </w:r>
      <w:r w:rsidR="0097580C">
        <w:t>E</w:t>
      </w:r>
      <w:r w:rsidRPr="0014084D">
        <w:t xml:space="preserve">xcluded </w:t>
      </w:r>
      <w:r w:rsidR="0097580C">
        <w:t>P</w:t>
      </w:r>
      <w:r w:rsidRPr="0014084D">
        <w:t xml:space="preserve">arty to file amended OPEN grounds before the parties file respective skeleton arguments and bundles. </w:t>
      </w:r>
    </w:p>
    <w:p w14:paraId="2F46314F" w14:textId="77777777" w:rsidR="005474F7" w:rsidRPr="0014084D" w:rsidRDefault="005474F7" w:rsidP="003966DA">
      <w:pPr>
        <w:pStyle w:val="OPENmanualpara"/>
      </w:pPr>
      <w:r w:rsidRPr="0014084D">
        <w:t>At that stage, and subject to the ongoing duty of disclosure in relation to both inculpatory and exculpatory material, the substantive hearing will usually then take place.</w:t>
      </w:r>
    </w:p>
    <w:p w14:paraId="32DE5F45" w14:textId="77777777" w:rsidR="005474F7" w:rsidRPr="0014084D" w:rsidRDefault="007934E6" w:rsidP="003966DA">
      <w:pPr>
        <w:pStyle w:val="OPENmanualpara"/>
      </w:pPr>
      <w:r w:rsidRPr="0014084D">
        <w:t>A</w:t>
      </w:r>
      <w:r w:rsidR="005474F7" w:rsidRPr="0014084D">
        <w:t xml:space="preserve"> consideratio</w:t>
      </w:r>
      <w:r w:rsidR="00EC1DDA" w:rsidRPr="0014084D">
        <w:t>n of recent</w:t>
      </w:r>
      <w:r w:rsidR="004F5BFD">
        <w:t xml:space="preserve"> case</w:t>
      </w:r>
      <w:r w:rsidR="00EC1DDA" w:rsidRPr="0014084D">
        <w:t xml:space="preserve"> law</w:t>
      </w:r>
      <w:r w:rsidR="0061532A" w:rsidRPr="0014084D">
        <w:t xml:space="preserve"> as at the date of writing</w:t>
      </w:r>
      <w:r w:rsidR="00EC1DDA" w:rsidRPr="0014084D">
        <w:t xml:space="preserve"> is</w:t>
      </w:r>
      <w:r w:rsidR="00667DBF" w:rsidRPr="0014084D">
        <w:t xml:space="preserve"> </w:t>
      </w:r>
      <w:r w:rsidR="00667DBF" w:rsidRPr="0000383A">
        <w:t xml:space="preserve">included at </w:t>
      </w:r>
      <w:r w:rsidR="00463CC9" w:rsidRPr="0000383A">
        <w:t>Part V</w:t>
      </w:r>
      <w:r w:rsidR="005474F7" w:rsidRPr="0000383A">
        <w:t>.</w:t>
      </w:r>
    </w:p>
    <w:p w14:paraId="17F99D0E" w14:textId="77777777" w:rsidR="005474F7" w:rsidRPr="0014084D" w:rsidRDefault="005474F7" w:rsidP="005F5CD0">
      <w:pPr>
        <w:pStyle w:val="Heading2"/>
      </w:pPr>
      <w:bookmarkStart w:id="65" w:name="_Toc499805117"/>
      <w:bookmarkStart w:id="66" w:name="_Toc3904899"/>
      <w:r w:rsidRPr="0014084D">
        <w:t>The substantive hearing</w:t>
      </w:r>
      <w:bookmarkEnd w:id="65"/>
      <w:bookmarkEnd w:id="66"/>
    </w:p>
    <w:p w14:paraId="5E0AE465" w14:textId="77777777" w:rsidR="005474F7" w:rsidRPr="0014084D" w:rsidRDefault="005474F7" w:rsidP="003966DA">
      <w:pPr>
        <w:pStyle w:val="OPENmanualpara"/>
      </w:pPr>
      <w:r w:rsidRPr="0014084D">
        <w:t xml:space="preserve">Substantive hearings will be conducted in two parts; OPEN and CLOSED. </w:t>
      </w:r>
      <w:proofErr w:type="gramStart"/>
      <w:r w:rsidRPr="0014084D">
        <w:t>Usually</w:t>
      </w:r>
      <w:proofErr w:type="gramEnd"/>
      <w:r w:rsidRPr="0014084D">
        <w:t xml:space="preserve"> the OPEN hearing will take place first and, although they will not usual</w:t>
      </w:r>
      <w:r w:rsidR="00EC1DDA" w:rsidRPr="0014084D">
        <w:t>ly contribute substantively, a Special Advocate</w:t>
      </w:r>
      <w:r w:rsidRPr="0014084D">
        <w:t xml:space="preserve"> will attend. </w:t>
      </w:r>
      <w:r w:rsidR="00D4098B" w:rsidRPr="0014084D">
        <w:t>I</w:t>
      </w:r>
      <w:r w:rsidRPr="0014084D">
        <w:t>t is helpful for them to see how the excluded party puts his case a</w:t>
      </w:r>
      <w:r w:rsidR="00D4098B" w:rsidRPr="0014084D">
        <w:t>s</w:t>
      </w:r>
      <w:r w:rsidRPr="0014084D">
        <w:t xml:space="preserve"> they can be guided on possible cross-examination topics from the lines of questioning pursued by the excluded party’s </w:t>
      </w:r>
      <w:r w:rsidR="00EC1DDA" w:rsidRPr="0014084D">
        <w:t xml:space="preserve">OPEN </w:t>
      </w:r>
      <w:r w:rsidRPr="0014084D">
        <w:t xml:space="preserve">counsel. </w:t>
      </w:r>
    </w:p>
    <w:p w14:paraId="62E8ED60" w14:textId="76578C52" w:rsidR="005474F7" w:rsidRPr="0014084D" w:rsidRDefault="005474F7" w:rsidP="003966DA">
      <w:pPr>
        <w:pStyle w:val="OPENmanualpara"/>
      </w:pPr>
      <w:r w:rsidRPr="0014084D">
        <w:t xml:space="preserve">At the OPEN stage, </w:t>
      </w:r>
      <w:r w:rsidR="00EA2D62">
        <w:t xml:space="preserve">the </w:t>
      </w:r>
      <w:r w:rsidR="00FC620D">
        <w:t>Information Owner</w:t>
      </w:r>
      <w:r w:rsidR="00EC1DDA" w:rsidRPr="0014084D">
        <w:t xml:space="preserve">s’ </w:t>
      </w:r>
      <w:r w:rsidRPr="0014084D">
        <w:t xml:space="preserve">witnesses </w:t>
      </w:r>
      <w:r w:rsidR="00E13364">
        <w:t xml:space="preserve">will </w:t>
      </w:r>
      <w:r w:rsidR="0097580C">
        <w:t xml:space="preserve">normally </w:t>
      </w:r>
      <w:r w:rsidRPr="0014084D">
        <w:t xml:space="preserve">be screened from public view to preserve their anonymity. They will only answer questions in cross-examination to the extent that they are able to do so in OPEN. Should the answer to a question be </w:t>
      </w:r>
      <w:r w:rsidR="0097580C">
        <w:t xml:space="preserve">that it is </w:t>
      </w:r>
      <w:r w:rsidRPr="0014084D">
        <w:t>based on CLOSED material</w:t>
      </w:r>
      <w:r w:rsidR="0097580C">
        <w:t>,</w:t>
      </w:r>
      <w:r w:rsidRPr="0014084D">
        <w:t xml:space="preserve"> </w:t>
      </w:r>
      <w:r w:rsidR="0097580C">
        <w:t>t</w:t>
      </w:r>
      <w:r w:rsidRPr="0014084D">
        <w:t xml:space="preserve">he Special Advocates will </w:t>
      </w:r>
      <w:r w:rsidR="00E13364">
        <w:t xml:space="preserve">have the option to </w:t>
      </w:r>
      <w:r w:rsidRPr="0014084D">
        <w:t>follow up such questions in the CLOSED</w:t>
      </w:r>
      <w:r w:rsidR="00EC1DDA" w:rsidRPr="0014084D">
        <w:t xml:space="preserve"> part of the</w:t>
      </w:r>
      <w:r w:rsidRPr="0014084D">
        <w:t xml:space="preserve"> hearing.</w:t>
      </w:r>
    </w:p>
    <w:p w14:paraId="1CE7714A" w14:textId="31D63B1D" w:rsidR="005474F7" w:rsidRPr="0014084D" w:rsidRDefault="00EC1DDA" w:rsidP="003966DA">
      <w:pPr>
        <w:pStyle w:val="OPENmanualpara"/>
      </w:pPr>
      <w:r w:rsidRPr="0014084D">
        <w:t>For the CLOSED part</w:t>
      </w:r>
      <w:r w:rsidR="005474F7" w:rsidRPr="0014084D">
        <w:t xml:space="preserve"> of the hearing the excluded party and </w:t>
      </w:r>
      <w:r w:rsidR="00DF3CB9" w:rsidRPr="0014084D">
        <w:t>OPEN Representatives</w:t>
      </w:r>
      <w:r w:rsidR="005474F7" w:rsidRPr="0014084D">
        <w:t xml:space="preserve"> will withdraw. The Special Advocate will then represent the interests of the excluded party and will have an opportunit</w:t>
      </w:r>
      <w:r w:rsidR="00C76427" w:rsidRPr="0014084D">
        <w:t>y to cross-examine the witness</w:t>
      </w:r>
      <w:r w:rsidR="005474F7" w:rsidRPr="0014084D">
        <w:t xml:space="preserve"> called by the </w:t>
      </w:r>
      <w:r w:rsidR="00FC620D">
        <w:t>Information Owner</w:t>
      </w:r>
      <w:r w:rsidR="005474F7" w:rsidRPr="0014084D">
        <w:t xml:space="preserve">.  </w:t>
      </w:r>
    </w:p>
    <w:p w14:paraId="75F1EF8F" w14:textId="268DA349" w:rsidR="005474F7" w:rsidRPr="0014084D" w:rsidRDefault="00463CC9" w:rsidP="003966DA">
      <w:pPr>
        <w:pStyle w:val="OPENmanualpara"/>
      </w:pPr>
      <w:r>
        <w:t>A</w:t>
      </w:r>
      <w:r w:rsidR="005474F7" w:rsidRPr="0014084D">
        <w:t xml:space="preserve"> Special Advocate may call witnesses or experts</w:t>
      </w:r>
      <w:r w:rsidR="009F2139">
        <w:t>,</w:t>
      </w:r>
      <w:r w:rsidR="005474F7" w:rsidRPr="0014084D">
        <w:rPr>
          <w:rStyle w:val="FootnoteReference"/>
        </w:rPr>
        <w:footnoteReference w:id="24"/>
      </w:r>
      <w:r w:rsidR="0097580C">
        <w:t xml:space="preserve"> and that</w:t>
      </w:r>
      <w:r w:rsidR="005474F7" w:rsidRPr="0014084D">
        <w:t xml:space="preserve"> has happened in more than one case.</w:t>
      </w:r>
    </w:p>
    <w:p w14:paraId="5D802C52" w14:textId="6895A17F" w:rsidR="005474F7" w:rsidRPr="0014084D" w:rsidRDefault="005474F7" w:rsidP="004B5E37">
      <w:pPr>
        <w:pStyle w:val="OPENmanualpara"/>
        <w:rPr>
          <w:bCs/>
          <w:u w:val="single"/>
        </w:rPr>
      </w:pPr>
      <w:r w:rsidRPr="0014084D">
        <w:t>The Court will re-convene for OPEN closing submissions and then conclude with CLOSED closing submissions, although both can be dealt with in writing.</w:t>
      </w:r>
      <w:r w:rsidR="00EC1DDA" w:rsidRPr="0014084D">
        <w:t xml:space="preserve"> In </w:t>
      </w:r>
      <w:r w:rsidR="00EA2D62">
        <w:t>J</w:t>
      </w:r>
      <w:r w:rsidR="006C3DDA" w:rsidRPr="0014084D">
        <w:t xml:space="preserve">udicial </w:t>
      </w:r>
      <w:r w:rsidR="00EA2D62">
        <w:t>R</w:t>
      </w:r>
      <w:r w:rsidR="006C3DDA" w:rsidRPr="0014084D">
        <w:t>eview proceedings or</w:t>
      </w:r>
      <w:r w:rsidR="00A07FFA">
        <w:t>,</w:t>
      </w:r>
      <w:r w:rsidR="006C3DDA" w:rsidRPr="0014084D">
        <w:t xml:space="preserve"> where the court must apply the principles which </w:t>
      </w:r>
      <w:r w:rsidR="006C3DDA" w:rsidRPr="0014084D">
        <w:lastRenderedPageBreak/>
        <w:t xml:space="preserve">would be applied in </w:t>
      </w:r>
      <w:r w:rsidR="00EA2D62">
        <w:t>J</w:t>
      </w:r>
      <w:r w:rsidR="006C3DDA" w:rsidRPr="0014084D">
        <w:t xml:space="preserve">udicial </w:t>
      </w:r>
      <w:r w:rsidR="00EA2D62">
        <w:t>R</w:t>
      </w:r>
      <w:r w:rsidR="006C3DDA" w:rsidRPr="0014084D">
        <w:t xml:space="preserve">eview proceedings, the standard procedure does not always </w:t>
      </w:r>
      <w:proofErr w:type="gramStart"/>
      <w:r w:rsidR="006C3DDA" w:rsidRPr="0014084D">
        <w:t>apply</w:t>
      </w:r>
      <w:proofErr w:type="gramEnd"/>
      <w:r w:rsidR="006C3DDA" w:rsidRPr="0014084D">
        <w:t xml:space="preserve"> and the OPEN case </w:t>
      </w:r>
      <w:r w:rsidR="00B919C2">
        <w:t>may</w:t>
      </w:r>
      <w:r w:rsidR="006C3DDA" w:rsidRPr="0014084D">
        <w:t xml:space="preserve"> be concluded in its entirety before the CLOSED case begins.</w:t>
      </w:r>
    </w:p>
    <w:p w14:paraId="19312ADF" w14:textId="77777777" w:rsidR="005474F7" w:rsidRPr="0014084D" w:rsidRDefault="005474F7" w:rsidP="005F5CD0">
      <w:pPr>
        <w:pStyle w:val="Heading2"/>
      </w:pPr>
      <w:bookmarkStart w:id="67" w:name="_Toc499805118"/>
      <w:bookmarkStart w:id="68" w:name="_Toc3904900"/>
      <w:r w:rsidRPr="0014084D">
        <w:t>Ancillary hearings</w:t>
      </w:r>
      <w:bookmarkEnd w:id="67"/>
      <w:bookmarkEnd w:id="68"/>
    </w:p>
    <w:p w14:paraId="0E4661C4" w14:textId="0B5F4D5C" w:rsidR="005474F7" w:rsidRPr="0014084D" w:rsidRDefault="006C3DDA" w:rsidP="003966DA">
      <w:pPr>
        <w:pStyle w:val="OPENmanualpara"/>
      </w:pPr>
      <w:r w:rsidRPr="0014084D">
        <w:t>The standard</w:t>
      </w:r>
      <w:r w:rsidR="005474F7" w:rsidRPr="0014084D">
        <w:t xml:space="preserve"> procedure above deals with the stages leading to the substantive hearing of an appeal. Much the same process will be adopted in relation to ancillary h</w:t>
      </w:r>
      <w:r w:rsidR="00842B65" w:rsidRPr="0014084D">
        <w:t xml:space="preserve">earings such as bail hearings before SIAC </w:t>
      </w:r>
      <w:r w:rsidR="005474F7" w:rsidRPr="0014084D">
        <w:t>and modification appeals in TPIM</w:t>
      </w:r>
      <w:r w:rsidR="007934E6" w:rsidRPr="0014084D">
        <w:t xml:space="preserve"> </w:t>
      </w:r>
      <w:r w:rsidR="005474F7" w:rsidRPr="0014084D">
        <w:t>cases.</w:t>
      </w:r>
    </w:p>
    <w:p w14:paraId="3D214AE2" w14:textId="6A82FAC5" w:rsidR="005474F7" w:rsidRPr="0014084D" w:rsidRDefault="005474F7" w:rsidP="005F5CD0">
      <w:pPr>
        <w:pStyle w:val="Heading2"/>
      </w:pPr>
      <w:bookmarkStart w:id="69" w:name="_Toc499805119"/>
      <w:bookmarkStart w:id="70" w:name="_Toc3904901"/>
      <w:r w:rsidRPr="0014084D">
        <w:t>Judgment</w:t>
      </w:r>
      <w:bookmarkEnd w:id="69"/>
      <w:r w:rsidR="0097580C">
        <w:t xml:space="preserve"> and security checking</w:t>
      </w:r>
      <w:bookmarkEnd w:id="70"/>
    </w:p>
    <w:p w14:paraId="4142A029" w14:textId="1F074599" w:rsidR="005474F7" w:rsidRPr="0014084D" w:rsidRDefault="005474F7" w:rsidP="003966DA">
      <w:pPr>
        <w:pStyle w:val="OPENmanualpara"/>
      </w:pPr>
      <w:r w:rsidRPr="0014084D">
        <w:t xml:space="preserve">In a case involving </w:t>
      </w:r>
      <w:r w:rsidR="00842B65" w:rsidRPr="0014084D">
        <w:t>a Special Advocate it is likely that the c</w:t>
      </w:r>
      <w:r w:rsidRPr="0014084D">
        <w:t xml:space="preserve">ourt will produce two </w:t>
      </w:r>
      <w:proofErr w:type="gramStart"/>
      <w:r w:rsidRPr="0014084D">
        <w:t>judgments;</w:t>
      </w:r>
      <w:proofErr w:type="gramEnd"/>
      <w:r w:rsidRPr="0014084D">
        <w:t xml:space="preserve"> one in OPEN and the other in CLOSED. However, it does not follow that in </w:t>
      </w:r>
      <w:r w:rsidR="00FC620D">
        <w:t xml:space="preserve">all </w:t>
      </w:r>
      <w:r w:rsidRPr="0014084D">
        <w:t xml:space="preserve">CLOSED </w:t>
      </w:r>
      <w:r w:rsidR="00FC620D">
        <w:t>proceedings</w:t>
      </w:r>
      <w:r w:rsidRPr="0014084D">
        <w:t xml:space="preserve"> a CLOSED judgment will be produced. Courts are mindful of the need to keep in CLOSED </w:t>
      </w:r>
      <w:r w:rsidR="00842B65" w:rsidRPr="0014084D">
        <w:t xml:space="preserve">only </w:t>
      </w:r>
      <w:r w:rsidRPr="0014084D">
        <w:t>that which can harm the national interest and to give OPEN reasons so far as possible.</w:t>
      </w:r>
    </w:p>
    <w:p w14:paraId="3407197D" w14:textId="599203AB" w:rsidR="005474F7" w:rsidRPr="0014084D" w:rsidRDefault="00DD1F32" w:rsidP="003966DA">
      <w:pPr>
        <w:pStyle w:val="OPENmanualpara"/>
      </w:pPr>
      <w:r w:rsidRPr="0014084D">
        <w:t xml:space="preserve">The </w:t>
      </w:r>
      <w:r w:rsidR="00FC620D">
        <w:t>Information Owner</w:t>
      </w:r>
      <w:r w:rsidR="005474F7" w:rsidRPr="0014084D">
        <w:t xml:space="preserve"> and the Special Advocate</w:t>
      </w:r>
      <w:r w:rsidR="00675292">
        <w:t>(s)</w:t>
      </w:r>
      <w:r w:rsidR="005474F7" w:rsidRPr="0014084D">
        <w:t xml:space="preserve"> are provided with the draft OPEN judgment before it is made available to the </w:t>
      </w:r>
      <w:r w:rsidR="00DF3CB9" w:rsidRPr="0014084D">
        <w:t>OPEN Representatives</w:t>
      </w:r>
      <w:r w:rsidR="005474F7" w:rsidRPr="0014084D">
        <w:t xml:space="preserve">. This enables the </w:t>
      </w:r>
      <w:r w:rsidR="00FC620D">
        <w:t>Information Owner</w:t>
      </w:r>
      <w:r w:rsidR="005474F7" w:rsidRPr="0014084D">
        <w:t xml:space="preserve"> to ensure that the judgment does not inadvertently reveal CLOSED matters. SIAC’s practice is also to provide the draft CLOSED judgment to the </w:t>
      </w:r>
      <w:r w:rsidR="00FC620D">
        <w:t>Information Owner</w:t>
      </w:r>
      <w:r w:rsidR="005474F7" w:rsidRPr="0014084D">
        <w:t xml:space="preserve"> and </w:t>
      </w:r>
      <w:r w:rsidR="00675292">
        <w:t xml:space="preserve">the </w:t>
      </w:r>
      <w:r w:rsidR="005474F7" w:rsidRPr="0014084D">
        <w:t>Special Advocate</w:t>
      </w:r>
      <w:r w:rsidR="00675292">
        <w:t>(</w:t>
      </w:r>
      <w:r w:rsidR="005474F7" w:rsidRPr="0014084D">
        <w:t>s</w:t>
      </w:r>
      <w:r w:rsidR="00675292">
        <w:t>)</w:t>
      </w:r>
      <w:r w:rsidR="005474F7" w:rsidRPr="0014084D">
        <w:t xml:space="preserve"> at the same time</w:t>
      </w:r>
      <w:r w:rsidR="005474F7" w:rsidRPr="0014084D">
        <w:rPr>
          <w:rStyle w:val="FootnoteReference"/>
          <w:smallCaps/>
        </w:rPr>
        <w:footnoteReference w:id="25"/>
      </w:r>
      <w:r w:rsidR="0000383A">
        <w:t>.</w:t>
      </w:r>
    </w:p>
    <w:p w14:paraId="0F69AD06" w14:textId="0AB24268" w:rsidR="005474F7" w:rsidRPr="0014084D" w:rsidRDefault="00842B65" w:rsidP="003966DA">
      <w:pPr>
        <w:pStyle w:val="OPENmanualpara"/>
      </w:pPr>
      <w:r w:rsidRPr="0014084D">
        <w:t>A Special Advocate has</w:t>
      </w:r>
      <w:r w:rsidR="005474F7" w:rsidRPr="0014084D">
        <w:t xml:space="preserve"> the opportunity to object to any appli</w:t>
      </w:r>
      <w:r w:rsidR="00DD1F32" w:rsidRPr="0014084D">
        <w:t xml:space="preserve">cation made by the </w:t>
      </w:r>
      <w:r w:rsidR="00FC620D">
        <w:t>Information Owner</w:t>
      </w:r>
      <w:r w:rsidR="005474F7" w:rsidRPr="0014084D">
        <w:t xml:space="preserve"> to move part of the OPEN judgment into CLOSED. Equally, the Special Advocate</w:t>
      </w:r>
      <w:r w:rsidR="00675292">
        <w:t>(</w:t>
      </w:r>
      <w:r w:rsidR="005474F7" w:rsidRPr="0014084D">
        <w:t>s</w:t>
      </w:r>
      <w:r w:rsidR="00675292">
        <w:t>)</w:t>
      </w:r>
      <w:r w:rsidR="005474F7" w:rsidRPr="0014084D">
        <w:t xml:space="preserve"> may apply to the Court to move a part of the CLOSED judgment into OPEN</w:t>
      </w:r>
      <w:r w:rsidR="00DD1F32" w:rsidRPr="0014084D">
        <w:rPr>
          <w:rStyle w:val="FootnoteReference"/>
        </w:rPr>
        <w:footnoteReference w:id="26"/>
      </w:r>
      <w:r w:rsidR="00534C39">
        <w:t>.</w:t>
      </w:r>
      <w:r w:rsidR="005474F7" w:rsidRPr="0014084D">
        <w:t xml:space="preserve"> </w:t>
      </w:r>
      <w:r w:rsidRPr="0014084D">
        <w:t xml:space="preserve">Ultimately, </w:t>
      </w:r>
      <w:r w:rsidR="00534C39">
        <w:t xml:space="preserve">the court is </w:t>
      </w:r>
      <w:r w:rsidRPr="0014084D">
        <w:t xml:space="preserve">the final arbiter on what is </w:t>
      </w:r>
      <w:r w:rsidR="003A0A72" w:rsidRPr="0014084D">
        <w:t xml:space="preserve">to be </w:t>
      </w:r>
      <w:r w:rsidRPr="0014084D">
        <w:t xml:space="preserve">made OPEN and what </w:t>
      </w:r>
      <w:r w:rsidR="003A0A72" w:rsidRPr="0014084D">
        <w:t>is to remain</w:t>
      </w:r>
      <w:r w:rsidRPr="0014084D">
        <w:t xml:space="preserve"> in CLOSED.</w:t>
      </w:r>
    </w:p>
    <w:p w14:paraId="641F8623" w14:textId="64A11B22" w:rsidR="005474F7" w:rsidRPr="0014084D" w:rsidRDefault="005474F7" w:rsidP="003966DA">
      <w:pPr>
        <w:pStyle w:val="OPENmanualpara"/>
        <w:rPr>
          <w:b/>
          <w:smallCaps/>
        </w:rPr>
      </w:pPr>
      <w:r w:rsidRPr="0014084D">
        <w:t xml:space="preserve">An OPEN judgment and CLOSED judgment produced in the same case are usually formally handed down at the same time. The CLOSED judgment will only </w:t>
      </w:r>
      <w:r w:rsidRPr="0014084D">
        <w:lastRenderedPageBreak/>
        <w:t xml:space="preserve">be provided to the </w:t>
      </w:r>
      <w:r w:rsidR="00FC620D">
        <w:t>Information Owner</w:t>
      </w:r>
      <w:r w:rsidRPr="0014084D">
        <w:t xml:space="preserve"> and its lawyers, the Special Advocate</w:t>
      </w:r>
      <w:r w:rsidR="00675292">
        <w:t>(s)</w:t>
      </w:r>
      <w:r w:rsidRPr="0014084D">
        <w:t xml:space="preserve"> and SASO CLOSED.</w:t>
      </w:r>
    </w:p>
    <w:p w14:paraId="2869C715" w14:textId="77777777" w:rsidR="005474F7" w:rsidRPr="0014084D" w:rsidRDefault="005474F7" w:rsidP="005F5CD0">
      <w:pPr>
        <w:pStyle w:val="Heading2"/>
      </w:pPr>
      <w:bookmarkStart w:id="71" w:name="_Toc499805120"/>
      <w:bookmarkStart w:id="72" w:name="_Toc3904902"/>
      <w:r w:rsidRPr="0014084D">
        <w:t>Appeals</w:t>
      </w:r>
      <w:bookmarkEnd w:id="71"/>
      <w:bookmarkEnd w:id="72"/>
    </w:p>
    <w:p w14:paraId="7D072659" w14:textId="24154981" w:rsidR="005474F7" w:rsidRPr="0014084D" w:rsidRDefault="00CE4F45" w:rsidP="003966DA">
      <w:pPr>
        <w:pStyle w:val="OPENmanualpara"/>
      </w:pPr>
      <w:r w:rsidRPr="0014084D">
        <w:t xml:space="preserve">There are two </w:t>
      </w:r>
      <w:r w:rsidR="0000383A">
        <w:t xml:space="preserve">routes </w:t>
      </w:r>
      <w:r w:rsidRPr="0014084D">
        <w:t>by</w:t>
      </w:r>
      <w:r w:rsidR="0061532A" w:rsidRPr="0014084D">
        <w:t xml:space="preserve"> which</w:t>
      </w:r>
      <w:r w:rsidRPr="0014084D">
        <w:t xml:space="preserve"> a Special Advocate</w:t>
      </w:r>
      <w:r w:rsidR="005474F7" w:rsidRPr="0014084D">
        <w:t xml:space="preserve"> </w:t>
      </w:r>
      <w:r w:rsidR="0000383A">
        <w:t xml:space="preserve">may </w:t>
      </w:r>
      <w:r w:rsidR="005474F7" w:rsidRPr="0014084D">
        <w:t xml:space="preserve">come to take part in </w:t>
      </w:r>
      <w:r w:rsidRPr="0014084D">
        <w:t>an appeal</w:t>
      </w:r>
      <w:r w:rsidR="005474F7" w:rsidRPr="0014084D">
        <w:t xml:space="preserve"> against </w:t>
      </w:r>
      <w:r w:rsidRPr="0014084D">
        <w:t>a judgment or court order</w:t>
      </w:r>
      <w:r w:rsidR="005474F7" w:rsidRPr="0014084D">
        <w:t>. First</w:t>
      </w:r>
      <w:r w:rsidRPr="0014084D">
        <w:t>ly, a Special Advocate</w:t>
      </w:r>
      <w:r w:rsidR="005474F7" w:rsidRPr="0014084D">
        <w:t xml:space="preserve"> may </w:t>
      </w:r>
      <w:r w:rsidR="006E5D48">
        <w:t>identify</w:t>
      </w:r>
      <w:r w:rsidR="005474F7" w:rsidRPr="0014084D">
        <w:t xml:space="preserve"> CLOSED grounds of appeal. </w:t>
      </w:r>
      <w:r w:rsidR="00675292">
        <w:t>In which case, b</w:t>
      </w:r>
      <w:r w:rsidR="005474F7" w:rsidRPr="0014084D">
        <w:t>ecause</w:t>
      </w:r>
      <w:r w:rsidRPr="0014084D">
        <w:t xml:space="preserve"> a Special Advocat</w:t>
      </w:r>
      <w:r w:rsidR="0061532A" w:rsidRPr="0014084D">
        <w:t xml:space="preserve">e is not a party to proceedings, they </w:t>
      </w:r>
      <w:r w:rsidR="005474F7" w:rsidRPr="0014084D">
        <w:t xml:space="preserve">must rely on the </w:t>
      </w:r>
      <w:r w:rsidR="00DF3CB9" w:rsidRPr="0014084D">
        <w:t>OPEN Representatives</w:t>
      </w:r>
      <w:r w:rsidR="005474F7" w:rsidRPr="0014084D">
        <w:t xml:space="preserve"> to lo</w:t>
      </w:r>
      <w:r w:rsidR="0061532A" w:rsidRPr="0014084D">
        <w:t xml:space="preserve">dge </w:t>
      </w:r>
      <w:r w:rsidR="006E5D48">
        <w:t xml:space="preserve">the </w:t>
      </w:r>
      <w:r w:rsidR="0061532A" w:rsidRPr="0014084D">
        <w:t>appeal i</w:t>
      </w:r>
      <w:r w:rsidR="006E5D48">
        <w:t xml:space="preserve">n order that the </w:t>
      </w:r>
      <w:r w:rsidR="006E5D48" w:rsidRPr="00A9146D">
        <w:t>Special Advocate</w:t>
      </w:r>
      <w:r w:rsidR="005474F7" w:rsidRPr="0014084D">
        <w:t xml:space="preserve"> can </w:t>
      </w:r>
      <w:r w:rsidR="006E5D48">
        <w:t xml:space="preserve">then </w:t>
      </w:r>
      <w:r w:rsidR="005474F7" w:rsidRPr="0014084D">
        <w:t>file grounds of appeal</w:t>
      </w:r>
      <w:r w:rsidR="006E5D48">
        <w:t xml:space="preserve"> in </w:t>
      </w:r>
      <w:r w:rsidR="006E5D48" w:rsidRPr="0014084D">
        <w:t>CLOSED</w:t>
      </w:r>
      <w:r w:rsidR="005474F7" w:rsidRPr="0014084D">
        <w:t xml:space="preserve">. </w:t>
      </w:r>
    </w:p>
    <w:p w14:paraId="16572D9B" w14:textId="4466ED59" w:rsidR="005474F7" w:rsidRPr="0014084D" w:rsidRDefault="00CE4F45" w:rsidP="003966DA">
      <w:pPr>
        <w:pStyle w:val="OPENmanualpara"/>
      </w:pPr>
      <w:r w:rsidRPr="0014084D">
        <w:t>I</w:t>
      </w:r>
      <w:r w:rsidR="005474F7" w:rsidRPr="0014084D">
        <w:t xml:space="preserve">f the </w:t>
      </w:r>
      <w:r w:rsidR="00DF3CB9" w:rsidRPr="0014084D">
        <w:t>OPEN Representatives</w:t>
      </w:r>
      <w:r w:rsidR="005474F7" w:rsidRPr="0014084D">
        <w:t xml:space="preserve"> </w:t>
      </w:r>
      <w:r w:rsidR="006E5D48">
        <w:t xml:space="preserve">do </w:t>
      </w:r>
      <w:r w:rsidR="005474F7" w:rsidRPr="0014084D">
        <w:t>no</w:t>
      </w:r>
      <w:r w:rsidR="006E5D48">
        <w:t>t intend</w:t>
      </w:r>
      <w:r w:rsidRPr="0014084D">
        <w:t xml:space="preserve"> to </w:t>
      </w:r>
      <w:r w:rsidR="006E5D48">
        <w:t>appeal the OPEN judgment, then the</w:t>
      </w:r>
      <w:r w:rsidRPr="0014084D">
        <w:t xml:space="preserve"> Special Advocate must </w:t>
      </w:r>
      <w:r w:rsidR="005474F7" w:rsidRPr="0014084D">
        <w:t xml:space="preserve">inform the </w:t>
      </w:r>
      <w:r w:rsidR="00DF3CB9" w:rsidRPr="0014084D">
        <w:t>OPEN Representatives</w:t>
      </w:r>
      <w:r w:rsidRPr="0014084D">
        <w:t xml:space="preserve"> </w:t>
      </w:r>
      <w:r w:rsidR="00153570">
        <w:t xml:space="preserve">(by way of a </w:t>
      </w:r>
      <w:r w:rsidR="00534C39">
        <w:t>C</w:t>
      </w:r>
      <w:r w:rsidR="00153570">
        <w:t xml:space="preserve">ommunication </w:t>
      </w:r>
      <w:r w:rsidR="00534C39">
        <w:t>R</w:t>
      </w:r>
      <w:r w:rsidR="00153570">
        <w:t xml:space="preserve">equest) </w:t>
      </w:r>
      <w:r w:rsidRPr="0014084D">
        <w:t>that the</w:t>
      </w:r>
      <w:r w:rsidR="001A6906">
        <w:t>re are CLOSED grounds of</w:t>
      </w:r>
      <w:r w:rsidRPr="0014084D">
        <w:t xml:space="preserve"> appeal </w:t>
      </w:r>
      <w:r w:rsidR="005474F7" w:rsidRPr="0014084D">
        <w:t>so</w:t>
      </w:r>
      <w:r w:rsidRPr="0014084D">
        <w:t xml:space="preserve"> as to require them</w:t>
      </w:r>
      <w:r w:rsidR="00153570">
        <w:t xml:space="preserve"> to lodge an appeal.</w:t>
      </w:r>
    </w:p>
    <w:p w14:paraId="297D3DCB" w14:textId="3314C4EC" w:rsidR="005474F7" w:rsidRPr="0014084D" w:rsidRDefault="00CE4F45" w:rsidP="003966DA">
      <w:pPr>
        <w:pStyle w:val="OPENmanualpara"/>
      </w:pPr>
      <w:r w:rsidRPr="0014084D">
        <w:t xml:space="preserve">Secondly, although a Special Advocate </w:t>
      </w:r>
      <w:r w:rsidR="005474F7" w:rsidRPr="0014084D">
        <w:t xml:space="preserve">may have no CLOSED grounds of appeal, the </w:t>
      </w:r>
      <w:r w:rsidR="00FC620D">
        <w:t>Information Owner</w:t>
      </w:r>
      <w:r w:rsidR="005474F7" w:rsidRPr="0014084D">
        <w:t xml:space="preserve"> may </w:t>
      </w:r>
      <w:r w:rsidR="00255C8E">
        <w:t xml:space="preserve">wish to </w:t>
      </w:r>
      <w:r w:rsidR="005474F7" w:rsidRPr="0014084D">
        <w:t xml:space="preserve">rely on CLOSED material to bring </w:t>
      </w:r>
      <w:r w:rsidR="00162E5E" w:rsidRPr="0014084D">
        <w:t>its</w:t>
      </w:r>
      <w:r w:rsidR="005474F7" w:rsidRPr="0014084D">
        <w:t xml:space="preserve"> own appeal or </w:t>
      </w:r>
      <w:r w:rsidR="00534C39">
        <w:t xml:space="preserve">to </w:t>
      </w:r>
      <w:r w:rsidR="005474F7" w:rsidRPr="0014084D">
        <w:t xml:space="preserve">resist an appeal advanced by the </w:t>
      </w:r>
      <w:r w:rsidR="00DF3CB9" w:rsidRPr="0014084D">
        <w:t>OPEN Representatives</w:t>
      </w:r>
      <w:r w:rsidR="001264D1" w:rsidRPr="0014084D">
        <w:t xml:space="preserve">. </w:t>
      </w:r>
      <w:r w:rsidR="00255C8E">
        <w:t xml:space="preserve">In that situation </w:t>
      </w:r>
      <w:r w:rsidR="001264D1" w:rsidRPr="0014084D">
        <w:t>a</w:t>
      </w:r>
      <w:r w:rsidR="005474F7" w:rsidRPr="0014084D">
        <w:t xml:space="preserve"> Special Advocate </w:t>
      </w:r>
      <w:r w:rsidR="001264D1" w:rsidRPr="0014084D">
        <w:t>will</w:t>
      </w:r>
      <w:r w:rsidR="00255C8E">
        <w:t xml:space="preserve"> need to consider the </w:t>
      </w:r>
      <w:r w:rsidR="00255C8E" w:rsidRPr="00255C8E">
        <w:t>CLOSED</w:t>
      </w:r>
      <w:r w:rsidR="00255C8E">
        <w:t xml:space="preserve"> material and act accordingly</w:t>
      </w:r>
      <w:r w:rsidR="005474F7" w:rsidRPr="0014084D">
        <w:t>.</w:t>
      </w:r>
    </w:p>
    <w:p w14:paraId="44B86E36" w14:textId="77777777" w:rsidR="005474F7" w:rsidRPr="0014084D" w:rsidRDefault="00F000C8" w:rsidP="005F5CD0">
      <w:pPr>
        <w:pStyle w:val="Heading2"/>
      </w:pPr>
      <w:bookmarkStart w:id="73" w:name="_Toc499805121"/>
      <w:r>
        <w:br w:type="page"/>
      </w:r>
      <w:bookmarkStart w:id="74" w:name="_Toc3904903"/>
      <w:r w:rsidR="005474F7" w:rsidRPr="0014084D">
        <w:lastRenderedPageBreak/>
        <w:t>Costs</w:t>
      </w:r>
      <w:bookmarkEnd w:id="73"/>
      <w:bookmarkEnd w:id="74"/>
    </w:p>
    <w:p w14:paraId="29C28C34" w14:textId="50F404BC" w:rsidR="00366D3C" w:rsidRPr="00366D3C" w:rsidRDefault="005474F7" w:rsidP="003966DA">
      <w:pPr>
        <w:pStyle w:val="OPENmanualpara"/>
        <w:rPr>
          <w:rStyle w:val="Emphasis"/>
          <w:i w:val="0"/>
          <w:iCs w:val="0"/>
        </w:rPr>
      </w:pPr>
      <w:r w:rsidRPr="0014084D">
        <w:rPr>
          <w:rStyle w:val="Emphasis"/>
          <w:i w:val="0"/>
        </w:rPr>
        <w:t xml:space="preserve">The general rule is that the </w:t>
      </w:r>
      <w:r w:rsidR="00FC620D">
        <w:rPr>
          <w:rStyle w:val="Emphasis"/>
          <w:i w:val="0"/>
        </w:rPr>
        <w:t>Information Owner</w:t>
      </w:r>
      <w:r w:rsidR="001264D1" w:rsidRPr="0014084D">
        <w:rPr>
          <w:rStyle w:val="Emphasis"/>
          <w:i w:val="0"/>
        </w:rPr>
        <w:t xml:space="preserve"> should pay the costs of a</w:t>
      </w:r>
      <w:r w:rsidRPr="0014084D">
        <w:rPr>
          <w:rStyle w:val="Emphasis"/>
          <w:i w:val="0"/>
        </w:rPr>
        <w:t xml:space="preserve"> Special Advocate (and SASO). </w:t>
      </w:r>
    </w:p>
    <w:p w14:paraId="53CEC2E8" w14:textId="59FA6B8A" w:rsidR="00366D3C" w:rsidRPr="00366D3C" w:rsidRDefault="00366D3C" w:rsidP="00366D3C">
      <w:pPr>
        <w:pStyle w:val="OPENmanualpara"/>
        <w:rPr>
          <w:rStyle w:val="Emphasis"/>
          <w:i w:val="0"/>
          <w:iCs w:val="0"/>
        </w:rPr>
      </w:pPr>
      <w:r w:rsidRPr="00366D3C">
        <w:rPr>
          <w:rStyle w:val="Emphasis"/>
          <w:i w:val="0"/>
          <w:iCs w:val="0"/>
        </w:rPr>
        <w:t xml:space="preserve">When the House of Lords debated the Justice and Security Bill </w:t>
      </w:r>
      <w:r>
        <w:rPr>
          <w:rStyle w:val="Emphasis"/>
          <w:i w:val="0"/>
          <w:iCs w:val="0"/>
        </w:rPr>
        <w:t xml:space="preserve">on, </w:t>
      </w:r>
      <w:r w:rsidRPr="00366D3C">
        <w:rPr>
          <w:rStyle w:val="Emphasis"/>
          <w:i w:val="0"/>
          <w:iCs w:val="0"/>
        </w:rPr>
        <w:t>17</w:t>
      </w:r>
      <w:r w:rsidRPr="00366D3C">
        <w:rPr>
          <w:rStyle w:val="Emphasis"/>
          <w:i w:val="0"/>
          <w:iCs w:val="0"/>
          <w:vertAlign w:val="superscript"/>
        </w:rPr>
        <w:t>th</w:t>
      </w:r>
      <w:r>
        <w:rPr>
          <w:rStyle w:val="Emphasis"/>
          <w:i w:val="0"/>
          <w:iCs w:val="0"/>
        </w:rPr>
        <w:t xml:space="preserve"> </w:t>
      </w:r>
      <w:r w:rsidRPr="00366D3C">
        <w:rPr>
          <w:rStyle w:val="Emphasis"/>
          <w:i w:val="0"/>
          <w:iCs w:val="0"/>
        </w:rPr>
        <w:t>July 2012</w:t>
      </w:r>
      <w:r>
        <w:rPr>
          <w:rStyle w:val="Emphasis"/>
          <w:i w:val="0"/>
          <w:iCs w:val="0"/>
        </w:rPr>
        <w:t xml:space="preserve">, </w:t>
      </w:r>
      <w:r w:rsidRPr="00366D3C">
        <w:rPr>
          <w:rStyle w:val="Emphasis"/>
          <w:i w:val="0"/>
          <w:iCs w:val="0"/>
        </w:rPr>
        <w:t xml:space="preserve">Lord Wallace of </w:t>
      </w:r>
      <w:proofErr w:type="spellStart"/>
      <w:r w:rsidRPr="00366D3C">
        <w:rPr>
          <w:rStyle w:val="Emphasis"/>
          <w:i w:val="0"/>
          <w:iCs w:val="0"/>
        </w:rPr>
        <w:t>Tankerness</w:t>
      </w:r>
      <w:proofErr w:type="spellEnd"/>
      <w:r w:rsidRPr="00366D3C">
        <w:rPr>
          <w:rStyle w:val="Emphasis"/>
          <w:i w:val="0"/>
          <w:iCs w:val="0"/>
        </w:rPr>
        <w:t xml:space="preserve"> (</w:t>
      </w:r>
      <w:r>
        <w:rPr>
          <w:rStyle w:val="Emphasis"/>
          <w:i w:val="0"/>
          <w:iCs w:val="0"/>
        </w:rPr>
        <w:t xml:space="preserve">then </w:t>
      </w:r>
      <w:r w:rsidRPr="00366D3C">
        <w:rPr>
          <w:rStyle w:val="Emphasis"/>
          <w:i w:val="0"/>
          <w:iCs w:val="0"/>
        </w:rPr>
        <w:t xml:space="preserve">Advocate General </w:t>
      </w:r>
      <w:proofErr w:type="gramStart"/>
      <w:r w:rsidRPr="00366D3C">
        <w:rPr>
          <w:rStyle w:val="Emphasis"/>
          <w:i w:val="0"/>
          <w:iCs w:val="0"/>
        </w:rPr>
        <w:t>For</w:t>
      </w:r>
      <w:proofErr w:type="gramEnd"/>
      <w:r w:rsidRPr="00366D3C">
        <w:rPr>
          <w:rStyle w:val="Emphasis"/>
          <w:i w:val="0"/>
          <w:iCs w:val="0"/>
        </w:rPr>
        <w:t xml:space="preserve"> Scotland)</w:t>
      </w:r>
      <w:r>
        <w:rPr>
          <w:rStyle w:val="Emphasis"/>
          <w:i w:val="0"/>
          <w:iCs w:val="0"/>
        </w:rPr>
        <w:t xml:space="preserve"> said:</w:t>
      </w:r>
    </w:p>
    <w:p w14:paraId="3C667F9B" w14:textId="060FA1DA" w:rsidR="00366D3C" w:rsidRPr="00366D3C" w:rsidRDefault="00366D3C" w:rsidP="00366D3C">
      <w:pPr>
        <w:pStyle w:val="Quote"/>
        <w:rPr>
          <w:rStyle w:val="Emphasis"/>
          <w:i/>
          <w:iCs w:val="0"/>
        </w:rPr>
      </w:pPr>
      <w:r w:rsidRPr="00366D3C">
        <w:rPr>
          <w:rStyle w:val="Emphasis"/>
          <w:i/>
          <w:iCs w:val="0"/>
        </w:rPr>
        <w:t xml:space="preserve">“My noble friend Lord Thomas of </w:t>
      </w:r>
      <w:proofErr w:type="spellStart"/>
      <w:r w:rsidRPr="00366D3C">
        <w:rPr>
          <w:rStyle w:val="Emphasis"/>
          <w:i/>
          <w:iCs w:val="0"/>
        </w:rPr>
        <w:t>Gresford</w:t>
      </w:r>
      <w:proofErr w:type="spellEnd"/>
      <w:r w:rsidRPr="00366D3C">
        <w:rPr>
          <w:rStyle w:val="Emphasis"/>
          <w:i/>
          <w:iCs w:val="0"/>
        </w:rPr>
        <w:t>, on a point picked up by the noble Lord, Lord Beecham, asked about who pays for the special advocates. The Government pay for them. Decisions with regard to the costs of a case overall are determined by the judge in the normal way, but the Government always meet the costs of the special advocates because it is the Government who wish to see the closed material proceedings”.</w:t>
      </w:r>
      <w:r w:rsidR="00F02492">
        <w:rPr>
          <w:rStyle w:val="FootnoteReference"/>
        </w:rPr>
        <w:footnoteReference w:id="27"/>
      </w:r>
    </w:p>
    <w:p w14:paraId="7268E2CF" w14:textId="1EA0769C" w:rsidR="005474F7" w:rsidRPr="0014084D" w:rsidRDefault="00316350" w:rsidP="003966DA">
      <w:pPr>
        <w:pStyle w:val="OPENmanualpara"/>
        <w:rPr>
          <w:rStyle w:val="Emphasis"/>
          <w:i w:val="0"/>
          <w:iCs w:val="0"/>
        </w:rPr>
      </w:pPr>
      <w:r>
        <w:rPr>
          <w:rStyle w:val="Emphasis"/>
          <w:i w:val="0"/>
        </w:rPr>
        <w:t xml:space="preserve">In a situation where the Information Owner disputes the responsibility to meet the costs of the </w:t>
      </w:r>
      <w:r w:rsidRPr="00316350">
        <w:rPr>
          <w:rStyle w:val="Emphasis"/>
          <w:i w:val="0"/>
        </w:rPr>
        <w:t>Special Advocate</w:t>
      </w:r>
      <w:r>
        <w:rPr>
          <w:rStyle w:val="Emphasis"/>
          <w:i w:val="0"/>
        </w:rPr>
        <w:t xml:space="preserve">s and SASO, </w:t>
      </w:r>
      <w:r w:rsidR="005474F7" w:rsidRPr="0014084D">
        <w:rPr>
          <w:rStyle w:val="Emphasis"/>
          <w:i w:val="0"/>
        </w:rPr>
        <w:t>it</w:t>
      </w:r>
      <w:r w:rsidR="001264D1" w:rsidRPr="0014084D">
        <w:rPr>
          <w:rStyle w:val="Emphasis"/>
          <w:i w:val="0"/>
        </w:rPr>
        <w:t xml:space="preserve"> may become</w:t>
      </w:r>
      <w:r w:rsidR="005474F7" w:rsidRPr="0014084D">
        <w:rPr>
          <w:rStyle w:val="Emphasis"/>
          <w:i w:val="0"/>
        </w:rPr>
        <w:t xml:space="preserve"> a decision for the court as to who will have to pay</w:t>
      </w:r>
      <w:r>
        <w:rPr>
          <w:rStyle w:val="Emphasis"/>
          <w:i w:val="0"/>
        </w:rPr>
        <w:t xml:space="preserve">. It should be noted that </w:t>
      </w:r>
      <w:r w:rsidR="005474F7" w:rsidRPr="0014084D">
        <w:rPr>
          <w:rStyle w:val="Emphasis"/>
          <w:i w:val="0"/>
        </w:rPr>
        <w:t xml:space="preserve">the Attorney General </w:t>
      </w:r>
      <w:r w:rsidR="00F000C8">
        <w:rPr>
          <w:rStyle w:val="Emphasis"/>
          <w:i w:val="0"/>
        </w:rPr>
        <w:t xml:space="preserve">does not pay </w:t>
      </w:r>
      <w:r w:rsidR="005474F7" w:rsidRPr="0014084D">
        <w:rPr>
          <w:rStyle w:val="Emphasis"/>
          <w:i w:val="0"/>
        </w:rPr>
        <w:t>such costs</w:t>
      </w:r>
      <w:r w:rsidR="0049601F">
        <w:rPr>
          <w:rStyle w:val="Emphasis"/>
          <w:i w:val="0"/>
        </w:rPr>
        <w:t>.</w:t>
      </w:r>
      <w:r w:rsidR="005474F7" w:rsidRPr="0014084D">
        <w:rPr>
          <w:rStyle w:val="FootnoteReference"/>
          <w:iCs/>
        </w:rPr>
        <w:footnoteReference w:id="28"/>
      </w:r>
    </w:p>
    <w:p w14:paraId="3CD20D32" w14:textId="5757EB6A" w:rsidR="000C2074" w:rsidRPr="000C2074" w:rsidRDefault="000C2074" w:rsidP="00274D44">
      <w:pPr>
        <w:pStyle w:val="OPENmanualpara"/>
        <w:rPr>
          <w:rStyle w:val="Emphasis"/>
          <w:i w:val="0"/>
          <w:iCs w:val="0"/>
        </w:rPr>
      </w:pPr>
      <w:r w:rsidRPr="000C2074">
        <w:rPr>
          <w:rStyle w:val="Emphasis"/>
          <w:i w:val="0"/>
        </w:rPr>
        <w:t xml:space="preserve">In </w:t>
      </w:r>
      <w:r w:rsidRPr="000C2074">
        <w:rPr>
          <w:rStyle w:val="Emphasis"/>
        </w:rPr>
        <w:t>In re R (Closed Material Procedure: Special Advocates Funding)</w:t>
      </w:r>
      <w:r>
        <w:rPr>
          <w:rStyle w:val="Emphasis"/>
          <w:i w:val="0"/>
        </w:rPr>
        <w:t xml:space="preserve"> </w:t>
      </w:r>
      <w:r w:rsidRPr="000C2074">
        <w:rPr>
          <w:rStyle w:val="Emphasis"/>
          <w:i w:val="0"/>
        </w:rPr>
        <w:t>[2017] EWHC 1793 (Fam)</w:t>
      </w:r>
      <w:r>
        <w:rPr>
          <w:rStyle w:val="FootnoteReference"/>
          <w:iCs/>
        </w:rPr>
        <w:footnoteReference w:id="29"/>
      </w:r>
      <w:r w:rsidR="00E64FD1">
        <w:rPr>
          <w:rStyle w:val="Emphasis"/>
          <w:i w:val="0"/>
        </w:rPr>
        <w:t>,</w:t>
      </w:r>
      <w:r>
        <w:rPr>
          <w:rStyle w:val="Emphasis"/>
          <w:i w:val="0"/>
        </w:rPr>
        <w:t xml:space="preserve"> Cobb J considered the question of </w:t>
      </w:r>
      <w:r w:rsidRPr="000C2074">
        <w:rPr>
          <w:rStyle w:val="Emphasis"/>
          <w:i w:val="0"/>
        </w:rPr>
        <w:t>Special Advocate</w:t>
      </w:r>
      <w:r>
        <w:rPr>
          <w:rStyle w:val="Emphasis"/>
          <w:i w:val="0"/>
        </w:rPr>
        <w:t xml:space="preserve">s’ costs in the </w:t>
      </w:r>
      <w:r w:rsidR="00534C39">
        <w:rPr>
          <w:rStyle w:val="Emphasis"/>
          <w:i w:val="0"/>
        </w:rPr>
        <w:t>F</w:t>
      </w:r>
      <w:r>
        <w:rPr>
          <w:rStyle w:val="Emphasis"/>
          <w:i w:val="0"/>
        </w:rPr>
        <w:t>amily court and reached the following conclusions:</w:t>
      </w:r>
    </w:p>
    <w:p w14:paraId="61510384" w14:textId="78BC2587" w:rsidR="00530045" w:rsidRDefault="004F7587" w:rsidP="000C2074">
      <w:pPr>
        <w:pStyle w:val="OPENmanualpara"/>
        <w:numPr>
          <w:ilvl w:val="1"/>
          <w:numId w:val="5"/>
        </w:numPr>
        <w:rPr>
          <w:rStyle w:val="Emphasis"/>
          <w:i w:val="0"/>
          <w:iCs w:val="0"/>
        </w:rPr>
      </w:pPr>
      <w:r>
        <w:rPr>
          <w:rStyle w:val="Emphasis"/>
          <w:i w:val="0"/>
          <w:iCs w:val="0"/>
        </w:rPr>
        <w:t>t</w:t>
      </w:r>
      <w:r w:rsidR="00530045">
        <w:rPr>
          <w:rStyle w:val="Emphasis"/>
          <w:i w:val="0"/>
          <w:iCs w:val="0"/>
        </w:rPr>
        <w:t xml:space="preserve">he </w:t>
      </w:r>
      <w:r w:rsidR="00530045" w:rsidRPr="00530045">
        <w:rPr>
          <w:rStyle w:val="Emphasis"/>
          <w:i w:val="0"/>
          <w:iCs w:val="0"/>
        </w:rPr>
        <w:t>Attorney General</w:t>
      </w:r>
      <w:r w:rsidR="00530045">
        <w:rPr>
          <w:rStyle w:val="Emphasis"/>
          <w:i w:val="0"/>
          <w:iCs w:val="0"/>
        </w:rPr>
        <w:t xml:space="preserve"> had no budget to fund </w:t>
      </w:r>
      <w:r w:rsidR="00530045" w:rsidRPr="00530045">
        <w:rPr>
          <w:rStyle w:val="Emphasis"/>
          <w:i w:val="0"/>
          <w:iCs w:val="0"/>
        </w:rPr>
        <w:t>Special Advocate</w:t>
      </w:r>
      <w:r w:rsidR="00530045">
        <w:rPr>
          <w:rStyle w:val="Emphasis"/>
          <w:i w:val="0"/>
          <w:iCs w:val="0"/>
        </w:rPr>
        <w:t>s [27]</w:t>
      </w:r>
      <w:r w:rsidR="00707E5D">
        <w:rPr>
          <w:rStyle w:val="Emphasis"/>
          <w:i w:val="0"/>
          <w:iCs w:val="0"/>
        </w:rPr>
        <w:t>;</w:t>
      </w:r>
      <w:r>
        <w:rPr>
          <w:rStyle w:val="Emphasis"/>
          <w:i w:val="0"/>
          <w:iCs w:val="0"/>
        </w:rPr>
        <w:t xml:space="preserve"> and</w:t>
      </w:r>
    </w:p>
    <w:p w14:paraId="7C00BC4F" w14:textId="64F8928B" w:rsidR="00530045" w:rsidRDefault="004F7587" w:rsidP="000C2074">
      <w:pPr>
        <w:pStyle w:val="OPENmanualpara"/>
        <w:numPr>
          <w:ilvl w:val="1"/>
          <w:numId w:val="5"/>
        </w:numPr>
        <w:rPr>
          <w:rStyle w:val="Emphasis"/>
          <w:i w:val="0"/>
          <w:iCs w:val="0"/>
        </w:rPr>
      </w:pPr>
      <w:r>
        <w:rPr>
          <w:rStyle w:val="Emphasis"/>
          <w:i w:val="0"/>
          <w:iCs w:val="0"/>
        </w:rPr>
        <w:t>t</w:t>
      </w:r>
      <w:r w:rsidR="00530045">
        <w:rPr>
          <w:rStyle w:val="Emphasis"/>
          <w:i w:val="0"/>
          <w:iCs w:val="0"/>
        </w:rPr>
        <w:t xml:space="preserve">here was no statutory duty on the Legal Aid Agency under LAPSO to fund a </w:t>
      </w:r>
      <w:r w:rsidR="00530045" w:rsidRPr="00530045">
        <w:rPr>
          <w:rStyle w:val="Emphasis"/>
          <w:i w:val="0"/>
          <w:iCs w:val="0"/>
        </w:rPr>
        <w:t>Special Advocate</w:t>
      </w:r>
      <w:r w:rsidR="00530045">
        <w:rPr>
          <w:rStyle w:val="Emphasis"/>
          <w:i w:val="0"/>
          <w:iCs w:val="0"/>
        </w:rPr>
        <w:t xml:space="preserve"> [27].</w:t>
      </w:r>
    </w:p>
    <w:p w14:paraId="43452F57" w14:textId="4E99EE3F" w:rsidR="00AA3887" w:rsidRDefault="00AA3887" w:rsidP="00AA3887">
      <w:pPr>
        <w:pStyle w:val="OPENmanualpara"/>
        <w:rPr>
          <w:rStyle w:val="Emphasis"/>
          <w:i w:val="0"/>
          <w:iCs w:val="0"/>
        </w:rPr>
      </w:pPr>
      <w:r>
        <w:rPr>
          <w:rStyle w:val="Emphasis"/>
          <w:i w:val="0"/>
          <w:iCs w:val="0"/>
        </w:rPr>
        <w:t xml:space="preserve">The judge </w:t>
      </w:r>
      <w:r w:rsidR="00E64FD1">
        <w:rPr>
          <w:rStyle w:val="Emphasis"/>
          <w:i w:val="0"/>
          <w:iCs w:val="0"/>
        </w:rPr>
        <w:t>went on to</w:t>
      </w:r>
      <w:r>
        <w:rPr>
          <w:rStyle w:val="Emphasis"/>
          <w:i w:val="0"/>
          <w:iCs w:val="0"/>
        </w:rPr>
        <w:t xml:space="preserve"> </w:t>
      </w:r>
      <w:r w:rsidR="00E64FD1">
        <w:rPr>
          <w:rStyle w:val="Emphasis"/>
          <w:i w:val="0"/>
          <w:iCs w:val="0"/>
        </w:rPr>
        <w:t>conclude</w:t>
      </w:r>
      <w:r w:rsidR="00530045" w:rsidRPr="00AA3887">
        <w:rPr>
          <w:rStyle w:val="Emphasis"/>
          <w:i w:val="0"/>
          <w:iCs w:val="0"/>
        </w:rPr>
        <w:t xml:space="preserve"> </w:t>
      </w:r>
      <w:r w:rsidR="00E64FD1">
        <w:rPr>
          <w:rStyle w:val="Emphasis"/>
          <w:i w:val="0"/>
          <w:iCs w:val="0"/>
        </w:rPr>
        <w:t xml:space="preserve">at [29] </w:t>
      </w:r>
      <w:r>
        <w:rPr>
          <w:rStyle w:val="Emphasis"/>
          <w:i w:val="0"/>
          <w:iCs w:val="0"/>
        </w:rPr>
        <w:t xml:space="preserve">that the Police, as the </w:t>
      </w:r>
      <w:r w:rsidR="00FC620D">
        <w:rPr>
          <w:rStyle w:val="Emphasis"/>
          <w:i w:val="0"/>
          <w:iCs w:val="0"/>
        </w:rPr>
        <w:t>Information Owner</w:t>
      </w:r>
      <w:r>
        <w:rPr>
          <w:rStyle w:val="Emphasis"/>
          <w:i w:val="0"/>
          <w:iCs w:val="0"/>
        </w:rPr>
        <w:t>s:</w:t>
      </w:r>
    </w:p>
    <w:p w14:paraId="5035F432" w14:textId="77777777" w:rsidR="00AA3887" w:rsidRPr="00AA3887" w:rsidRDefault="00AA3887" w:rsidP="009267E1">
      <w:pPr>
        <w:pStyle w:val="Quote"/>
        <w:rPr>
          <w:rStyle w:val="Emphasis"/>
          <w:rFonts w:eastAsia="Calibri"/>
          <w:bCs w:val="0"/>
          <w:i/>
          <w:iCs w:val="0"/>
        </w:rPr>
      </w:pPr>
      <w:r>
        <w:rPr>
          <w:rStyle w:val="Emphasis"/>
          <w:i/>
          <w:iCs w:val="0"/>
        </w:rPr>
        <w:lastRenderedPageBreak/>
        <w:t>“</w:t>
      </w:r>
      <w:r w:rsidRPr="00AA3887">
        <w:rPr>
          <w:rStyle w:val="Emphasis"/>
          <w:i/>
          <w:iCs w:val="0"/>
        </w:rPr>
        <w:t>…should be required to broaden its obligations to ensure that those who are most affected by the information are given the fullest and fairest opportunity to have the case for non-disclosure tested.</w:t>
      </w:r>
      <w:r>
        <w:rPr>
          <w:rStyle w:val="Emphasis"/>
          <w:i/>
          <w:iCs w:val="0"/>
        </w:rPr>
        <w:t xml:space="preserve">” </w:t>
      </w:r>
    </w:p>
    <w:p w14:paraId="40E608F7" w14:textId="77777777" w:rsidR="000C2074" w:rsidRDefault="00AA3887" w:rsidP="00AA3887">
      <w:pPr>
        <w:pStyle w:val="OPENmanualpara"/>
        <w:rPr>
          <w:rStyle w:val="Emphasis"/>
          <w:i w:val="0"/>
          <w:iCs w:val="0"/>
        </w:rPr>
      </w:pPr>
      <w:r>
        <w:rPr>
          <w:rStyle w:val="Emphasis"/>
          <w:i w:val="0"/>
          <w:iCs w:val="0"/>
        </w:rPr>
        <w:t>Finally, the judge concluded that there should be no costs cap.</w:t>
      </w:r>
    </w:p>
    <w:p w14:paraId="53F2CDA9" w14:textId="77777777" w:rsidR="00707E5D" w:rsidRPr="00AA3887" w:rsidRDefault="00707E5D" w:rsidP="00707E5D">
      <w:pPr>
        <w:pStyle w:val="OPENmanualpara"/>
        <w:rPr>
          <w:rStyle w:val="Emphasis"/>
          <w:i w:val="0"/>
          <w:iCs w:val="0"/>
        </w:rPr>
      </w:pPr>
      <w:r>
        <w:rPr>
          <w:rStyle w:val="Emphasis"/>
          <w:i w:val="0"/>
          <w:iCs w:val="0"/>
        </w:rPr>
        <w:t xml:space="preserve">This decision reinforces the principle that the party seeking to depart from the normal procedures of open justice should pay the costs of the </w:t>
      </w:r>
      <w:r w:rsidRPr="007163CD">
        <w:rPr>
          <w:rStyle w:val="Emphasis"/>
          <w:i w:val="0"/>
          <w:iCs w:val="0"/>
        </w:rPr>
        <w:t>Special Advocate</w:t>
      </w:r>
      <w:r>
        <w:rPr>
          <w:rStyle w:val="Emphasis"/>
          <w:i w:val="0"/>
          <w:iCs w:val="0"/>
        </w:rPr>
        <w:t>s and SASO.</w:t>
      </w:r>
    </w:p>
    <w:p w14:paraId="24C8B5BF" w14:textId="77777777" w:rsidR="00FB377F" w:rsidRDefault="00FB377F" w:rsidP="005F5CD0">
      <w:pPr>
        <w:pStyle w:val="Heading1"/>
        <w:sectPr w:rsidR="00FB377F" w:rsidSect="009F09E8">
          <w:headerReference w:type="even" r:id="rId36"/>
          <w:headerReference w:type="default" r:id="rId37"/>
          <w:headerReference w:type="first" r:id="rId38"/>
          <w:pgSz w:w="11906" w:h="16838" w:code="9"/>
          <w:pgMar w:top="1440" w:right="1440" w:bottom="851" w:left="1440" w:header="709" w:footer="170" w:gutter="0"/>
          <w:cols w:space="708"/>
          <w:docGrid w:linePitch="360"/>
        </w:sectPr>
      </w:pPr>
    </w:p>
    <w:p w14:paraId="42F122B3" w14:textId="613947DB" w:rsidR="00BE70C5" w:rsidRDefault="00BE70C5" w:rsidP="005F5CD0">
      <w:pPr>
        <w:pStyle w:val="Heading1"/>
      </w:pPr>
      <w:bookmarkStart w:id="75" w:name="_Ref2173379"/>
      <w:bookmarkStart w:id="76" w:name="_Toc3904904"/>
      <w:r>
        <w:lastRenderedPageBreak/>
        <w:t xml:space="preserve">Part </w:t>
      </w:r>
      <w:r w:rsidR="003966DA">
        <w:t>V</w:t>
      </w:r>
      <w:r>
        <w:t xml:space="preserve"> – </w:t>
      </w:r>
      <w:bookmarkStart w:id="77" w:name="Part5"/>
      <w:r>
        <w:t>Disclosure</w:t>
      </w:r>
      <w:bookmarkEnd w:id="75"/>
      <w:bookmarkEnd w:id="76"/>
      <w:r>
        <w:t xml:space="preserve"> </w:t>
      </w:r>
      <w:bookmarkEnd w:id="77"/>
    </w:p>
    <w:p w14:paraId="37CCFD5A" w14:textId="77777777" w:rsidR="00BE70C5" w:rsidRDefault="005F5CD0" w:rsidP="005F5CD0">
      <w:pPr>
        <w:pStyle w:val="Heading2"/>
      </w:pPr>
      <w:bookmarkStart w:id="78" w:name="_Toc3904905"/>
      <w:r>
        <w:t>Case law</w:t>
      </w:r>
      <w:bookmarkEnd w:id="78"/>
    </w:p>
    <w:p w14:paraId="4E2034BE" w14:textId="4E082E7A" w:rsidR="00BE70C5" w:rsidRPr="00AF4192" w:rsidRDefault="00BE70C5" w:rsidP="003966DA">
      <w:pPr>
        <w:pStyle w:val="OPENmanualpara"/>
      </w:pPr>
      <w:r w:rsidRPr="00AF4192">
        <w:t xml:space="preserve">Certain </w:t>
      </w:r>
      <w:r w:rsidR="00B16C14">
        <w:t>important</w:t>
      </w:r>
      <w:r w:rsidRPr="00AF4192">
        <w:t xml:space="preserve"> decisions have been </w:t>
      </w:r>
      <w:r w:rsidR="00AF4192">
        <w:t>handed down</w:t>
      </w:r>
      <w:r w:rsidRPr="00AF4192">
        <w:t xml:space="preserve"> regarding disclosure in CLOSED </w:t>
      </w:r>
      <w:r w:rsidR="00534C39">
        <w:t>proceedings</w:t>
      </w:r>
      <w:r w:rsidRPr="00AF4192">
        <w:t>. These include:</w:t>
      </w:r>
    </w:p>
    <w:p w14:paraId="44944F10" w14:textId="77777777" w:rsidR="00BE70C5" w:rsidRPr="0014084D" w:rsidRDefault="00BE70C5" w:rsidP="0000383A">
      <w:pPr>
        <w:pStyle w:val="OPENmanualpara"/>
        <w:numPr>
          <w:ilvl w:val="1"/>
          <w:numId w:val="5"/>
        </w:numPr>
        <w:rPr>
          <w:iCs/>
        </w:rPr>
      </w:pPr>
      <w:r w:rsidRPr="00534C39">
        <w:rPr>
          <w:i/>
        </w:rPr>
        <w:t>Secretary of State for the Home Department v AF (N</w:t>
      </w:r>
      <w:r w:rsidRPr="00534C39">
        <w:rPr>
          <w:i/>
          <w:vertAlign w:val="superscript"/>
        </w:rPr>
        <w:t>o</w:t>
      </w:r>
      <w:r w:rsidRPr="00534C39">
        <w:rPr>
          <w:i/>
        </w:rPr>
        <w:t xml:space="preserve"> 3)</w:t>
      </w:r>
      <w:r w:rsidRPr="0014084D">
        <w:t xml:space="preserve"> [2009] UKHL 28</w:t>
      </w:r>
      <w:r w:rsidR="003E5779">
        <w:rPr>
          <w:rStyle w:val="FootnoteReference"/>
        </w:rPr>
        <w:footnoteReference w:id="30"/>
      </w:r>
      <w:r w:rsidRPr="0014084D">
        <w:t>;</w:t>
      </w:r>
    </w:p>
    <w:p w14:paraId="08AA0430" w14:textId="77777777" w:rsidR="00BE70C5" w:rsidRPr="0014084D" w:rsidRDefault="00BE70C5" w:rsidP="0000383A">
      <w:pPr>
        <w:pStyle w:val="OPENmanualpara"/>
        <w:numPr>
          <w:ilvl w:val="1"/>
          <w:numId w:val="5"/>
        </w:numPr>
        <w:rPr>
          <w:iCs/>
        </w:rPr>
      </w:pPr>
      <w:proofErr w:type="gramStart"/>
      <w:r w:rsidRPr="0014084D">
        <w:rPr>
          <w:i/>
        </w:rPr>
        <w:t>A</w:t>
      </w:r>
      <w:r w:rsidR="007802D6">
        <w:rPr>
          <w:i/>
        </w:rPr>
        <w:t xml:space="preserve"> </w:t>
      </w:r>
      <w:r w:rsidR="00B4217A">
        <w:rPr>
          <w:i/>
        </w:rPr>
        <w:t xml:space="preserve"> </w:t>
      </w:r>
      <w:r w:rsidRPr="0014084D">
        <w:rPr>
          <w:i/>
        </w:rPr>
        <w:t>v</w:t>
      </w:r>
      <w:proofErr w:type="gramEnd"/>
      <w:r w:rsidRPr="0014084D">
        <w:rPr>
          <w:i/>
        </w:rPr>
        <w:t xml:space="preserve"> United Kingdom</w:t>
      </w:r>
      <w:r w:rsidRPr="0014084D">
        <w:t xml:space="preserve"> (</w:t>
      </w:r>
      <w:r w:rsidR="0071259B">
        <w:t>3</w:t>
      </w:r>
      <w:r w:rsidR="00B4217A">
        <w:t>455/05</w:t>
      </w:r>
      <w:r w:rsidR="0002397B">
        <w:t>)</w:t>
      </w:r>
      <w:r w:rsidR="00B4217A">
        <w:t xml:space="preserve"> </w:t>
      </w:r>
      <w:r w:rsidR="007C4C16" w:rsidRPr="00E22D2D">
        <w:rPr>
          <w:color w:val="000000"/>
        </w:rPr>
        <w:t>[2009] ECHR 301</w:t>
      </w:r>
      <w:r w:rsidR="003E5779">
        <w:rPr>
          <w:rStyle w:val="FootnoteReference"/>
          <w:color w:val="000000"/>
        </w:rPr>
        <w:footnoteReference w:id="31"/>
      </w:r>
      <w:r w:rsidRPr="0014084D">
        <w:t>; and</w:t>
      </w:r>
    </w:p>
    <w:p w14:paraId="7D6F6413" w14:textId="77777777" w:rsidR="00BE70C5" w:rsidRPr="0014084D" w:rsidRDefault="00BE70C5" w:rsidP="00B4217A">
      <w:pPr>
        <w:pStyle w:val="OPENmanualpara"/>
        <w:numPr>
          <w:ilvl w:val="1"/>
          <w:numId w:val="5"/>
        </w:numPr>
        <w:rPr>
          <w:iCs/>
        </w:rPr>
      </w:pPr>
      <w:r w:rsidRPr="0014084D">
        <w:rPr>
          <w:i/>
        </w:rPr>
        <w:t>ZZ v SSHD</w:t>
      </w:r>
      <w:r w:rsidRPr="0014084D">
        <w:t xml:space="preserve"> [2011] EWCA </w:t>
      </w:r>
      <w:proofErr w:type="spellStart"/>
      <w:r w:rsidRPr="0014084D">
        <w:t>Civ</w:t>
      </w:r>
      <w:proofErr w:type="spellEnd"/>
      <w:r w:rsidRPr="0014084D">
        <w:t xml:space="preserve"> 440; </w:t>
      </w:r>
      <w:r w:rsidRPr="00E22D2D">
        <w:rPr>
          <w:i/>
        </w:rPr>
        <w:t>ZZ (France) v SSHD</w:t>
      </w:r>
      <w:r w:rsidRPr="0014084D">
        <w:t xml:space="preserve"> </w:t>
      </w:r>
      <w:r w:rsidR="00B4217A">
        <w:t>[2013] EUECJ C-300/11</w:t>
      </w:r>
      <w:r w:rsidR="00D22DF1">
        <w:rPr>
          <w:rStyle w:val="FootnoteReference"/>
        </w:rPr>
        <w:footnoteReference w:id="32"/>
      </w:r>
      <w:r w:rsidRPr="0014084D">
        <w:t xml:space="preserve">; and </w:t>
      </w:r>
      <w:r w:rsidRPr="0014084D">
        <w:rPr>
          <w:i/>
        </w:rPr>
        <w:t>ZZ (France) v SSHD</w:t>
      </w:r>
      <w:r w:rsidRPr="0014084D">
        <w:t xml:space="preserve"> (N</w:t>
      </w:r>
      <w:r w:rsidRPr="00AF4192">
        <w:rPr>
          <w:vertAlign w:val="superscript"/>
        </w:rPr>
        <w:t>o</w:t>
      </w:r>
      <w:r w:rsidR="00AF4192">
        <w:t xml:space="preserve"> </w:t>
      </w:r>
      <w:r w:rsidRPr="0014084D">
        <w:t xml:space="preserve">2) [2014] EWCA </w:t>
      </w:r>
      <w:proofErr w:type="spellStart"/>
      <w:r w:rsidRPr="0014084D">
        <w:t>Civ</w:t>
      </w:r>
      <w:proofErr w:type="spellEnd"/>
      <w:r w:rsidRPr="0014084D">
        <w:t xml:space="preserve"> 7</w:t>
      </w:r>
      <w:r w:rsidR="00172F47">
        <w:rPr>
          <w:rStyle w:val="FootnoteReference"/>
        </w:rPr>
        <w:footnoteReference w:id="33"/>
      </w:r>
      <w:r w:rsidR="00172F47">
        <w:t>.</w:t>
      </w:r>
    </w:p>
    <w:p w14:paraId="355F2769" w14:textId="60CE1B48" w:rsidR="00BE70C5" w:rsidRDefault="00BE70C5" w:rsidP="003966DA">
      <w:pPr>
        <w:pStyle w:val="OPENmanualpara"/>
      </w:pPr>
      <w:r w:rsidRPr="0014084D">
        <w:t xml:space="preserve">In </w:t>
      </w:r>
      <w:r w:rsidRPr="0014084D">
        <w:rPr>
          <w:i/>
        </w:rPr>
        <w:t>AF (N</w:t>
      </w:r>
      <w:r w:rsidRPr="00AF4192">
        <w:rPr>
          <w:i/>
          <w:vertAlign w:val="superscript"/>
        </w:rPr>
        <w:t>o</w:t>
      </w:r>
      <w:r w:rsidRPr="0014084D">
        <w:rPr>
          <w:i/>
        </w:rPr>
        <w:t xml:space="preserve"> 3)</w:t>
      </w:r>
      <w:r w:rsidRPr="0014084D">
        <w:t xml:space="preserve">, a case under the (now defunct) </w:t>
      </w:r>
      <w:r w:rsidR="00663AE4">
        <w:t>C</w:t>
      </w:r>
      <w:r w:rsidRPr="0014084D">
        <w:t xml:space="preserve">ontrol </w:t>
      </w:r>
      <w:r w:rsidR="00663AE4">
        <w:t>O</w:t>
      </w:r>
      <w:r w:rsidRPr="0014084D">
        <w:t>rder regime, the House of Lords considered the test for disclosure and the level that was required in order to meet the minimum requirements of Article 6. The House of Lords</w:t>
      </w:r>
      <w:r w:rsidR="001F651A">
        <w:t xml:space="preserve"> (Lord Phillips at paragraph 59) </w:t>
      </w:r>
      <w:r w:rsidRPr="0014084D">
        <w:t>held that Article 6 required that:</w:t>
      </w:r>
    </w:p>
    <w:p w14:paraId="1E77C063" w14:textId="77777777" w:rsidR="001F651A" w:rsidRPr="0014084D" w:rsidRDefault="001F651A" w:rsidP="009267E1">
      <w:pPr>
        <w:pStyle w:val="Quote"/>
      </w:pPr>
      <w:r>
        <w:t>“…</w:t>
      </w:r>
      <w:r w:rsidRPr="0014084D">
        <w:t>the controlee must be given sufficient information about the allegations against him to enable him to give effective instructions in relation to those allegations. Provided that this requirement is satisfied there can be a fair trial notwithstanding that the controlee is not provided with the detail or the sources of the evidence forming the basis of the allegations. Where, however, the OPEN material consists purely of general assertions and the case against the controlee is based solely or to a decisive degree on closed materials the requirements of a fair trial will not be satisfied, however cogent the case based on the closed materials may be.”</w:t>
      </w:r>
    </w:p>
    <w:p w14:paraId="731C5640" w14:textId="6CF2DD3A" w:rsidR="0011103D" w:rsidRPr="0011103D" w:rsidRDefault="001F651A" w:rsidP="00274D44">
      <w:pPr>
        <w:pStyle w:val="OPENmanualpara"/>
      </w:pPr>
      <w:r>
        <w:rPr>
          <w:iCs/>
        </w:rPr>
        <w:t>At</w:t>
      </w:r>
      <w:r w:rsidR="0054232F" w:rsidRPr="0011103D">
        <w:rPr>
          <w:iCs/>
        </w:rPr>
        <w:t xml:space="preserve"> </w:t>
      </w:r>
      <w:r w:rsidR="004732A6">
        <w:rPr>
          <w:iCs/>
        </w:rPr>
        <w:t xml:space="preserve">paragraph </w:t>
      </w:r>
      <w:r w:rsidR="0054232F" w:rsidRPr="0011103D">
        <w:rPr>
          <w:iCs/>
        </w:rPr>
        <w:t xml:space="preserve">83 Lord Hope </w:t>
      </w:r>
      <w:r w:rsidR="000476A8" w:rsidRPr="0011103D">
        <w:rPr>
          <w:iCs/>
        </w:rPr>
        <w:t>referred to</w:t>
      </w:r>
      <w:r w:rsidR="0054232F" w:rsidRPr="0011103D">
        <w:rPr>
          <w:iCs/>
        </w:rPr>
        <w:t xml:space="preserve"> Lord Scott in </w:t>
      </w:r>
      <w:r w:rsidR="0054232F" w:rsidRPr="0011103D">
        <w:rPr>
          <w:i/>
          <w:iCs/>
        </w:rPr>
        <w:t>A v SSHD</w:t>
      </w:r>
      <w:r w:rsidR="000476A8" w:rsidRPr="000476A8">
        <w:rPr>
          <w:rStyle w:val="FootnoteReference"/>
          <w:iCs/>
        </w:rPr>
        <w:footnoteReference w:id="34"/>
      </w:r>
      <w:r w:rsidR="000476A8" w:rsidRPr="0011103D">
        <w:rPr>
          <w:iCs/>
        </w:rPr>
        <w:t>,</w:t>
      </w:r>
      <w:r w:rsidR="000476A8" w:rsidRPr="0011103D">
        <w:rPr>
          <w:i/>
          <w:iCs/>
        </w:rPr>
        <w:t xml:space="preserve"> </w:t>
      </w:r>
      <w:r w:rsidR="000476A8" w:rsidRPr="0011103D">
        <w:rPr>
          <w:iCs/>
        </w:rPr>
        <w:t>saying</w:t>
      </w:r>
      <w:r w:rsidR="00E70BFC">
        <w:rPr>
          <w:iCs/>
        </w:rPr>
        <w:t>:</w:t>
      </w:r>
      <w:r w:rsidR="0054232F" w:rsidRPr="0011103D">
        <w:rPr>
          <w:iCs/>
        </w:rPr>
        <w:t xml:space="preserve"> </w:t>
      </w:r>
    </w:p>
    <w:p w14:paraId="2125CF9C" w14:textId="3E4D9468" w:rsidR="0054232F" w:rsidRPr="0054232F" w:rsidRDefault="0054232F" w:rsidP="00534C39">
      <w:pPr>
        <w:pStyle w:val="Quote"/>
      </w:pPr>
      <w:r w:rsidRPr="0011103D">
        <w:t>“…a denunciation on grounds that are not disclosed is the stuff of nightmares</w:t>
      </w:r>
      <w:r w:rsidR="000476A8" w:rsidRPr="0011103D">
        <w:t xml:space="preserve">. The rule of law in a democratic society does not tolerate </w:t>
      </w:r>
      <w:r w:rsidR="000476A8" w:rsidRPr="0011103D">
        <w:lastRenderedPageBreak/>
        <w:t>such behaviour. The fundamental principle is that everyone is entitled to the disclosure of suff</w:t>
      </w:r>
      <w:r w:rsidR="0011103D">
        <w:t>i</w:t>
      </w:r>
      <w:r w:rsidR="000476A8" w:rsidRPr="0011103D">
        <w:t>cient mat</w:t>
      </w:r>
      <w:r w:rsidR="0011103D">
        <w:t>erial to enable him to answer effe</w:t>
      </w:r>
      <w:r w:rsidR="000476A8" w:rsidRPr="0011103D">
        <w:t>ctively the case that is made against him</w:t>
      </w:r>
      <w:r w:rsidRPr="0011103D">
        <w:t>.</w:t>
      </w:r>
      <w:r>
        <w:t>”</w:t>
      </w:r>
    </w:p>
    <w:p w14:paraId="429A5EFA" w14:textId="4CD8544A" w:rsidR="0068388D" w:rsidRPr="0068388D" w:rsidRDefault="00BE70C5" w:rsidP="00274D44">
      <w:pPr>
        <w:pStyle w:val="OPENmanualpara"/>
        <w:rPr>
          <w:i/>
          <w:iCs/>
        </w:rPr>
      </w:pPr>
      <w:r w:rsidRPr="0014084D">
        <w:t xml:space="preserve">Importantly, </w:t>
      </w:r>
      <w:r w:rsidR="00AC20A0">
        <w:t>Lord Hope went on to state at paragraph 85</w:t>
      </w:r>
      <w:r w:rsidRPr="0014084D">
        <w:t xml:space="preserve"> that</w:t>
      </w:r>
      <w:r w:rsidR="00E70BFC">
        <w:t>:</w:t>
      </w:r>
    </w:p>
    <w:p w14:paraId="373A655A" w14:textId="079C5FB7" w:rsidR="00BE70C5" w:rsidRPr="004732A6" w:rsidRDefault="00BE70C5" w:rsidP="00534C39">
      <w:pPr>
        <w:pStyle w:val="Quote"/>
        <w:rPr>
          <w:iCs/>
        </w:rPr>
      </w:pPr>
      <w:r w:rsidRPr="0014084D">
        <w:t>“…</w:t>
      </w:r>
      <w:r w:rsidRPr="004732A6">
        <w:t>there is no room for an exception where it is thought that the controlled person has no conceivable case to answer</w:t>
      </w:r>
      <w:r w:rsidR="004732A6" w:rsidRPr="004732A6">
        <w:t>. The judge must insist in every case that the controlled person is given suff</w:t>
      </w:r>
      <w:r w:rsidR="004732A6">
        <w:t>i</w:t>
      </w:r>
      <w:r w:rsidR="004732A6" w:rsidRPr="004732A6">
        <w:t>cient information to enable his special advocate e</w:t>
      </w:r>
      <w:r w:rsidR="004732A6">
        <w:t>ff</w:t>
      </w:r>
      <w:r w:rsidR="004732A6" w:rsidRPr="004732A6">
        <w:t>ectively to challenge</w:t>
      </w:r>
      <w:r w:rsidR="004732A6">
        <w:t xml:space="preserve"> </w:t>
      </w:r>
      <w:r w:rsidR="004732A6" w:rsidRPr="004732A6">
        <w:t>the case that is brought against him. That is the core principle.</w:t>
      </w:r>
      <w:r w:rsidRPr="0014084D">
        <w:t>”</w:t>
      </w:r>
    </w:p>
    <w:p w14:paraId="564F00F1" w14:textId="0A22B0B5" w:rsidR="00CD1468" w:rsidRDefault="00E70BFC" w:rsidP="003966DA">
      <w:pPr>
        <w:pStyle w:val="OPENmanualpara"/>
      </w:pPr>
      <w:r>
        <w:t>At paragraph 96 Lord Scott said:</w:t>
      </w:r>
    </w:p>
    <w:p w14:paraId="2FE3EFD3" w14:textId="77777777" w:rsidR="00CD1468" w:rsidRDefault="00CD1468" w:rsidP="009267E1">
      <w:pPr>
        <w:pStyle w:val="Quote"/>
      </w:pPr>
      <w:r>
        <w:t>“An essential requirement of a fair hearing is that a party against whom relevant allegations are made is given the opportunity to rebut the allegations. That opportunity is absent if the party does not know what the allegations are. The degree of detail necessary to be given must, in my opinion, be sufficient to enable the opportunity to be a real one”</w:t>
      </w:r>
    </w:p>
    <w:p w14:paraId="56743610" w14:textId="7B0F994F" w:rsidR="00CD1468" w:rsidRDefault="00CD1468" w:rsidP="003966DA">
      <w:pPr>
        <w:pStyle w:val="OPENmanualpara"/>
      </w:pPr>
      <w:r>
        <w:t>And in conclusion at paragraph 116 Lord B</w:t>
      </w:r>
      <w:r w:rsidR="00E70BFC">
        <w:t>rown summed up the principle as:</w:t>
      </w:r>
    </w:p>
    <w:p w14:paraId="434AD76F" w14:textId="77777777" w:rsidR="00CD1468" w:rsidRDefault="00CD1468" w:rsidP="009267E1">
      <w:pPr>
        <w:pStyle w:val="Quote"/>
      </w:pPr>
      <w:r>
        <w:t xml:space="preserve">“In short, Strasbourg has decided that the suspect must </w:t>
      </w:r>
      <w:r w:rsidRPr="00CD1468">
        <w:t>always</w:t>
      </w:r>
      <w:r>
        <w:t xml:space="preserve"> be told sufficient of the case against him to enable him to give “effective instructions” to the special advocate, notwithstanding that sometimes this will be impossible and national security will thereby be put at risk.”</w:t>
      </w:r>
    </w:p>
    <w:p w14:paraId="29378C13" w14:textId="77777777" w:rsidR="00BE70C5" w:rsidRPr="0014084D" w:rsidRDefault="00BE70C5" w:rsidP="003966DA">
      <w:pPr>
        <w:pStyle w:val="OPENmanualpara"/>
      </w:pPr>
      <w:r w:rsidRPr="0014084D">
        <w:t xml:space="preserve">In cases where the disclosure requirements of </w:t>
      </w:r>
      <w:r w:rsidRPr="0014084D">
        <w:rPr>
          <w:i/>
        </w:rPr>
        <w:t>AF (N</w:t>
      </w:r>
      <w:r w:rsidRPr="00AF4192">
        <w:rPr>
          <w:i/>
          <w:vertAlign w:val="superscript"/>
        </w:rPr>
        <w:t>o</w:t>
      </w:r>
      <w:r w:rsidRPr="0014084D">
        <w:rPr>
          <w:i/>
        </w:rPr>
        <w:t xml:space="preserve"> 3) </w:t>
      </w:r>
      <w:r w:rsidRPr="0014084D">
        <w:t xml:space="preserve">apply, the Special Advocate’s submissions will also address what further disclosure is required in OPEN in order to satisfy Article 6 ECHR. These submissions will not take into account the risk of disclosure of the </w:t>
      </w:r>
      <w:proofErr w:type="gramStart"/>
      <w:r w:rsidRPr="0014084D">
        <w:t>material, but</w:t>
      </w:r>
      <w:proofErr w:type="gramEnd"/>
      <w:r w:rsidRPr="0014084D">
        <w:t xml:space="preserve"> are limited to what the Special Advocates believe is necessary for the purposes of Article 6.</w:t>
      </w:r>
    </w:p>
    <w:p w14:paraId="53058B12" w14:textId="77777777" w:rsidR="00BE70C5" w:rsidRPr="0014084D" w:rsidRDefault="00BE70C5" w:rsidP="003966DA">
      <w:pPr>
        <w:pStyle w:val="OPENmanualpara"/>
      </w:pPr>
      <w:r w:rsidRPr="0014084D">
        <w:t xml:space="preserve">In </w:t>
      </w:r>
      <w:r w:rsidRPr="0014084D">
        <w:rPr>
          <w:i/>
        </w:rPr>
        <w:t>A v United Kingdom</w:t>
      </w:r>
      <w:r w:rsidRPr="0014084D">
        <w:t xml:space="preserve">, eleven applicants </w:t>
      </w:r>
      <w:r w:rsidR="0000383A">
        <w:t>were</w:t>
      </w:r>
      <w:r w:rsidRPr="0014084D">
        <w:t xml:space="preserve"> detained as suspected international terrorists under the Anti-Terrorism Crime and Security Act 2001 </w:t>
      </w:r>
      <w:proofErr w:type="gramStart"/>
      <w:r w:rsidRPr="0014084D">
        <w:t>(</w:t>
      </w:r>
      <w:r w:rsidR="00ED36DA">
        <w:t>”the</w:t>
      </w:r>
      <w:proofErr w:type="gramEnd"/>
      <w:r w:rsidR="00ED36DA">
        <w:t xml:space="preserve"> 2001 Act”</w:t>
      </w:r>
      <w:r w:rsidRPr="0014084D">
        <w:t xml:space="preserve">). They appealed to SIAC against their detention and, in responding to the appeals, the Secretary of State filed both OPEN and CLOSED </w:t>
      </w:r>
      <w:r w:rsidRPr="0014084D">
        <w:lastRenderedPageBreak/>
        <w:t>statements. Before the ECtHR the applicants alleged that the Special Advocate procedure did not comply with the requirements of Article 5(4) ECHR, namely: “</w:t>
      </w:r>
      <w:r w:rsidRPr="0014084D">
        <w:rPr>
          <w:i/>
        </w:rPr>
        <w:t>Everyone who is deprived of his liberty by arrest or detention shall be entitled to take proceedings by which the lawfulness of his detention shall be decided speedily by a court and his release ordered if the detention is not lawful</w:t>
      </w:r>
      <w:r w:rsidRPr="0014084D">
        <w:t>.”</w:t>
      </w:r>
    </w:p>
    <w:p w14:paraId="16B50709" w14:textId="77777777" w:rsidR="00BE70C5" w:rsidRPr="0014084D" w:rsidRDefault="00BE70C5" w:rsidP="003966DA">
      <w:pPr>
        <w:pStyle w:val="OPENmanualpara"/>
        <w:rPr>
          <w:smallCaps/>
        </w:rPr>
      </w:pPr>
      <w:r w:rsidRPr="0014084D">
        <w:t>The ECtHR found that there had been a breach of Article 5(4) in relation to some of the applicants</w:t>
      </w:r>
      <w:r w:rsidR="004732A6">
        <w:t>,</w:t>
      </w:r>
      <w:r w:rsidRPr="0014084D">
        <w:t xml:space="preserve"> as they had not been given sufficient disclosure of the allegations against them in order to effectively challenge them. The ECtHR stated that where full disclosure was not possible</w:t>
      </w:r>
      <w:r w:rsidR="004732A6">
        <w:t>,</w:t>
      </w:r>
      <w:r w:rsidRPr="0014084D">
        <w:t xml:space="preserve"> and therefore CLOSED material was relied upon, Article 5(4) required that the difficulties this caused be counterbalanced in such a way that each applicant still had the possibility to effectively challenge the allegations against him. Expanding on the requirements of Article 5(4) the ECHR stated: </w:t>
      </w:r>
    </w:p>
    <w:p w14:paraId="39DBA169" w14:textId="77777777" w:rsidR="00BE70C5" w:rsidRPr="0014084D" w:rsidRDefault="00BE70C5" w:rsidP="009267E1">
      <w:pPr>
        <w:pStyle w:val="Quote"/>
      </w:pPr>
      <w:r w:rsidRPr="0014084D">
        <w:t xml:space="preserve">“220. [T]he special advocate could perform an important role in counterbalancing the lack of full disclosure and the lack of a full, open, adversarial hearing by testing the evidence and putting arguments on behalf of the detainee during the closed hearings. However, the special advocate could not perform this function in any useful way unless the detainee was provided with sufficient information about the allegations against him to enable him to give effective instructions to the special advocate. While this question must be decided on a case-by-case basis, the Court observes generally that, where the evidence was to a large extent disclosed and the open material played the predominant role in the determination, it could not be said that the applicant was denied an opportunity effectively to challenge the reasonableness of the Secretary of State's belief and suspicions about him. In other cases, even where all or most of the underlying evidence remained undisclosed, if the allegations contained in the open material were sufficiently specific, it should have been possible for the applicant to provide his representatives and the special advocate with information with which to refute them, if such information existed, without his having to know the detail or sources of the evidence which formed the basis of the allegations...Where, however, the open material consisted purely of </w:t>
      </w:r>
      <w:r w:rsidRPr="0014084D">
        <w:lastRenderedPageBreak/>
        <w:t>general assertions and SIAC's decision to uphold the certification and maintain the detention was based solely or to a decisive degree on closed material, the procedural requirements of Article 5 § 4 would not be satisfied.”</w:t>
      </w:r>
    </w:p>
    <w:p w14:paraId="39CC1B60" w14:textId="77777777" w:rsidR="0000383A" w:rsidRDefault="00BE70C5" w:rsidP="003966DA">
      <w:pPr>
        <w:pStyle w:val="OPENmanualpara"/>
      </w:pPr>
      <w:bookmarkStart w:id="79" w:name="_Ref522706048"/>
      <w:r w:rsidRPr="0014084D">
        <w:t xml:space="preserve">In </w:t>
      </w:r>
      <w:r w:rsidRPr="0014084D">
        <w:rPr>
          <w:i/>
        </w:rPr>
        <w:t>ZZ v SSHD</w:t>
      </w:r>
      <w:r w:rsidRPr="0014084D">
        <w:t xml:space="preserve">, the appellant was an EU citizen, a dual French-Algerian national, who had been lawfully resident in the UK for 15 years up to </w:t>
      </w:r>
      <w:proofErr w:type="gramStart"/>
      <w:r w:rsidRPr="0014084D">
        <w:t>2005, and</w:t>
      </w:r>
      <w:proofErr w:type="gramEnd"/>
      <w:r w:rsidRPr="0014084D">
        <w:t xml:space="preserve"> had a right of permanent residence in the UK.  He was refused re-admission on his return from a visit to </w:t>
      </w:r>
      <w:proofErr w:type="gramStart"/>
      <w:r w:rsidRPr="0014084D">
        <w:t>Algeria, and</w:t>
      </w:r>
      <w:proofErr w:type="gramEnd"/>
      <w:r w:rsidRPr="0014084D">
        <w:t xml:space="preserve"> was deported from the UK on the grounds of national security pursuant to Article 27 of EU Directive 2004/38.  He challenged this decision</w:t>
      </w:r>
      <w:r w:rsidR="0000383A">
        <w:t>, and</w:t>
      </w:r>
      <w:r w:rsidRPr="0014084D">
        <w:t xml:space="preserve"> SIAC upheld the SSHD’s decision on appeal.  </w:t>
      </w:r>
    </w:p>
    <w:p w14:paraId="664310BB" w14:textId="60CB6141" w:rsidR="00BE70C5" w:rsidRPr="0014084D" w:rsidRDefault="00BE70C5" w:rsidP="003966DA">
      <w:pPr>
        <w:pStyle w:val="OPENmanualpara"/>
      </w:pPr>
      <w:r w:rsidRPr="0014084D">
        <w:t xml:space="preserve">ZZ then appealed to the Court of Appeal. The </w:t>
      </w:r>
      <w:r w:rsidR="002D495A">
        <w:t>c</w:t>
      </w:r>
      <w:r w:rsidRPr="0014084D">
        <w:t>ourt dismissed his appeal on domestic law grounds but referred to the CJEU the question of whether article 30(2) of Directive 2004/38 required the individual to have been given the essence of the grounds on which a decision was made, even if the domestic court considered that it would be contrary to the interests of national security to do so. On the reference, the CJEU held at [65] that:</w:t>
      </w:r>
      <w:bookmarkEnd w:id="79"/>
    </w:p>
    <w:p w14:paraId="35E5D47D" w14:textId="0451F0C0" w:rsidR="00BE70C5" w:rsidRPr="0014084D" w:rsidRDefault="00BE70C5" w:rsidP="009267E1">
      <w:pPr>
        <w:pStyle w:val="Quote"/>
      </w:pPr>
      <w:r w:rsidRPr="0014084D">
        <w:t>“…first, in the light of the need to comply with Article 47 of the Charter, that procedure must ensure, to the greatest possible extent, that the adversarial principle is complied with, in order to enable the person concerned to contest the grounds on which the decision in question is based and to make submissions on the evidence relating to the decision and, therefore, to put forward an effective defence. In particular, the person concerned must be informed, in any event, of the essence of the grounds on which a decision refusing entry taken under Article 27 of Directive 2004/38 is based, as the necessary protection of State security cannot have the effect of denying the person concerned his right to be heard and, therefore, of rendering his right of redress as provided for in Article 31 of that directive ineffective.”</w:t>
      </w:r>
    </w:p>
    <w:p w14:paraId="4D15913B" w14:textId="77777777" w:rsidR="00BE70C5" w:rsidRPr="0014084D" w:rsidRDefault="00BE70C5" w:rsidP="003966DA">
      <w:pPr>
        <w:pStyle w:val="OPENmanualpara"/>
        <w:rPr>
          <w:i/>
        </w:rPr>
      </w:pPr>
      <w:bookmarkStart w:id="80" w:name="_Ref522706053"/>
      <w:r w:rsidRPr="0014084D">
        <w:t xml:space="preserve">The matter was heard by the Court of Appeal a second time in </w:t>
      </w:r>
      <w:r w:rsidRPr="0014084D">
        <w:rPr>
          <w:i/>
        </w:rPr>
        <w:t>ZZ (N</w:t>
      </w:r>
      <w:r w:rsidRPr="0014084D">
        <w:rPr>
          <w:i/>
          <w:vertAlign w:val="superscript"/>
        </w:rPr>
        <w:t>o</w:t>
      </w:r>
      <w:r w:rsidRPr="0014084D">
        <w:rPr>
          <w:i/>
        </w:rPr>
        <w:t xml:space="preserve"> 2).</w:t>
      </w:r>
      <w:r w:rsidRPr="0014084D">
        <w:t xml:space="preserve">  ZZ argued that there was a core minimum level of disclosure that might even involve disclosure of material harmful to national security. </w:t>
      </w:r>
      <w:r w:rsidR="00557015">
        <w:t>In discussing the meaning of the CJEU’s judgment, Richards LJ stated at paragraph 25</w:t>
      </w:r>
      <w:r w:rsidRPr="0014084D">
        <w:t>:</w:t>
      </w:r>
      <w:bookmarkEnd w:id="80"/>
    </w:p>
    <w:p w14:paraId="4F716BC2" w14:textId="77777777" w:rsidR="00BE70C5" w:rsidRPr="0014084D" w:rsidRDefault="00BE70C5" w:rsidP="009267E1">
      <w:pPr>
        <w:pStyle w:val="Quote"/>
      </w:pPr>
      <w:r w:rsidRPr="0014084D">
        <w:lastRenderedPageBreak/>
        <w:t xml:space="preserve">“This leads the court to state in para 68 that the national court must "ensure that the person concerned is informed of the essence of the grounds … in a manner which takes due account of the necessary confidentiality of the evidence". That still makes clear that the essence of the grounds must be disclosed but provides that the manner of disclosure must take "due account" of the necessary confidentiality of the evidence, that is to say it must protect the confidentiality of evidence disclosure of which would be contrary to national security. The court does not state in terms what is to happen if the essence of the grounds cannot be disclosed without at the same time disclosing such confidential evidence. To my mind, however, the position in that event is clear from what the court does say: the essence of the grounds must still be disclosed. The qualifying words relate to the </w:t>
      </w:r>
      <w:r w:rsidRPr="0014084D">
        <w:rPr>
          <w:iCs/>
        </w:rPr>
        <w:t>manner</w:t>
      </w:r>
      <w:r w:rsidRPr="0014084D">
        <w:t xml:space="preserve"> of disclosure of the essence of the grounds; they do not affect the </w:t>
      </w:r>
      <w:r w:rsidRPr="0014084D">
        <w:rPr>
          <w:iCs/>
        </w:rPr>
        <w:t>extent</w:t>
      </w:r>
      <w:r w:rsidRPr="0014084D">
        <w:t xml:space="preserve"> to which the grounds must be disclosed.”</w:t>
      </w:r>
    </w:p>
    <w:p w14:paraId="4D3FDDD3" w14:textId="77777777" w:rsidR="00557015" w:rsidRDefault="00557015" w:rsidP="007802D6">
      <w:pPr>
        <w:pStyle w:val="OPENmanualpara"/>
      </w:pPr>
      <w:r>
        <w:t xml:space="preserve">Thus, the Court of Appeal </w:t>
      </w:r>
      <w:r w:rsidRPr="0014084D">
        <w:t>held that the evidence underpinning the decision may be withheld, but that the essence of the grounds st</w:t>
      </w:r>
      <w:r>
        <w:t>ill had to be disclosed.</w:t>
      </w:r>
    </w:p>
    <w:p w14:paraId="64BD5AFD" w14:textId="77777777" w:rsidR="00563A94" w:rsidRDefault="00BE70C5" w:rsidP="00E10E83">
      <w:pPr>
        <w:pStyle w:val="OPENmanualpara"/>
      </w:pPr>
      <w:r w:rsidRPr="0014084D">
        <w:t xml:space="preserve">In </w:t>
      </w:r>
      <w:r w:rsidRPr="00E10E83">
        <w:rPr>
          <w:i/>
        </w:rPr>
        <w:t xml:space="preserve">Bank </w:t>
      </w:r>
      <w:proofErr w:type="spellStart"/>
      <w:r w:rsidRPr="00E10E83">
        <w:rPr>
          <w:i/>
        </w:rPr>
        <w:t>Mellat</w:t>
      </w:r>
      <w:proofErr w:type="spellEnd"/>
      <w:r w:rsidRPr="00E10E83">
        <w:rPr>
          <w:i/>
        </w:rPr>
        <w:t xml:space="preserve"> v HM Treasury</w:t>
      </w:r>
      <w:r w:rsidRPr="0014084D">
        <w:t xml:space="preserve"> </w:t>
      </w:r>
      <w:r w:rsidR="00E10E83" w:rsidRPr="00E10E83">
        <w:t>[2010] EWHC 350 (QB)</w:t>
      </w:r>
      <w:r w:rsidRPr="0014084D">
        <w:t xml:space="preserve">, Mitting J held that Article 6 applied to financial restrictions proceedings challenging a direction made under Schedule 7 CTA 2008. Although the terms of the Order were directed, not to Bank </w:t>
      </w:r>
      <w:proofErr w:type="spellStart"/>
      <w:r w:rsidRPr="0014084D">
        <w:t>Mellat</w:t>
      </w:r>
      <w:proofErr w:type="spellEnd"/>
      <w:r w:rsidRPr="0014084D">
        <w:t xml:space="preserve">, but to credit or financial institutions in the UK who were prohibited from dealing with the bank, the Court found that the target of the Order was the bank and, in reality, directly affected the bank’s civil rights </w:t>
      </w:r>
      <w:r w:rsidR="002D495A">
        <w:t>(</w:t>
      </w:r>
      <w:r w:rsidRPr="0014084D">
        <w:t xml:space="preserve">at </w:t>
      </w:r>
      <w:r w:rsidR="002D495A">
        <w:t>[</w:t>
      </w:r>
      <w:r w:rsidRPr="0014084D">
        <w:t>9</w:t>
      </w:r>
      <w:r w:rsidR="002D495A">
        <w:t>]</w:t>
      </w:r>
      <w:r w:rsidRPr="0014084D">
        <w:t xml:space="preserve"> and </w:t>
      </w:r>
      <w:r w:rsidR="002D495A">
        <w:t>[</w:t>
      </w:r>
      <w:r w:rsidRPr="0014084D">
        <w:t>10]</w:t>
      </w:r>
      <w:r w:rsidR="002D495A">
        <w:t>)</w:t>
      </w:r>
      <w:r w:rsidRPr="0014084D">
        <w:t xml:space="preserve">. </w:t>
      </w:r>
    </w:p>
    <w:p w14:paraId="262DB428" w14:textId="2E3D3916" w:rsidR="00BE70C5" w:rsidRPr="0014084D" w:rsidRDefault="00BE70C5" w:rsidP="00E10E83">
      <w:pPr>
        <w:pStyle w:val="OPENmanualpara"/>
      </w:pPr>
      <w:r w:rsidRPr="0014084D">
        <w:t xml:space="preserve">In turn, </w:t>
      </w:r>
      <w:r w:rsidR="00563A94">
        <w:t>Mitting J</w:t>
      </w:r>
      <w:r w:rsidRPr="0014084D">
        <w:t xml:space="preserve"> found that Article 6(1) applied to the case and the principle upon which further disclosure should be ordered were those set out in </w:t>
      </w:r>
      <w:r w:rsidRPr="00E10E83">
        <w:rPr>
          <w:i/>
        </w:rPr>
        <w:t>AF (N</w:t>
      </w:r>
      <w:r w:rsidRPr="00563A94">
        <w:rPr>
          <w:i/>
          <w:vertAlign w:val="superscript"/>
        </w:rPr>
        <w:t>o</w:t>
      </w:r>
      <w:r w:rsidR="00563A94">
        <w:rPr>
          <w:i/>
        </w:rPr>
        <w:t xml:space="preserve"> </w:t>
      </w:r>
      <w:r w:rsidRPr="00E10E83">
        <w:rPr>
          <w:i/>
        </w:rPr>
        <w:t>3)</w:t>
      </w:r>
      <w:r w:rsidRPr="0014084D">
        <w:t>, namely, that sufficient information about the essential allegations made had to be given to the Bank to ensure it had the opportunity of giving effective instructions about them (at [12] and [13])</w:t>
      </w:r>
      <w:r w:rsidR="002D495A">
        <w:t>.</w:t>
      </w:r>
      <w:r w:rsidRPr="0014084D">
        <w:t xml:space="preserve"> </w:t>
      </w:r>
    </w:p>
    <w:p w14:paraId="42652777" w14:textId="77777777" w:rsidR="00BE70C5" w:rsidRPr="0014084D" w:rsidRDefault="00BE70C5" w:rsidP="003966DA">
      <w:pPr>
        <w:pStyle w:val="OPENmanualpara"/>
      </w:pPr>
      <w:r w:rsidRPr="0014084D">
        <w:lastRenderedPageBreak/>
        <w:t xml:space="preserve">Mitting J’s ruling, and the reasons for it, were upheld by the Court of Appeal in </w:t>
      </w:r>
      <w:r w:rsidRPr="0014084D">
        <w:rPr>
          <w:i/>
        </w:rPr>
        <w:t xml:space="preserve">Bank </w:t>
      </w:r>
      <w:proofErr w:type="spellStart"/>
      <w:r w:rsidRPr="0014084D">
        <w:rPr>
          <w:i/>
        </w:rPr>
        <w:t>Mellat</w:t>
      </w:r>
      <w:proofErr w:type="spellEnd"/>
      <w:r w:rsidRPr="0014084D">
        <w:rPr>
          <w:i/>
        </w:rPr>
        <w:t xml:space="preserve"> v HM Treasury</w:t>
      </w:r>
      <w:r w:rsidRPr="0014084D">
        <w:t xml:space="preserve"> [2010] EWCA </w:t>
      </w:r>
      <w:proofErr w:type="spellStart"/>
      <w:r w:rsidRPr="0014084D">
        <w:t>Civ</w:t>
      </w:r>
      <w:proofErr w:type="spellEnd"/>
      <w:r w:rsidRPr="0014084D">
        <w:t xml:space="preserve"> 483</w:t>
      </w:r>
      <w:r w:rsidR="00905E89">
        <w:rPr>
          <w:rStyle w:val="FootnoteReference"/>
        </w:rPr>
        <w:footnoteReference w:id="35"/>
      </w:r>
      <w:r w:rsidRPr="0014084D">
        <w:t xml:space="preserve"> at [19]. The Court </w:t>
      </w:r>
      <w:r w:rsidR="00750C92">
        <w:t>went on to add</w:t>
      </w:r>
      <w:r w:rsidRPr="0014084D">
        <w:t xml:space="preserve"> two further points:</w:t>
      </w:r>
    </w:p>
    <w:p w14:paraId="3DA7DE44" w14:textId="77777777" w:rsidR="00BE70C5" w:rsidRPr="0014084D" w:rsidRDefault="00750C92" w:rsidP="00563A94">
      <w:pPr>
        <w:pStyle w:val="OPENmanualpara"/>
        <w:numPr>
          <w:ilvl w:val="1"/>
          <w:numId w:val="5"/>
        </w:numPr>
      </w:pPr>
      <w:r>
        <w:t>“</w:t>
      </w:r>
      <w:r w:rsidRPr="00750C92">
        <w:rPr>
          <w:i/>
        </w:rPr>
        <w:t>…the requirements of art 6(1) are such that the information to be provided by the Treasury must not merely be sufficient to enable the Bank to deny what is said against it. The Bank must be given sufficient information to enable it actually to refute, in so far as that is possible, the case made out against it.</w:t>
      </w:r>
      <w:r>
        <w:t>” [21]</w:t>
      </w:r>
    </w:p>
    <w:p w14:paraId="6C06AEF7" w14:textId="77777777" w:rsidR="00BE70C5" w:rsidRPr="0014084D" w:rsidRDefault="00750C92" w:rsidP="00563A94">
      <w:pPr>
        <w:pStyle w:val="OPENmanualpara"/>
        <w:numPr>
          <w:ilvl w:val="1"/>
          <w:numId w:val="5"/>
        </w:numPr>
      </w:pPr>
      <w:r>
        <w:t>“</w:t>
      </w:r>
      <w:r w:rsidRPr="00750C92">
        <w:rPr>
          <w:i/>
        </w:rPr>
        <w:t>…if a party is dissatisfied with a decision as to what information should be disclosed in a case such as this, an appeal would, at least in principle, represent an uphill task. An appellate court would normally be reluctant to interfere with a first instance judge's determination of what has to be disclosed to satisfy the requirements of art 6(1), although it would, of course, do so if satisfied that the judge had gone wrong in principle. If an appeal is to be mounted against such a decision, it would be sensible to ensure that the judge is given the opportunity to give a brief judgment explaining why he reached the conclusion that he did on the specific issue or issues which are sought to be appealed.</w:t>
      </w:r>
      <w:r>
        <w:t>” [22]</w:t>
      </w:r>
      <w:r w:rsidR="00BE70C5" w:rsidRPr="0014084D">
        <w:t>.</w:t>
      </w:r>
    </w:p>
    <w:p w14:paraId="577338E2" w14:textId="6899FEF0" w:rsidR="00BE70C5" w:rsidRPr="0014084D" w:rsidRDefault="00BE70C5" w:rsidP="003966DA">
      <w:pPr>
        <w:pStyle w:val="OPENmanualpara"/>
      </w:pPr>
      <w:r w:rsidRPr="0014084D">
        <w:t xml:space="preserve">In </w:t>
      </w:r>
      <w:r w:rsidRPr="0014084D">
        <w:rPr>
          <w:i/>
        </w:rPr>
        <w:t>R (SSHD) v SIAC [2015] EWHC 681 (Admin</w:t>
      </w:r>
      <w:r w:rsidRPr="0014084D">
        <w:t>)</w:t>
      </w:r>
      <w:r w:rsidR="00905E89">
        <w:rPr>
          <w:rStyle w:val="FootnoteReference"/>
        </w:rPr>
        <w:footnoteReference w:id="36"/>
      </w:r>
      <w:r w:rsidRPr="0014084D">
        <w:t xml:space="preserve">, however, the Divisional Court was asked to review </w:t>
      </w:r>
      <w:r w:rsidR="00750C92">
        <w:t>a</w:t>
      </w:r>
      <w:r w:rsidRPr="0014084D">
        <w:t xml:space="preserve"> decision </w:t>
      </w:r>
      <w:r w:rsidR="00750C92">
        <w:t xml:space="preserve">of SIAC </w:t>
      </w:r>
      <w:r w:rsidRPr="0014084D">
        <w:t>on the extent of disclosure to be made</w:t>
      </w:r>
      <w:r w:rsidR="00750C92">
        <w:t xml:space="preserve"> in naturalisation cases</w:t>
      </w:r>
      <w:r w:rsidRPr="0014084D">
        <w:t xml:space="preserve">. Irwin J had made a ruling that was interpreted as potentially requiring the disclosure of all material looked at in order to make an assessment for the SSHD. A </w:t>
      </w:r>
      <w:proofErr w:type="gramStart"/>
      <w:r w:rsidRPr="0014084D">
        <w:t>more narrow</w:t>
      </w:r>
      <w:proofErr w:type="gramEnd"/>
      <w:r w:rsidRPr="0014084D">
        <w:t xml:space="preserve"> interpretation was preferred by the Divisional Court. </w:t>
      </w:r>
      <w:r w:rsidR="00207754">
        <w:t>At paragraphs 34-35 Sir Brian Leveson stated that</w:t>
      </w:r>
      <w:r w:rsidRPr="0014084D">
        <w:t xml:space="preserve"> the disclosure to the Special Advocates had to be sufficient to permit challenge, if appropriate, to the underlying rationality of any part of the decision and its reasoning. This included disclosure of the underlying material relied on by the summary writer in identifying facts or reaching a conclusion.</w:t>
      </w:r>
    </w:p>
    <w:p w14:paraId="7A5A1961" w14:textId="77777777" w:rsidR="00BE70C5" w:rsidRPr="0014084D" w:rsidRDefault="00BE70C5" w:rsidP="005F5CD0">
      <w:pPr>
        <w:pStyle w:val="Heading2"/>
      </w:pPr>
      <w:bookmarkStart w:id="81" w:name="_Toc3904906"/>
      <w:r w:rsidRPr="0014084D">
        <w:lastRenderedPageBreak/>
        <w:t>Employment Tribunal Proceedings</w:t>
      </w:r>
      <w:bookmarkEnd w:id="81"/>
    </w:p>
    <w:p w14:paraId="6D8C91ED" w14:textId="77777777" w:rsidR="00AC2C62" w:rsidRDefault="00BE70C5" w:rsidP="00B14E43">
      <w:pPr>
        <w:pStyle w:val="OPENmanualpara"/>
      </w:pPr>
      <w:r w:rsidRPr="0014084D">
        <w:t xml:space="preserve">In the case of </w:t>
      </w:r>
      <w:r w:rsidRPr="00B14E43">
        <w:rPr>
          <w:i/>
        </w:rPr>
        <w:t xml:space="preserve">Tariq v Home Office </w:t>
      </w:r>
      <w:r w:rsidRPr="0014084D">
        <w:t>[2011]</w:t>
      </w:r>
      <w:r w:rsidR="00B14E43" w:rsidRPr="00B14E43">
        <w:t xml:space="preserve"> UKSC 35</w:t>
      </w:r>
      <w:r w:rsidR="00B14E43">
        <w:rPr>
          <w:rStyle w:val="FootnoteReference"/>
        </w:rPr>
        <w:footnoteReference w:id="37"/>
      </w:r>
      <w:r w:rsidRPr="0014084D">
        <w:t xml:space="preserve">, </w:t>
      </w:r>
      <w:r w:rsidR="000A0680">
        <w:t>the</w:t>
      </w:r>
      <w:r w:rsidRPr="0014084D">
        <w:t xml:space="preserve"> Applicant and his representatives were excluded from certain aspects of employment tribunal proceedings on the grounds of national security. The court held that the claimant had chosen employment which carried with it the requirement of national security vetting and was not the victim of state action depriving him of his fundamental rights, whereas the state sought to defend itself from the claim and could not do so unless it deployed </w:t>
      </w:r>
      <w:r w:rsidR="00AC2C62">
        <w:t>the national security material:</w:t>
      </w:r>
    </w:p>
    <w:p w14:paraId="44C71C52" w14:textId="77777777" w:rsidR="00AC2C62" w:rsidRPr="00AC2C62" w:rsidRDefault="00AC2C62" w:rsidP="009267E1">
      <w:pPr>
        <w:pStyle w:val="Quote"/>
      </w:pPr>
      <w:r>
        <w:t>“…</w:t>
      </w:r>
      <w:r w:rsidRPr="00AC2C62">
        <w:t>the balancing exercise called for in para 217 of the judgment in A v United Kingdom depends on the nature and weight of the circumstances on each side, and cases where the state is seeking to impose on the individual actual or virtual imprisonment are in a different category to the present, where an individual is seeking to pursue a civil claim for discrimination against the state which is seeking to defend itself.</w:t>
      </w:r>
      <w:r>
        <w:t>” [27]</w:t>
      </w:r>
    </w:p>
    <w:p w14:paraId="25964CEF" w14:textId="77777777" w:rsidR="00A919FA" w:rsidRDefault="00A919FA" w:rsidP="00B14E43">
      <w:pPr>
        <w:pStyle w:val="OPENmanualpara"/>
      </w:pPr>
      <w:r>
        <w:t>At paragraph 158 Lord Dyson set out the principle that:</w:t>
      </w:r>
    </w:p>
    <w:p w14:paraId="121229D2" w14:textId="77777777" w:rsidR="00A919FA" w:rsidRPr="00A919FA" w:rsidRDefault="00A919FA" w:rsidP="009267E1">
      <w:pPr>
        <w:pStyle w:val="Quote"/>
      </w:pPr>
      <w:r>
        <w:t>“</w:t>
      </w:r>
      <w:r w:rsidRPr="00A919FA">
        <w:t>In my judgment, these decisions show that there is a clear line of authority to support the proposition that, in surveillance and security vetting cases, an individual is not entitled to full article 6 rights if to accord him such rights would jeopardise the efficacy of the surveillance or security vetting regime itself</w:t>
      </w:r>
      <w:r>
        <w:t>…</w:t>
      </w:r>
      <w:r w:rsidRPr="00A919FA">
        <w:t>The cases show, in particular, that there is no right to be given the gist of relevant information if and to the extent that this would jeopardise the efficacy of the surveillance or security vetting regime.</w:t>
      </w:r>
      <w:r>
        <w:t>”</w:t>
      </w:r>
    </w:p>
    <w:p w14:paraId="5DDB0B38" w14:textId="77777777" w:rsidR="00A919FA" w:rsidRDefault="00A919FA" w:rsidP="00B14E43">
      <w:pPr>
        <w:pStyle w:val="OPENmanualpara"/>
      </w:pPr>
      <w:r>
        <w:t>Crucially Lord Dyson went on at paragraph 159:</w:t>
      </w:r>
    </w:p>
    <w:p w14:paraId="374A4A72" w14:textId="77777777" w:rsidR="00A919FA" w:rsidRDefault="005B064E" w:rsidP="009267E1">
      <w:pPr>
        <w:pStyle w:val="Quote"/>
      </w:pPr>
      <w:r>
        <w:t>“…</w:t>
      </w:r>
      <w:r w:rsidR="00A919FA">
        <w:t>in all cases where security clearance is sought, it is because the individual has volunteered to</w:t>
      </w:r>
      <w:r>
        <w:t xml:space="preserve"> </w:t>
      </w:r>
      <w:r w:rsidR="00A919FA">
        <w:t xml:space="preserve">undergo the clearance process for the purpose of doing (or continuing to do) the job that he is employed to do. He must be taken to know that checks will be made that may produce </w:t>
      </w:r>
      <w:r w:rsidR="00A919FA">
        <w:lastRenderedPageBreak/>
        <w:t>material that cannot be shown to him. As Lord Hope points out, he is a volunteer.</w:t>
      </w:r>
      <w:r>
        <w:t>”</w:t>
      </w:r>
    </w:p>
    <w:p w14:paraId="3816CEDB" w14:textId="6B901243" w:rsidR="00BE70C5" w:rsidRPr="0014084D" w:rsidRDefault="00AC2C62" w:rsidP="00B14E43">
      <w:pPr>
        <w:pStyle w:val="OPENmanualpara"/>
      </w:pPr>
      <w:r>
        <w:t>A</w:t>
      </w:r>
      <w:r w:rsidR="00BE70C5" w:rsidRPr="0014084D">
        <w:t xml:space="preserve">ccordingly, the balance was properly struck in favour of the </w:t>
      </w:r>
      <w:r w:rsidR="00727C3D">
        <w:t>CLOSED</w:t>
      </w:r>
      <w:r w:rsidR="00727C3D" w:rsidRPr="0014084D">
        <w:t xml:space="preserve"> </w:t>
      </w:r>
      <w:r w:rsidR="00BE70C5" w:rsidRPr="0014084D">
        <w:t>material procedure</w:t>
      </w:r>
      <w:r>
        <w:t>,</w:t>
      </w:r>
      <w:r w:rsidR="00BE70C5" w:rsidRPr="0014084D">
        <w:t xml:space="preserve"> and its use was compatible with both </w:t>
      </w:r>
      <w:r w:rsidR="00727C3D">
        <w:t>A</w:t>
      </w:r>
      <w:r w:rsidR="00BE70C5" w:rsidRPr="0014084D">
        <w:t xml:space="preserve">rticle 6 of the </w:t>
      </w:r>
      <w:r w:rsidR="00727C3D">
        <w:t>ECHR</w:t>
      </w:r>
      <w:r w:rsidR="00727C3D" w:rsidRPr="0014084D">
        <w:t xml:space="preserve"> </w:t>
      </w:r>
      <w:r w:rsidR="00BE70C5" w:rsidRPr="0014084D">
        <w:t xml:space="preserve">and European Union law. </w:t>
      </w:r>
    </w:p>
    <w:p w14:paraId="5E0A806C" w14:textId="77777777" w:rsidR="00BE70C5" w:rsidRPr="0014084D" w:rsidRDefault="00A919FA" w:rsidP="003966DA">
      <w:pPr>
        <w:pStyle w:val="OPENmanualpara"/>
      </w:pPr>
      <w:r>
        <w:t>T</w:t>
      </w:r>
      <w:r w:rsidR="00BE70C5" w:rsidRPr="0014084D">
        <w:t xml:space="preserve">he court </w:t>
      </w:r>
      <w:r>
        <w:t xml:space="preserve">thus </w:t>
      </w:r>
      <w:r w:rsidR="00BE70C5" w:rsidRPr="0014084D">
        <w:t>held that, having regard to Strasbourg jurisprudence, there was no absolute requirement that the details of allegations, which would be disclosed in normal litigation, should be disclosed where the interests of national security required secrecy. The disadvantage to the claimant had to be balanced against the paramount need to protect the integrity of the security vetting process, and th</w:t>
      </w:r>
      <w:r>
        <w:t>at</w:t>
      </w:r>
      <w:r w:rsidR="00BE70C5" w:rsidRPr="0014084D">
        <w:t xml:space="preserve"> disadvantage would to some extent be mitigated by the procedure adopted, namely, that the statutory scheme enabled the employment tribunal in the exercise of its discretion to use the process flexibly</w:t>
      </w:r>
      <w:r w:rsidR="00AA5250">
        <w:t>. A</w:t>
      </w:r>
      <w:r w:rsidR="00BE70C5" w:rsidRPr="0014084D">
        <w:t xml:space="preserve">ssistance was afforded to the claimant by the Special Advocate, and the CLOSED process would be kept under review throughout the proceedings.  </w:t>
      </w:r>
    </w:p>
    <w:p w14:paraId="53ED9968" w14:textId="05D07E01" w:rsidR="00A971A8" w:rsidRDefault="00BE70C5" w:rsidP="00AA5250">
      <w:pPr>
        <w:pStyle w:val="OPENmanualpara"/>
      </w:pPr>
      <w:r w:rsidRPr="0014084D">
        <w:t xml:space="preserve">In </w:t>
      </w:r>
      <w:proofErr w:type="spellStart"/>
      <w:r w:rsidRPr="00AA5250">
        <w:rPr>
          <w:i/>
        </w:rPr>
        <w:t>Kiani</w:t>
      </w:r>
      <w:proofErr w:type="spellEnd"/>
      <w:r w:rsidRPr="00AA5250">
        <w:rPr>
          <w:i/>
        </w:rPr>
        <w:t xml:space="preserve"> v SSHD</w:t>
      </w:r>
      <w:r w:rsidRPr="00AA5250">
        <w:t xml:space="preserve"> [2015]</w:t>
      </w:r>
      <w:r w:rsidR="000C3AA8" w:rsidRPr="00AA5250">
        <w:t xml:space="preserve"> EWCA </w:t>
      </w:r>
      <w:proofErr w:type="spellStart"/>
      <w:r w:rsidR="000C3AA8" w:rsidRPr="00AA5250">
        <w:t>Civ</w:t>
      </w:r>
      <w:proofErr w:type="spellEnd"/>
      <w:r w:rsidR="000C3AA8" w:rsidRPr="00AA5250">
        <w:t xml:space="preserve"> 776</w:t>
      </w:r>
      <w:r w:rsidR="000C3AA8">
        <w:rPr>
          <w:rStyle w:val="FootnoteReference"/>
        </w:rPr>
        <w:footnoteReference w:id="38"/>
      </w:r>
      <w:r w:rsidRPr="0014084D">
        <w:t xml:space="preserve">, the Court of Appeal found that EU law did not require that an </w:t>
      </w:r>
      <w:r w:rsidR="00563A94">
        <w:t>E</w:t>
      </w:r>
      <w:r w:rsidRPr="0014084D">
        <w:t xml:space="preserve">xcluded </w:t>
      </w:r>
      <w:r w:rsidR="00563A94">
        <w:t>P</w:t>
      </w:r>
      <w:r w:rsidR="00275738">
        <w:t>arty</w:t>
      </w:r>
      <w:r w:rsidR="00275738" w:rsidRPr="0014084D">
        <w:t xml:space="preserve"> </w:t>
      </w:r>
      <w:r w:rsidRPr="0014084D">
        <w:t>always had to be provided with a core minimum of relevant information about secret material (‘</w:t>
      </w:r>
      <w:proofErr w:type="spellStart"/>
      <w:r w:rsidRPr="0014084D">
        <w:t>gisting</w:t>
      </w:r>
      <w:proofErr w:type="spellEnd"/>
      <w:r w:rsidRPr="0014084D">
        <w:t xml:space="preserve">’) where the vindication of EU rights was sought. The Court held that the tribunal had not erred in refusing </w:t>
      </w:r>
      <w:proofErr w:type="spellStart"/>
      <w:r w:rsidRPr="0014084D">
        <w:t>gisting</w:t>
      </w:r>
      <w:proofErr w:type="spellEnd"/>
      <w:r w:rsidRPr="0014084D">
        <w:t xml:space="preserve">. </w:t>
      </w:r>
    </w:p>
    <w:p w14:paraId="5D231361" w14:textId="7C464B2D" w:rsidR="00A971A8" w:rsidRDefault="00A971A8" w:rsidP="00AA5250">
      <w:pPr>
        <w:pStyle w:val="OPENmanualpara"/>
      </w:pPr>
      <w:r>
        <w:t>At paragraph 33 Lord Dyson, quoti</w:t>
      </w:r>
      <w:r w:rsidR="00FF2C6F">
        <w:t xml:space="preserve">ng </w:t>
      </w:r>
      <w:proofErr w:type="gramStart"/>
      <w:r w:rsidR="00FF2C6F">
        <w:t>ZZ,  expressed</w:t>
      </w:r>
      <w:proofErr w:type="gramEnd"/>
      <w:r w:rsidR="00FF2C6F">
        <w:t xml:space="preserve"> the view that:</w:t>
      </w:r>
    </w:p>
    <w:p w14:paraId="25AB5FF5" w14:textId="14ABA70C" w:rsidR="00A971A8" w:rsidRDefault="00A971A8" w:rsidP="00563A94">
      <w:pPr>
        <w:pStyle w:val="Quote"/>
      </w:pPr>
      <w:r>
        <w:t>“It is common ground that, in a case where state security considerations are invoked as a ground for withholding information from an excluded person, the court must strike</w:t>
      </w:r>
      <w:r w:rsidR="00275738">
        <w:t>:</w:t>
      </w:r>
    </w:p>
    <w:p w14:paraId="3A8D0D2D" w14:textId="110B7C82" w:rsidR="00A971A8" w:rsidRDefault="00A971A8" w:rsidP="00DA6166">
      <w:pPr>
        <w:pStyle w:val="Quote"/>
      </w:pPr>
      <w:r>
        <w:t>“</w:t>
      </w:r>
      <w:proofErr w:type="gramStart"/>
      <w:r>
        <w:t>an</w:t>
      </w:r>
      <w:proofErr w:type="gramEnd"/>
      <w:r>
        <w:t xml:space="preserve"> appropriate balance between the requirements flowing from state security and the requirements of the right to effective judicial protection whilst limiting any interference with the exercise of that right to that which is strictly necessary”: see ZZ (CJEU) [2013] QB 1136, para 64.</w:t>
      </w:r>
      <w:r w:rsidR="00275738">
        <w:t>”</w:t>
      </w:r>
    </w:p>
    <w:p w14:paraId="503F42A6" w14:textId="77777777" w:rsidR="005474F7" w:rsidRPr="00A971A8" w:rsidRDefault="00BE70C5" w:rsidP="00592353">
      <w:pPr>
        <w:pStyle w:val="OPENmanualpara"/>
      </w:pPr>
      <w:r w:rsidRPr="0014084D">
        <w:lastRenderedPageBreak/>
        <w:t xml:space="preserve">The </w:t>
      </w:r>
      <w:r w:rsidR="00A971A8">
        <w:t>court concluded that the T</w:t>
      </w:r>
      <w:r w:rsidRPr="0014084D">
        <w:t xml:space="preserve">ribunal had taken account of the CLOSED material sufficiently to enable it to reach the conclusion that it had formed the very essence of the case. </w:t>
      </w:r>
    </w:p>
    <w:p w14:paraId="25ECC933" w14:textId="77777777" w:rsidR="00A72ACE" w:rsidRDefault="00A72ACE" w:rsidP="00A971A8">
      <w:pPr>
        <w:pStyle w:val="Heading1"/>
        <w:rPr>
          <w:smallCaps/>
          <w:u w:val="single"/>
        </w:rPr>
        <w:sectPr w:rsidR="00A72ACE" w:rsidSect="009F09E8">
          <w:headerReference w:type="even" r:id="rId39"/>
          <w:headerReference w:type="default" r:id="rId40"/>
          <w:headerReference w:type="first" r:id="rId41"/>
          <w:pgSz w:w="11906" w:h="16838" w:code="9"/>
          <w:pgMar w:top="1440" w:right="1440" w:bottom="851" w:left="1440" w:header="709" w:footer="170" w:gutter="0"/>
          <w:cols w:space="708"/>
          <w:docGrid w:linePitch="360"/>
        </w:sectPr>
      </w:pPr>
    </w:p>
    <w:p w14:paraId="07EF7CC7" w14:textId="77777777" w:rsidR="005474F7" w:rsidRPr="0014084D" w:rsidRDefault="005474F7" w:rsidP="00A971A8">
      <w:pPr>
        <w:pStyle w:val="Heading1"/>
      </w:pPr>
      <w:bookmarkStart w:id="82" w:name="_Toc499805122"/>
      <w:bookmarkStart w:id="83" w:name="_Toc3904907"/>
      <w:r w:rsidRPr="0014084D">
        <w:lastRenderedPageBreak/>
        <w:t>Part V</w:t>
      </w:r>
      <w:r w:rsidR="00BE70C5">
        <w:t>I</w:t>
      </w:r>
      <w:r w:rsidRPr="0014084D">
        <w:t xml:space="preserve"> – </w:t>
      </w:r>
      <w:bookmarkStart w:id="84" w:name="Part6"/>
      <w:r w:rsidRPr="0014084D">
        <w:t>Proceedings under the JSA 2013</w:t>
      </w:r>
      <w:bookmarkEnd w:id="82"/>
      <w:bookmarkEnd w:id="83"/>
      <w:bookmarkEnd w:id="84"/>
    </w:p>
    <w:p w14:paraId="09928A34" w14:textId="77777777" w:rsidR="005474F7" w:rsidRPr="0014084D" w:rsidRDefault="005474F7" w:rsidP="005F5CD0">
      <w:pPr>
        <w:pStyle w:val="Heading2"/>
      </w:pPr>
      <w:bookmarkStart w:id="85" w:name="_Toc499805123"/>
      <w:bookmarkStart w:id="86" w:name="_Toc3904908"/>
      <w:r w:rsidRPr="0014084D">
        <w:t>Section 6 applications and the initial stages</w:t>
      </w:r>
      <w:bookmarkEnd w:id="85"/>
      <w:bookmarkEnd w:id="86"/>
    </w:p>
    <w:p w14:paraId="55CCB14D" w14:textId="7ABA08DB" w:rsidR="00162E5E" w:rsidRPr="006935F0" w:rsidRDefault="005474F7" w:rsidP="003966DA">
      <w:pPr>
        <w:pStyle w:val="OPENmanualpara"/>
      </w:pPr>
      <w:r w:rsidRPr="006935F0">
        <w:t xml:space="preserve">Prior to the JSA 2013, there was no formal mechanism for </w:t>
      </w:r>
      <w:r w:rsidR="00CD193C" w:rsidRPr="006935F0">
        <w:t xml:space="preserve">CLOSED </w:t>
      </w:r>
      <w:r w:rsidR="00563A94">
        <w:t>proceedings</w:t>
      </w:r>
      <w:r w:rsidR="00CD193C" w:rsidRPr="006935F0">
        <w:t xml:space="preserve"> </w:t>
      </w:r>
      <w:r w:rsidRPr="006935F0">
        <w:t xml:space="preserve">to be used in </w:t>
      </w:r>
      <w:r w:rsidR="00563A94">
        <w:t xml:space="preserve">the </w:t>
      </w:r>
      <w:r w:rsidRPr="006935F0">
        <w:t xml:space="preserve">civil </w:t>
      </w:r>
      <w:r w:rsidR="00563A94">
        <w:t xml:space="preserve">courts </w:t>
      </w:r>
      <w:r w:rsidRPr="006935F0">
        <w:t xml:space="preserve">where the law did not expressly permit </w:t>
      </w:r>
      <w:r w:rsidR="00A971A8">
        <w:t>them</w:t>
      </w:r>
      <w:r w:rsidR="005C0645" w:rsidRPr="006935F0">
        <w:t xml:space="preserve">. </w:t>
      </w:r>
      <w:r w:rsidRPr="006935F0">
        <w:t>There were occasions, however, wher</w:t>
      </w:r>
      <w:r w:rsidR="00162E5E" w:rsidRPr="006935F0">
        <w:t xml:space="preserve">e the parties had consented to </w:t>
      </w:r>
      <w:r w:rsidR="00CD193C" w:rsidRPr="006935F0">
        <w:t>such proceedings</w:t>
      </w:r>
      <w:r w:rsidRPr="006935F0">
        <w:t xml:space="preserve">. In </w:t>
      </w:r>
      <w:r w:rsidRPr="006935F0">
        <w:rPr>
          <w:i/>
          <w:iCs/>
        </w:rPr>
        <w:t xml:space="preserve">Al </w:t>
      </w:r>
      <w:proofErr w:type="spellStart"/>
      <w:r w:rsidRPr="006935F0">
        <w:rPr>
          <w:i/>
          <w:iCs/>
        </w:rPr>
        <w:t>Rawi</w:t>
      </w:r>
      <w:proofErr w:type="spellEnd"/>
      <w:r w:rsidRPr="006935F0">
        <w:rPr>
          <w:i/>
          <w:iCs/>
        </w:rPr>
        <w:t xml:space="preserve"> &amp; Others v The Security Service &amp; Others</w:t>
      </w:r>
      <w:r w:rsidRPr="006935F0">
        <w:rPr>
          <w:iCs/>
        </w:rPr>
        <w:t xml:space="preserve"> </w:t>
      </w:r>
      <w:r w:rsidRPr="006935F0">
        <w:t>[2011] UKSC 34</w:t>
      </w:r>
      <w:r w:rsidR="000C3AA8">
        <w:rPr>
          <w:rStyle w:val="FootnoteReference"/>
        </w:rPr>
        <w:footnoteReference w:id="39"/>
      </w:r>
      <w:r w:rsidR="006935F0" w:rsidRPr="006935F0">
        <w:t>,</w:t>
      </w:r>
      <w:r w:rsidRPr="006935F0">
        <w:t xml:space="preserve"> the claimants, former detainees at Guantanamo Bay, had issued civil claims for damages against various organs of the UK Government alleging that they had caused or contributed towards their alleged detention, rendition and ill</w:t>
      </w:r>
      <w:r w:rsidR="00C25425">
        <w:t>-</w:t>
      </w:r>
      <w:r w:rsidRPr="006935F0">
        <w:t xml:space="preserve">treatment. </w:t>
      </w:r>
    </w:p>
    <w:p w14:paraId="28BAAA98" w14:textId="0B74713C" w:rsidR="005474F7" w:rsidRPr="0014084D" w:rsidRDefault="005474F7" w:rsidP="003966DA">
      <w:pPr>
        <w:pStyle w:val="OPENmanualpara"/>
      </w:pPr>
      <w:r w:rsidRPr="0014084D">
        <w:t>The defendants indicated that they would like to rely on CLOSED material in defending the claims and proposed that the claimants' interests in relation to any CLOSED material be represented by</w:t>
      </w:r>
      <w:r w:rsidR="005C0645" w:rsidRPr="0014084D">
        <w:t xml:space="preserve"> a Special Advocate</w:t>
      </w:r>
      <w:r w:rsidRPr="0014084D">
        <w:t xml:space="preserve">. The claimants objected to the adoption of </w:t>
      </w:r>
      <w:r w:rsidR="00563A94" w:rsidRPr="006935F0">
        <w:t xml:space="preserve">CLOSED </w:t>
      </w:r>
      <w:r w:rsidR="00563A94">
        <w:t>proceedings</w:t>
      </w:r>
      <w:r w:rsidR="00563A94" w:rsidRPr="006935F0">
        <w:t xml:space="preserve"> </w:t>
      </w:r>
      <w:r w:rsidR="00162E5E" w:rsidRPr="0014084D">
        <w:t xml:space="preserve">and </w:t>
      </w:r>
      <w:r w:rsidRPr="0014084D">
        <w:t xml:space="preserve">the use of </w:t>
      </w:r>
      <w:r w:rsidR="005C0645" w:rsidRPr="0014084D">
        <w:t>a Special Advocate</w:t>
      </w:r>
      <w:r w:rsidR="00162E5E" w:rsidRPr="0014084D">
        <w:t xml:space="preserve">. They </w:t>
      </w:r>
      <w:r w:rsidRPr="0014084D">
        <w:t xml:space="preserve">argued that the </w:t>
      </w:r>
      <w:r w:rsidR="00563A94">
        <w:t xml:space="preserve">court should follow the </w:t>
      </w:r>
      <w:r w:rsidRPr="0014084D">
        <w:t xml:space="preserve">normal </w:t>
      </w:r>
      <w:r w:rsidR="00DA2A7F">
        <w:t>P</w:t>
      </w:r>
      <w:r w:rsidR="00C25425">
        <w:t xml:space="preserve">ublic </w:t>
      </w:r>
      <w:r w:rsidR="00DA2A7F">
        <w:t>I</w:t>
      </w:r>
      <w:r w:rsidR="00C25425">
        <w:t xml:space="preserve">nterest </w:t>
      </w:r>
      <w:r w:rsidR="00DA2A7F">
        <w:t>I</w:t>
      </w:r>
      <w:r w:rsidR="00C25425">
        <w:t>mmunity</w:t>
      </w:r>
      <w:r w:rsidR="000E3CF1" w:rsidRPr="0014084D">
        <w:t xml:space="preserve"> </w:t>
      </w:r>
      <w:r w:rsidR="00C25425">
        <w:t xml:space="preserve">(“PII”) </w:t>
      </w:r>
      <w:r w:rsidRPr="0014084D">
        <w:t>procedure</w:t>
      </w:r>
      <w:r w:rsidR="00C25425">
        <w:t>.</w:t>
      </w:r>
      <w:r w:rsidR="00DA2A7F">
        <w:rPr>
          <w:rStyle w:val="FootnoteReference"/>
        </w:rPr>
        <w:footnoteReference w:id="40"/>
      </w:r>
    </w:p>
    <w:p w14:paraId="1C2F57F9" w14:textId="59F15056" w:rsidR="005474F7" w:rsidRPr="0014084D" w:rsidRDefault="005474F7" w:rsidP="003966DA">
      <w:pPr>
        <w:pStyle w:val="OPENmanualpara"/>
      </w:pPr>
      <w:r w:rsidRPr="0014084D">
        <w:t xml:space="preserve">The Supreme Court held that adopting </w:t>
      </w:r>
      <w:r w:rsidR="00D169DF" w:rsidRPr="00E71929">
        <w:t>CLOSED</w:t>
      </w:r>
      <w:r w:rsidR="00D169DF">
        <w:t xml:space="preserve"> proceedings </w:t>
      </w:r>
      <w:r w:rsidRPr="0014084D">
        <w:t>would undermine one of the fundamental principles of the common law, namely the right of a litigant to know the case against him and</w:t>
      </w:r>
      <w:r w:rsidR="00C25425">
        <w:t xml:space="preserve"> to</w:t>
      </w:r>
      <w:r w:rsidRPr="0014084D">
        <w:t xml:space="preserve"> know the reasons for the court's decision. It declined to use common law principles to create </w:t>
      </w:r>
      <w:r w:rsidR="00585DB3" w:rsidRPr="0014084D">
        <w:t>closed</w:t>
      </w:r>
      <w:r w:rsidRPr="0014084D">
        <w:t xml:space="preserve"> justice and held that it was for Parliament, not the court, to decide whether or not to make </w:t>
      </w:r>
      <w:r w:rsidR="00D169DF" w:rsidRPr="00E71929">
        <w:t>CLOSED</w:t>
      </w:r>
      <w:r w:rsidR="00D169DF">
        <w:t xml:space="preserve"> proceedings </w:t>
      </w:r>
      <w:r w:rsidRPr="0014084D">
        <w:t>available.</w:t>
      </w:r>
      <w:r w:rsidRPr="0014084D">
        <w:rPr>
          <w:rStyle w:val="FootnoteReference"/>
          <w:smallCaps/>
        </w:rPr>
        <w:footnoteReference w:id="41"/>
      </w:r>
    </w:p>
    <w:p w14:paraId="5F4E9B42" w14:textId="77777777" w:rsidR="005474F7" w:rsidRPr="0014084D" w:rsidRDefault="00C113F2" w:rsidP="003966DA">
      <w:pPr>
        <w:pStyle w:val="OPENmanualpara"/>
      </w:pPr>
      <w:r w:rsidRPr="0014084D">
        <w:t>When</w:t>
      </w:r>
      <w:r w:rsidR="005474F7" w:rsidRPr="0014084D">
        <w:t xml:space="preserve"> the JSA 2013 </w:t>
      </w:r>
      <w:r w:rsidR="000F2DEC" w:rsidRPr="0014084D">
        <w:t>came into force it enabled</w:t>
      </w:r>
      <w:r w:rsidR="006927E2" w:rsidRPr="0014084D">
        <w:t xml:space="preserve"> </w:t>
      </w:r>
      <w:r w:rsidR="005474F7" w:rsidRPr="0014084D">
        <w:t xml:space="preserve">parties </w:t>
      </w:r>
      <w:r w:rsidR="0000443D">
        <w:t>in civil</w:t>
      </w:r>
      <w:r w:rsidR="000F2DEC" w:rsidRPr="0014084D">
        <w:t xml:space="preserve"> litigation</w:t>
      </w:r>
      <w:r w:rsidR="006927E2" w:rsidRPr="0014084D">
        <w:t xml:space="preserve"> </w:t>
      </w:r>
      <w:r w:rsidR="005474F7" w:rsidRPr="0014084D">
        <w:t>to rely on CLOSED material</w:t>
      </w:r>
      <w:r w:rsidR="006927E2" w:rsidRPr="0014084D">
        <w:t xml:space="preserve">. </w:t>
      </w:r>
      <w:r w:rsidR="005474F7" w:rsidRPr="0014084D">
        <w:t xml:space="preserve"> </w:t>
      </w:r>
    </w:p>
    <w:p w14:paraId="65A72ED5" w14:textId="2D7C4081" w:rsidR="005474F7" w:rsidRPr="0014084D" w:rsidRDefault="005474F7" w:rsidP="003966DA">
      <w:pPr>
        <w:pStyle w:val="OPENmanualpara"/>
      </w:pPr>
      <w:r w:rsidRPr="0014084D">
        <w:t xml:space="preserve">Section 6 of the JSA 2013 enables an </w:t>
      </w:r>
      <w:r w:rsidR="00FC620D">
        <w:t>Information Owner</w:t>
      </w:r>
      <w:r w:rsidRPr="0014084D">
        <w:t xml:space="preserve">, </w:t>
      </w:r>
      <w:r w:rsidR="006935F0">
        <w:t xml:space="preserve">or </w:t>
      </w:r>
      <w:r w:rsidRPr="0014084D">
        <w:t xml:space="preserve">any other party to the proceedings, or the court of its own motion, to apply for a declaration </w:t>
      </w:r>
      <w:r w:rsidRPr="0014084D">
        <w:lastRenderedPageBreak/>
        <w:t>permitting CLOSED material applications in the proceedings. A s</w:t>
      </w:r>
      <w:r w:rsidR="00FC33A5" w:rsidRPr="0014084D">
        <w:t xml:space="preserve">ection </w:t>
      </w:r>
      <w:r w:rsidRPr="0014084D">
        <w:t>6 declaration is permitted if the Court is satisfied:</w:t>
      </w:r>
    </w:p>
    <w:p w14:paraId="59BC84E2" w14:textId="77777777" w:rsidR="005474F7" w:rsidRPr="0014084D" w:rsidRDefault="005474F7" w:rsidP="00B275B5">
      <w:pPr>
        <w:pStyle w:val="OPENmanualpara"/>
        <w:numPr>
          <w:ilvl w:val="1"/>
          <w:numId w:val="5"/>
        </w:numPr>
      </w:pPr>
      <w:r w:rsidRPr="0014084D">
        <w:t xml:space="preserve">that a party to the proceedings would be required to disclose sensitive material in the course of the proceedings to another person (whether or not another party to the proceedings); and </w:t>
      </w:r>
    </w:p>
    <w:p w14:paraId="3042B455" w14:textId="77777777" w:rsidR="00BC2C4C" w:rsidRPr="0014084D" w:rsidRDefault="005474F7" w:rsidP="00B275B5">
      <w:pPr>
        <w:pStyle w:val="OPENmanualpara"/>
        <w:numPr>
          <w:ilvl w:val="1"/>
          <w:numId w:val="5"/>
        </w:numPr>
      </w:pPr>
      <w:r w:rsidRPr="0014084D">
        <w:t xml:space="preserve">that it is in the interests of the fair and effective administration of </w:t>
      </w:r>
      <w:proofErr w:type="gramStart"/>
      <w:r w:rsidRPr="0014084D">
        <w:t>justice  in</w:t>
      </w:r>
      <w:proofErr w:type="gramEnd"/>
      <w:r w:rsidRPr="0014084D">
        <w:t xml:space="preserve"> the proc</w:t>
      </w:r>
      <w:r w:rsidR="00BC2C4C" w:rsidRPr="0014084D">
        <w:t xml:space="preserve">eedings to make a declaration. </w:t>
      </w:r>
    </w:p>
    <w:p w14:paraId="0A0CFFBE" w14:textId="77777777" w:rsidR="00BC2C4C" w:rsidRPr="0014084D" w:rsidRDefault="00BC2C4C" w:rsidP="003966DA">
      <w:pPr>
        <w:pStyle w:val="OPENmanualpara"/>
      </w:pPr>
      <w:bookmarkStart w:id="87" w:name="_Ref524003804"/>
      <w:r w:rsidRPr="0014084D">
        <w:t>Section 6(7) of the JSA 2013 provides that the court must not consider an application by the Secretary of State unless it is satisfied that the Secretary of State has, before making the application, considered whether a claim for PII could be made in relation to the material. However, there is no obligation to embark on a PII process prior to making an application for a declaration.</w:t>
      </w:r>
      <w:r w:rsidRPr="0014084D">
        <w:rPr>
          <w:rStyle w:val="FootnoteReference"/>
          <w:smallCaps/>
        </w:rPr>
        <w:footnoteReference w:id="42"/>
      </w:r>
      <w:bookmarkEnd w:id="87"/>
    </w:p>
    <w:p w14:paraId="2FBBCDDA" w14:textId="0B05566D" w:rsidR="00CD193C" w:rsidRPr="0014084D" w:rsidRDefault="00FC33A5" w:rsidP="003966DA">
      <w:pPr>
        <w:pStyle w:val="OPENmanualpara"/>
      </w:pPr>
      <w:bookmarkStart w:id="88" w:name="_Ref524003806"/>
      <w:r w:rsidRPr="0014084D">
        <w:t xml:space="preserve">A </w:t>
      </w:r>
      <w:r w:rsidR="005474F7" w:rsidRPr="0014084D">
        <w:t xml:space="preserve">declaration </w:t>
      </w:r>
      <w:r w:rsidRPr="0014084D">
        <w:t xml:space="preserve">under section 6 of the JSA 2013 </w:t>
      </w:r>
      <w:r w:rsidR="005474F7" w:rsidRPr="0014084D">
        <w:t xml:space="preserve">has been described as a </w:t>
      </w:r>
      <w:r w:rsidR="006935F0" w:rsidRPr="0014084D">
        <w:t>gateway, which</w:t>
      </w:r>
      <w:r w:rsidR="005474F7" w:rsidRPr="0014084D">
        <w:t xml:space="preserve"> enables the court to engage with the CLOSED </w:t>
      </w:r>
      <w:r w:rsidR="00C25425">
        <w:t>material</w:t>
      </w:r>
      <w:r w:rsidR="00C25425" w:rsidRPr="0014084D">
        <w:t xml:space="preserve"> </w:t>
      </w:r>
      <w:r w:rsidR="005474F7" w:rsidRPr="0014084D">
        <w:t xml:space="preserve">in a way </w:t>
      </w:r>
      <w:r w:rsidR="006935F0">
        <w:t>that</w:t>
      </w:r>
      <w:r w:rsidR="005474F7" w:rsidRPr="0014084D">
        <w:t xml:space="preserve"> is not possible under the PII process. It should be noted that a suc</w:t>
      </w:r>
      <w:r w:rsidR="00162E5E" w:rsidRPr="0014084D">
        <w:t xml:space="preserve">cessful PII application would </w:t>
      </w:r>
      <w:r w:rsidR="005C0645" w:rsidRPr="0014084D">
        <w:t>exclude the material from the c</w:t>
      </w:r>
      <w:r w:rsidR="005474F7" w:rsidRPr="0014084D">
        <w:t>ourt’s consideration</w:t>
      </w:r>
      <w:r w:rsidR="00CD193C" w:rsidRPr="0014084D">
        <w:t xml:space="preserve"> and</w:t>
      </w:r>
      <w:r w:rsidR="00DA3066">
        <w:t xml:space="preserve"> might</w:t>
      </w:r>
      <w:r w:rsidR="00CD193C" w:rsidRPr="0014084D">
        <w:t xml:space="preserve"> therefore result in injustice</w:t>
      </w:r>
      <w:r w:rsidR="005474F7" w:rsidRPr="0014084D">
        <w:t>.</w:t>
      </w:r>
      <w:bookmarkEnd w:id="88"/>
      <w:r w:rsidR="005474F7" w:rsidRPr="0014084D">
        <w:t xml:space="preserve"> </w:t>
      </w:r>
    </w:p>
    <w:p w14:paraId="52D4F604" w14:textId="6C8C6E4F" w:rsidR="00F316C3" w:rsidRPr="0014084D" w:rsidRDefault="00F316C3" w:rsidP="003966DA">
      <w:pPr>
        <w:pStyle w:val="OPENmanualpara"/>
      </w:pPr>
      <w:r w:rsidRPr="0014084D">
        <w:t xml:space="preserve">A declaration made under </w:t>
      </w:r>
      <w:r w:rsidR="00FC33A5" w:rsidRPr="0014084D">
        <w:t xml:space="preserve">section </w:t>
      </w:r>
      <w:r w:rsidRPr="0014084D">
        <w:t>6 of the JSA remains subject to review (s</w:t>
      </w:r>
      <w:r w:rsidR="00FC33A5" w:rsidRPr="0014084D">
        <w:t xml:space="preserve">ection </w:t>
      </w:r>
      <w:r w:rsidRPr="0014084D">
        <w:t xml:space="preserve">7).  CPR Part 82 contains the applicable court rules which govern the operation of such CLOSED proceedings. These allow for a modification of the overriding objective, the exclusion of parties from hearings, and other provisions analogous to SIAC procedure, such as the restriction on </w:t>
      </w:r>
      <w:r w:rsidR="005C0645" w:rsidRPr="0014084D">
        <w:t>a Special Advocate</w:t>
      </w:r>
      <w:r w:rsidRPr="0014084D">
        <w:t xml:space="preserve"> communicating without the permission o</w:t>
      </w:r>
      <w:r w:rsidR="005C0645" w:rsidRPr="0014084D">
        <w:t xml:space="preserve">f the </w:t>
      </w:r>
      <w:r w:rsidR="00FC620D">
        <w:t>Information Owner</w:t>
      </w:r>
      <w:r w:rsidR="005C0645" w:rsidRPr="0014084D">
        <w:t xml:space="preserve"> or the c</w:t>
      </w:r>
      <w:r w:rsidRPr="0014084D">
        <w:t>ourt.</w:t>
      </w:r>
    </w:p>
    <w:p w14:paraId="4EEEDEC7" w14:textId="77777777" w:rsidR="00F316C3" w:rsidRPr="0014084D" w:rsidRDefault="00F316C3" w:rsidP="003966DA">
      <w:pPr>
        <w:pStyle w:val="OPENmanualpara"/>
      </w:pPr>
      <w:r w:rsidRPr="0014084D">
        <w:t>When applications in s</w:t>
      </w:r>
      <w:r w:rsidR="00FC33A5" w:rsidRPr="0014084D">
        <w:t xml:space="preserve">ection </w:t>
      </w:r>
      <w:r w:rsidRPr="0014084D">
        <w:t>6 proceedings are determined by the court any CLOSED material</w:t>
      </w:r>
      <w:r w:rsidR="005C0645" w:rsidRPr="0014084D">
        <w:t xml:space="preserve"> will be disclosed only to the c</w:t>
      </w:r>
      <w:r w:rsidRPr="0014084D">
        <w:t>ourt and</w:t>
      </w:r>
      <w:r w:rsidR="005C0645" w:rsidRPr="0014084D">
        <w:t xml:space="preserve"> the Special Advocate</w:t>
      </w:r>
      <w:r w:rsidRPr="0014084D">
        <w:t xml:space="preserve"> (s</w:t>
      </w:r>
      <w:r w:rsidR="00FC33A5" w:rsidRPr="0014084D">
        <w:t xml:space="preserve">ection </w:t>
      </w:r>
      <w:r w:rsidRPr="0014084D">
        <w:t xml:space="preserve">8). </w:t>
      </w:r>
    </w:p>
    <w:p w14:paraId="3CE564A4" w14:textId="77777777" w:rsidR="005474F7" w:rsidRPr="0014084D" w:rsidRDefault="00FC09D9" w:rsidP="003966DA">
      <w:pPr>
        <w:pStyle w:val="Heading2"/>
      </w:pPr>
      <w:bookmarkStart w:id="89" w:name="_Toc499805124"/>
      <w:bookmarkStart w:id="90" w:name="_Toc3904909"/>
      <w:r w:rsidRPr="0014084D">
        <w:lastRenderedPageBreak/>
        <w:t>Case law on s</w:t>
      </w:r>
      <w:r w:rsidR="00FC33A5" w:rsidRPr="0014084D">
        <w:t xml:space="preserve">ection </w:t>
      </w:r>
      <w:r w:rsidR="00F316C3" w:rsidRPr="0014084D">
        <w:t>6</w:t>
      </w:r>
      <w:r w:rsidR="00FC33A5" w:rsidRPr="0014084D">
        <w:t xml:space="preserve"> of the JSA 2013</w:t>
      </w:r>
      <w:bookmarkEnd w:id="89"/>
      <w:bookmarkEnd w:id="90"/>
      <w:r w:rsidR="00FC33A5" w:rsidRPr="0014084D">
        <w:t xml:space="preserve"> </w:t>
      </w:r>
    </w:p>
    <w:p w14:paraId="4752B414" w14:textId="03B6D82A" w:rsidR="002D7CFD" w:rsidRPr="002D7CFD" w:rsidRDefault="005474F7" w:rsidP="003966DA">
      <w:pPr>
        <w:pStyle w:val="OPENmanualpara"/>
      </w:pPr>
      <w:r w:rsidRPr="002D7CFD">
        <w:t xml:space="preserve">In </w:t>
      </w:r>
      <w:r w:rsidR="00B55CD4" w:rsidRPr="002D7CFD">
        <w:t>the distinct but similarly handled cases of</w:t>
      </w:r>
      <w:r w:rsidRPr="002D7CFD">
        <w:t xml:space="preserve"> </w:t>
      </w:r>
      <w:proofErr w:type="spellStart"/>
      <w:r w:rsidRPr="002D7CFD">
        <w:rPr>
          <w:i/>
        </w:rPr>
        <w:t>Sarkandi</w:t>
      </w:r>
      <w:proofErr w:type="spellEnd"/>
      <w:r w:rsidRPr="002D7CFD">
        <w:t xml:space="preserve"> </w:t>
      </w:r>
      <w:r w:rsidR="002D7CFD" w:rsidRPr="002D7CFD">
        <w:t xml:space="preserve">[2015] EWCA </w:t>
      </w:r>
      <w:proofErr w:type="spellStart"/>
      <w:r w:rsidR="002D7CFD" w:rsidRPr="002D7CFD">
        <w:t>Civ</w:t>
      </w:r>
      <w:proofErr w:type="spellEnd"/>
      <w:r w:rsidR="002D7CFD" w:rsidRPr="002D7CFD">
        <w:t xml:space="preserve"> 687</w:t>
      </w:r>
      <w:r w:rsidR="00A16DD2">
        <w:rPr>
          <w:rStyle w:val="FootnoteReference"/>
        </w:rPr>
        <w:footnoteReference w:id="43"/>
      </w:r>
      <w:r w:rsidR="002D7CFD">
        <w:t xml:space="preserve"> </w:t>
      </w:r>
      <w:r w:rsidRPr="002D7CFD">
        <w:t xml:space="preserve">and </w:t>
      </w:r>
      <w:proofErr w:type="spellStart"/>
      <w:r w:rsidRPr="002D7CFD">
        <w:rPr>
          <w:i/>
        </w:rPr>
        <w:t>McGartland</w:t>
      </w:r>
      <w:proofErr w:type="spellEnd"/>
      <w:r w:rsidRPr="002D7CFD">
        <w:rPr>
          <w:i/>
        </w:rPr>
        <w:t xml:space="preserve"> </w:t>
      </w:r>
      <w:r w:rsidRPr="002D7CFD">
        <w:t xml:space="preserve">[2015] EWCA </w:t>
      </w:r>
      <w:proofErr w:type="spellStart"/>
      <w:r w:rsidRPr="002D7CFD">
        <w:t>Civ</w:t>
      </w:r>
      <w:proofErr w:type="spellEnd"/>
      <w:r w:rsidRPr="002D7CFD">
        <w:t xml:space="preserve"> 686</w:t>
      </w:r>
      <w:r w:rsidRPr="002D7CFD">
        <w:rPr>
          <w:i/>
        </w:rPr>
        <w:t xml:space="preserve"> </w:t>
      </w:r>
      <w:r w:rsidRPr="002D7CFD">
        <w:t xml:space="preserve">the Court of Appeal accepted that </w:t>
      </w:r>
      <w:r w:rsidR="009F49A7" w:rsidRPr="006935F0">
        <w:t xml:space="preserve">CLOSED </w:t>
      </w:r>
      <w:r w:rsidR="009F49A7">
        <w:t>proceedings</w:t>
      </w:r>
      <w:r w:rsidR="009F49A7" w:rsidRPr="006935F0">
        <w:t xml:space="preserve"> </w:t>
      </w:r>
      <w:r w:rsidR="009F49A7">
        <w:t xml:space="preserve">were </w:t>
      </w:r>
      <w:r w:rsidRPr="002D7CFD">
        <w:t xml:space="preserve">a serious departure from the fundamental principles of </w:t>
      </w:r>
      <w:r w:rsidR="0024596F" w:rsidRPr="002D7CFD">
        <w:t>open</w:t>
      </w:r>
      <w:r w:rsidRPr="002D7CFD">
        <w:t xml:space="preserve"> justice and natural justice</w:t>
      </w:r>
      <w:r w:rsidR="002D7CFD" w:rsidRPr="002D7CFD">
        <w:t>. The court</w:t>
      </w:r>
      <w:r w:rsidRPr="002D7CFD">
        <w:t xml:space="preserve"> noted that the JSA 2013 represented Parliament’s assessment of how, in civil proceedings, the balance was to be struck between the competing interests of open and natural justice on the one hand and the protection of national security on the other</w:t>
      </w:r>
      <w:r w:rsidR="00F316C3" w:rsidRPr="002D7CFD">
        <w:t xml:space="preserve">. </w:t>
      </w:r>
    </w:p>
    <w:p w14:paraId="4AD34E90" w14:textId="77777777" w:rsidR="005474F7" w:rsidRPr="0014084D" w:rsidRDefault="00F316C3" w:rsidP="003966DA">
      <w:pPr>
        <w:pStyle w:val="OPENmanualpara"/>
      </w:pPr>
      <w:r w:rsidRPr="0014084D">
        <w:t>This was</w:t>
      </w:r>
      <w:r w:rsidR="005474F7" w:rsidRPr="0014084D">
        <w:t xml:space="preserve"> coupled with express provision to secure compliance with the right to a fair trial under Article 6 of the </w:t>
      </w:r>
      <w:r w:rsidRPr="0014084D">
        <w:t>ECHR</w:t>
      </w:r>
      <w:r w:rsidR="005474F7" w:rsidRPr="0014084D">
        <w:t xml:space="preserve">. It was also said to be an exceptional procedure, which </w:t>
      </w:r>
      <w:r w:rsidRPr="0014084D">
        <w:t>the court</w:t>
      </w:r>
      <w:r w:rsidR="005474F7" w:rsidRPr="0014084D">
        <w:t xml:space="preserve"> </w:t>
      </w:r>
      <w:r w:rsidRPr="0014084D">
        <w:t>expected to be used only rarely</w:t>
      </w:r>
      <w:r w:rsidR="005474F7" w:rsidRPr="0014084D">
        <w:t xml:space="preserve">. The </w:t>
      </w:r>
      <w:r w:rsidRPr="0014084D">
        <w:t>c</w:t>
      </w:r>
      <w:r w:rsidR="005474F7" w:rsidRPr="0014084D">
        <w:t xml:space="preserve">ourt went on to uphold </w:t>
      </w:r>
      <w:r w:rsidRPr="0014084D">
        <w:t xml:space="preserve">each of </w:t>
      </w:r>
      <w:r w:rsidR="005474F7" w:rsidRPr="0014084D">
        <w:t>the decisions of the High Court</w:t>
      </w:r>
      <w:r w:rsidRPr="0014084D">
        <w:t>,</w:t>
      </w:r>
      <w:r w:rsidR="005474F7" w:rsidRPr="0014084D">
        <w:t xml:space="preserve"> that the two condition</w:t>
      </w:r>
      <w:r w:rsidR="00C113F2" w:rsidRPr="0014084D">
        <w:t xml:space="preserve">s contained within section </w:t>
      </w:r>
      <w:r w:rsidR="005474F7" w:rsidRPr="0014084D">
        <w:t xml:space="preserve">6 were met.  </w:t>
      </w:r>
    </w:p>
    <w:p w14:paraId="2779C859" w14:textId="341D9B95" w:rsidR="005474F7" w:rsidRPr="0014084D" w:rsidRDefault="005474F7" w:rsidP="003966DA">
      <w:pPr>
        <w:pStyle w:val="OPENmanualpara"/>
      </w:pPr>
      <w:r w:rsidRPr="0014084D">
        <w:t xml:space="preserve">In </w:t>
      </w:r>
      <w:r w:rsidRPr="0014084D">
        <w:rPr>
          <w:i/>
        </w:rPr>
        <w:t xml:space="preserve">XH v SSHD </w:t>
      </w:r>
      <w:r w:rsidRPr="002D7CFD">
        <w:t>[2015] EWHC 2932 (Admin)</w:t>
      </w:r>
      <w:r w:rsidR="00E13136">
        <w:rPr>
          <w:rStyle w:val="FootnoteReference"/>
        </w:rPr>
        <w:footnoteReference w:id="44"/>
      </w:r>
      <w:r w:rsidRPr="002D7CFD">
        <w:t>,</w:t>
      </w:r>
      <w:r w:rsidRPr="0014084D">
        <w:t xml:space="preserve"> the Secretary of State applied </w:t>
      </w:r>
      <w:r w:rsidR="00B55CD4" w:rsidRPr="0014084D">
        <w:t>for a</w:t>
      </w:r>
      <w:r w:rsidRPr="0014084D">
        <w:t xml:space="preserve"> s</w:t>
      </w:r>
      <w:r w:rsidR="00FC33A5" w:rsidRPr="0014084D">
        <w:t xml:space="preserve">ection </w:t>
      </w:r>
      <w:r w:rsidRPr="0014084D">
        <w:t xml:space="preserve">6 declaration in </w:t>
      </w:r>
      <w:r w:rsidR="00663AE4">
        <w:t>J</w:t>
      </w:r>
      <w:r w:rsidRPr="0014084D">
        <w:t xml:space="preserve">udicial </w:t>
      </w:r>
      <w:r w:rsidR="00663AE4">
        <w:t>R</w:t>
      </w:r>
      <w:r w:rsidRPr="0014084D">
        <w:t xml:space="preserve">eview proceedings </w:t>
      </w:r>
      <w:r w:rsidR="009F49A7">
        <w:t xml:space="preserve">(commenced by </w:t>
      </w:r>
      <w:r w:rsidRPr="0014084D">
        <w:t>the Appellant</w:t>
      </w:r>
      <w:r w:rsidR="00B55CD4" w:rsidRPr="0014084D">
        <w:t xml:space="preserve"> </w:t>
      </w:r>
      <w:r w:rsidR="009F49A7">
        <w:t xml:space="preserve">after the </w:t>
      </w:r>
      <w:r w:rsidR="009F49A7" w:rsidRPr="00A9146D">
        <w:t>Secretary of State</w:t>
      </w:r>
      <w:r w:rsidR="009F49A7">
        <w:t xml:space="preserve"> had removed his </w:t>
      </w:r>
      <w:r w:rsidR="00B55CD4" w:rsidRPr="0014084D">
        <w:t>passport using the Royal Prerogative</w:t>
      </w:r>
      <w:r w:rsidR="009F49A7">
        <w:t>)</w:t>
      </w:r>
      <w:r w:rsidR="00C113F2" w:rsidRPr="0014084D">
        <w:t xml:space="preserve">. </w:t>
      </w:r>
      <w:r w:rsidR="00B55CD4" w:rsidRPr="0014084D">
        <w:t xml:space="preserve">An appeal against the </w:t>
      </w:r>
      <w:r w:rsidR="009F49A7">
        <w:t xml:space="preserve">section 6 </w:t>
      </w:r>
      <w:r w:rsidR="00B55CD4" w:rsidRPr="0014084D">
        <w:t xml:space="preserve">declaration failed. </w:t>
      </w:r>
      <w:r w:rsidR="00C113F2" w:rsidRPr="0014084D">
        <w:t>The c</w:t>
      </w:r>
      <w:r w:rsidRPr="0014084D">
        <w:t>ourt confirme</w:t>
      </w:r>
      <w:r w:rsidR="00C113F2" w:rsidRPr="0014084D">
        <w:t xml:space="preserve">d that the proper approach to section </w:t>
      </w:r>
      <w:r w:rsidRPr="0014084D">
        <w:t xml:space="preserve">6 was that set out in </w:t>
      </w:r>
      <w:proofErr w:type="spellStart"/>
      <w:r w:rsidRPr="0014084D">
        <w:rPr>
          <w:i/>
        </w:rPr>
        <w:t>McGartland</w:t>
      </w:r>
      <w:proofErr w:type="spellEnd"/>
      <w:r w:rsidRPr="0014084D">
        <w:t xml:space="preserve"> and </w:t>
      </w:r>
      <w:proofErr w:type="spellStart"/>
      <w:r w:rsidRPr="0014084D">
        <w:rPr>
          <w:i/>
        </w:rPr>
        <w:t>Sarkandi</w:t>
      </w:r>
      <w:proofErr w:type="spellEnd"/>
      <w:r w:rsidRPr="0014084D">
        <w:t xml:space="preserve">. </w:t>
      </w:r>
    </w:p>
    <w:p w14:paraId="0607D69A" w14:textId="77777777" w:rsidR="005474F7" w:rsidRPr="0014084D" w:rsidRDefault="005474F7" w:rsidP="003966DA">
      <w:pPr>
        <w:pStyle w:val="Heading2"/>
      </w:pPr>
      <w:bookmarkStart w:id="91" w:name="_Toc499805125"/>
      <w:bookmarkStart w:id="92" w:name="_Toc3904910"/>
      <w:r w:rsidRPr="0014084D">
        <w:t>Standard of Disclosure in JSA proceedings</w:t>
      </w:r>
      <w:bookmarkEnd w:id="91"/>
      <w:bookmarkEnd w:id="92"/>
    </w:p>
    <w:p w14:paraId="75C0845E" w14:textId="2F5EA25C" w:rsidR="00E13136" w:rsidRDefault="005474F7" w:rsidP="003966DA">
      <w:pPr>
        <w:pStyle w:val="OPENmanualpara"/>
      </w:pPr>
      <w:r w:rsidRPr="0014084D">
        <w:t xml:space="preserve">In </w:t>
      </w:r>
      <w:r w:rsidRPr="0014084D">
        <w:rPr>
          <w:i/>
        </w:rPr>
        <w:t xml:space="preserve">CF v Ministry of Defence </w:t>
      </w:r>
      <w:r w:rsidRPr="0014084D">
        <w:t xml:space="preserve">[2014] EWHC 3171 (QB), the Claimant brought a </w:t>
      </w:r>
      <w:proofErr w:type="gramStart"/>
      <w:r w:rsidRPr="0014084D">
        <w:t>private law damages</w:t>
      </w:r>
      <w:proofErr w:type="gramEnd"/>
      <w:r w:rsidRPr="0014084D">
        <w:t xml:space="preserve"> claim, alleging that the SSHD and others had been complicit in his unlawful detention, torture and mistreatment during a peri</w:t>
      </w:r>
      <w:r w:rsidR="00C113F2" w:rsidRPr="0014084D">
        <w:t xml:space="preserve">od of detention in Somaliland. </w:t>
      </w:r>
      <w:r w:rsidRPr="0014084D">
        <w:t>The SSHD was successful in its application under s</w:t>
      </w:r>
      <w:r w:rsidR="00507E54" w:rsidRPr="0014084D">
        <w:t xml:space="preserve">ection </w:t>
      </w:r>
      <w:r w:rsidRPr="0014084D">
        <w:t>6 and the Claimant argued that he should be provided with a g</w:t>
      </w:r>
      <w:r w:rsidR="009F49A7">
        <w:t>ist under A</w:t>
      </w:r>
      <w:r w:rsidR="00C113F2" w:rsidRPr="0014084D">
        <w:t xml:space="preserve">rticle 6 ECHR.  </w:t>
      </w:r>
    </w:p>
    <w:p w14:paraId="75A313B7" w14:textId="4B631B5B" w:rsidR="004F18BE" w:rsidRDefault="004F18BE" w:rsidP="003966DA">
      <w:pPr>
        <w:pStyle w:val="OPENmanualpara"/>
      </w:pPr>
      <w:r>
        <w:t>In considering the issues,</w:t>
      </w:r>
      <w:r w:rsidR="00FF2C6F">
        <w:t xml:space="preserve"> Irwin J stated at paragraph 29:</w:t>
      </w:r>
    </w:p>
    <w:p w14:paraId="0C384034" w14:textId="77777777" w:rsidR="004F18BE" w:rsidRDefault="004F18BE" w:rsidP="009F49A7">
      <w:pPr>
        <w:pStyle w:val="Quote"/>
      </w:pPr>
      <w:r>
        <w:t>“</w:t>
      </w:r>
      <w:r w:rsidRPr="004F18BE">
        <w:t xml:space="preserve">I take as my approach the </w:t>
      </w:r>
      <w:r w:rsidRPr="009F49A7">
        <w:t>starting</w:t>
      </w:r>
      <w:r w:rsidRPr="004F18BE">
        <w:t xml:space="preserve"> point that, in a case which does not directly affect the liberty of the subject, there is no irreducible minimum </w:t>
      </w:r>
      <w:r w:rsidRPr="004F18BE">
        <w:lastRenderedPageBreak/>
        <w:t>of disclosure, or necessary minimum revelation by summary or gist of the Defendants' case, obligatory despite the consequences for national security. This case is a claim for compensation, albeit with potentially important issues of high public interest. It is in a category where I must conduct a balancing exercise, bearing in mind the competing principles of maximising the fairness of the trial and protecting the public through the preservation of national security. Any compromise of fairness must be thoroughly justified. Every possible effort must be made to mitigate the effect of CLOSED material procedures and limited disclosure. The twin evils of injustice to a Claimant and injustice to the State are to be avoided: the latter arising if and when the disclosure (in whatever form) of the detailed case would so compromise national security that the State is compelled to settle what may be an unjust and unmeritorious claim.</w:t>
      </w:r>
      <w:r>
        <w:t>”</w:t>
      </w:r>
    </w:p>
    <w:p w14:paraId="6503D3F2" w14:textId="20303258" w:rsidR="005474F7" w:rsidRPr="0014084D" w:rsidRDefault="00C113F2" w:rsidP="003966DA">
      <w:pPr>
        <w:pStyle w:val="OPENmanualpara"/>
      </w:pPr>
      <w:r w:rsidRPr="0014084D">
        <w:t>The c</w:t>
      </w:r>
      <w:r w:rsidR="005474F7" w:rsidRPr="0014084D">
        <w:t xml:space="preserve">ourt </w:t>
      </w:r>
      <w:r w:rsidR="004F18BE">
        <w:t xml:space="preserve">went on to </w:t>
      </w:r>
      <w:r w:rsidR="005474F7" w:rsidRPr="0014084D">
        <w:t>h</w:t>
      </w:r>
      <w:r w:rsidR="004F18BE">
        <w:t>o</w:t>
      </w:r>
      <w:r w:rsidR="005474F7" w:rsidRPr="0014084D">
        <w:t>ld that</w:t>
      </w:r>
      <w:r w:rsidR="004F18BE">
        <w:t>,</w:t>
      </w:r>
      <w:r w:rsidR="005474F7" w:rsidRPr="0014084D">
        <w:t xml:space="preserve"> in a case against the </w:t>
      </w:r>
      <w:r w:rsidR="00663AE4">
        <w:t>S</w:t>
      </w:r>
      <w:r w:rsidR="005474F7" w:rsidRPr="0014084D">
        <w:t xml:space="preserve">tate which did not directly affect the liberty of the subject, there was no irreducible minimum of disclosure of the </w:t>
      </w:r>
      <w:r w:rsidR="00663AE4">
        <w:t>S</w:t>
      </w:r>
      <w:r w:rsidR="005474F7" w:rsidRPr="0014084D">
        <w:t xml:space="preserve">tate’s case which the court would require.   </w:t>
      </w:r>
    </w:p>
    <w:p w14:paraId="5EE6C893" w14:textId="097553BF" w:rsidR="00173E8F" w:rsidRDefault="005474F7" w:rsidP="004F18BE">
      <w:pPr>
        <w:pStyle w:val="OPENmanualpara"/>
      </w:pPr>
      <w:r w:rsidRPr="0014084D">
        <w:t>In parallel proceedings in the Court of Appeal related to Control Or</w:t>
      </w:r>
      <w:r w:rsidR="00C113F2" w:rsidRPr="0014084D">
        <w:t>ders (now TPIMs),</w:t>
      </w:r>
      <w:r w:rsidR="004F18BE">
        <w:t xml:space="preserve"> </w:t>
      </w:r>
      <w:r w:rsidR="004F18BE" w:rsidRPr="004F18BE">
        <w:rPr>
          <w:i/>
        </w:rPr>
        <w:t>SSHD v CC &amp; CF</w:t>
      </w:r>
      <w:r w:rsidR="004F18BE">
        <w:t xml:space="preserve"> </w:t>
      </w:r>
      <w:r w:rsidR="004F18BE" w:rsidRPr="004F18BE">
        <w:t>[2014] EWCA</w:t>
      </w:r>
      <w:r w:rsidR="004F18BE">
        <w:t xml:space="preserve"> </w:t>
      </w:r>
      <w:proofErr w:type="spellStart"/>
      <w:r w:rsidR="004F18BE" w:rsidRPr="004F18BE">
        <w:t>Civ</w:t>
      </w:r>
      <w:proofErr w:type="spellEnd"/>
      <w:r w:rsidR="004F18BE" w:rsidRPr="004F18BE">
        <w:t xml:space="preserve"> 559</w:t>
      </w:r>
      <w:r w:rsidR="004F18BE">
        <w:rPr>
          <w:rStyle w:val="FootnoteReference"/>
        </w:rPr>
        <w:footnoteReference w:id="45"/>
      </w:r>
      <w:r w:rsidR="00C113F2" w:rsidRPr="0014084D">
        <w:t>, the c</w:t>
      </w:r>
      <w:r w:rsidRPr="0014084D">
        <w:t xml:space="preserve">ourt held that once it was accepted that there was an abuse of process jurisdiction in </w:t>
      </w:r>
      <w:r w:rsidR="00663AE4">
        <w:t>C</w:t>
      </w:r>
      <w:r w:rsidRPr="0014084D">
        <w:t xml:space="preserve">ontrol </w:t>
      </w:r>
      <w:r w:rsidR="00663AE4">
        <w:t>O</w:t>
      </w:r>
      <w:r w:rsidRPr="0014084D">
        <w:t>rder and TPIM cases, it attracted the principles exp</w:t>
      </w:r>
      <w:r w:rsidR="00B55CD4" w:rsidRPr="0014084D">
        <w:t>ou</w:t>
      </w:r>
      <w:r w:rsidRPr="0014084D">
        <w:t xml:space="preserve">nded in </w:t>
      </w:r>
      <w:r w:rsidRPr="004F18BE">
        <w:rPr>
          <w:i/>
        </w:rPr>
        <w:t>AF (N</w:t>
      </w:r>
      <w:r w:rsidRPr="004F18BE">
        <w:rPr>
          <w:i/>
          <w:vertAlign w:val="superscript"/>
        </w:rPr>
        <w:t>o</w:t>
      </w:r>
      <w:r w:rsidRPr="004F18BE">
        <w:rPr>
          <w:i/>
        </w:rPr>
        <w:t>.3)</w:t>
      </w:r>
      <w:r w:rsidRPr="0014084D">
        <w:t xml:space="preserve">. </w:t>
      </w:r>
    </w:p>
    <w:p w14:paraId="56A98B30" w14:textId="77777777" w:rsidR="005474F7" w:rsidRPr="0014084D" w:rsidRDefault="005474F7" w:rsidP="004F18BE">
      <w:pPr>
        <w:pStyle w:val="OPENmanualpara"/>
      </w:pPr>
      <w:r w:rsidRPr="0014084D">
        <w:t xml:space="preserve">It followed </w:t>
      </w:r>
      <w:proofErr w:type="gramStart"/>
      <w:r w:rsidRPr="0014084D">
        <w:t>that the appellants’</w:t>
      </w:r>
      <w:proofErr w:type="gramEnd"/>
      <w:r w:rsidRPr="0014084D">
        <w:t xml:space="preserve"> princip</w:t>
      </w:r>
      <w:r w:rsidR="00EA7DBE">
        <w:t>a</w:t>
      </w:r>
      <w:r w:rsidRPr="0014084D">
        <w:t xml:space="preserve">l ground of appeal was made out. Where the statute did not </w:t>
      </w:r>
      <w:r w:rsidR="00C113F2" w:rsidRPr="0014084D">
        <w:t xml:space="preserve">delineate the boundaries of </w:t>
      </w:r>
      <w:r w:rsidR="0024596F" w:rsidRPr="0014084D">
        <w:t>open</w:t>
      </w:r>
      <w:r w:rsidRPr="0014084D">
        <w:t xml:space="preserve"> justice, it was for the court to do so, and the court did not consider that the appellants or public should be denied all knowledge of the extent to which their factual and/or legal case on collusion and mistreatment was accepted or rejected (at [10]-[20]).  </w:t>
      </w:r>
    </w:p>
    <w:p w14:paraId="414D9DD5" w14:textId="0200C8AC" w:rsidR="005474F7" w:rsidRPr="0014084D" w:rsidRDefault="005474F7" w:rsidP="003966DA">
      <w:pPr>
        <w:pStyle w:val="OPENmanualpara"/>
      </w:pPr>
      <w:r w:rsidRPr="0014084D">
        <w:t xml:space="preserve">In </w:t>
      </w:r>
      <w:r w:rsidRPr="0014084D">
        <w:rPr>
          <w:i/>
        </w:rPr>
        <w:t>R (on the application of K</w:t>
      </w:r>
      <w:r w:rsidR="00A13A39">
        <w:rPr>
          <w:i/>
        </w:rPr>
        <w:t>, A and B</w:t>
      </w:r>
      <w:r w:rsidRPr="0014084D">
        <w:rPr>
          <w:i/>
        </w:rPr>
        <w:t xml:space="preserve">) v Secretary of State for Defence </w:t>
      </w:r>
      <w:r w:rsidRPr="0014084D">
        <w:t>[2016] EWHC 1261 (</w:t>
      </w:r>
      <w:r w:rsidR="00A13A39">
        <w:t>A</w:t>
      </w:r>
      <w:r w:rsidRPr="0014084D">
        <w:t>dmin)</w:t>
      </w:r>
      <w:r w:rsidR="006436B9">
        <w:rPr>
          <w:rStyle w:val="FootnoteReference"/>
        </w:rPr>
        <w:footnoteReference w:id="46"/>
      </w:r>
      <w:r w:rsidRPr="0014084D">
        <w:t xml:space="preserve">, three Afghan nationals, who had allegedly assisted the UK government in Afghanistan, brought a number of claims, including </w:t>
      </w:r>
      <w:r w:rsidR="003B775F">
        <w:t>J</w:t>
      </w:r>
      <w:r w:rsidRPr="0014084D">
        <w:t xml:space="preserve">udicial </w:t>
      </w:r>
      <w:r w:rsidR="003B775F">
        <w:t>R</w:t>
      </w:r>
      <w:r w:rsidRPr="0014084D">
        <w:t xml:space="preserve">eview and private law claims for damages. In respect of the </w:t>
      </w:r>
      <w:r w:rsidR="003B775F">
        <w:t>J</w:t>
      </w:r>
      <w:r w:rsidRPr="0014084D">
        <w:t xml:space="preserve">udicial </w:t>
      </w:r>
      <w:r w:rsidR="003B775F">
        <w:t>R</w:t>
      </w:r>
      <w:r w:rsidRPr="0014084D">
        <w:t xml:space="preserve">eview </w:t>
      </w:r>
      <w:r w:rsidRPr="0014084D">
        <w:lastRenderedPageBreak/>
        <w:t xml:space="preserve">claims, the High Court rejected </w:t>
      </w:r>
      <w:r w:rsidR="00B55CD4" w:rsidRPr="0014084D">
        <w:t>a</w:t>
      </w:r>
      <w:r w:rsidRPr="0014084D">
        <w:t xml:space="preserve"> common law duty of fairness requir</w:t>
      </w:r>
      <w:r w:rsidR="00B55CD4" w:rsidRPr="0014084D">
        <w:t>ing</w:t>
      </w:r>
      <w:r w:rsidRPr="0014084D">
        <w:t xml:space="preserve"> further disclosure akin to that </w:t>
      </w:r>
      <w:r w:rsidR="005065F0" w:rsidRPr="0014084D">
        <w:t>required by Article 6</w:t>
      </w:r>
      <w:r w:rsidRPr="0014084D">
        <w:t xml:space="preserve">. In the Court of Appeal, it was found that the resolution of the public law claims was the determination of a civil right and accordingly attracted Article 6 rights. Further disclosure was required. </w:t>
      </w:r>
    </w:p>
    <w:p w14:paraId="59ACD5B6" w14:textId="282DD937" w:rsidR="005474F7" w:rsidRPr="0014084D" w:rsidRDefault="005474F7" w:rsidP="003966DA">
      <w:pPr>
        <w:pStyle w:val="OPENmanualpara"/>
      </w:pPr>
      <w:r w:rsidRPr="0014084D">
        <w:t>In</w:t>
      </w:r>
      <w:r w:rsidRPr="0014084D">
        <w:rPr>
          <w:i/>
        </w:rPr>
        <w:t xml:space="preserve"> S1 and others v SSHD </w:t>
      </w:r>
      <w:r w:rsidRPr="0014084D">
        <w:t xml:space="preserve">[2016] EWCA </w:t>
      </w:r>
      <w:proofErr w:type="spellStart"/>
      <w:r w:rsidRPr="0014084D">
        <w:t>Civ</w:t>
      </w:r>
      <w:proofErr w:type="spellEnd"/>
      <w:r w:rsidRPr="0014084D">
        <w:t xml:space="preserve"> 560</w:t>
      </w:r>
      <w:r w:rsidR="00455D19">
        <w:rPr>
          <w:rStyle w:val="FootnoteReference"/>
        </w:rPr>
        <w:footnoteReference w:id="47"/>
      </w:r>
      <w:r w:rsidRPr="0014084D">
        <w:t>, the Court of Appeal held that</w:t>
      </w:r>
      <w:r w:rsidR="0011104D">
        <w:t>,</w:t>
      </w:r>
      <w:r w:rsidRPr="0014084D">
        <w:t xml:space="preserve"> even w</w:t>
      </w:r>
      <w:r w:rsidR="000240C2">
        <w:t>h</w:t>
      </w:r>
      <w:r w:rsidRPr="0014084D">
        <w:t xml:space="preserve">ere EU law applicable to deprivation decisions and the disclosure identified in the </w:t>
      </w:r>
      <w:r w:rsidRPr="0014084D">
        <w:rPr>
          <w:i/>
        </w:rPr>
        <w:t>ZZ</w:t>
      </w:r>
      <w:r w:rsidR="0011104D" w:rsidRPr="0011104D">
        <w:t xml:space="preserve"> (</w:t>
      </w:r>
      <w:r w:rsidR="000240C2">
        <w:t xml:space="preserve">see </w:t>
      </w:r>
      <w:r w:rsidR="0011104D">
        <w:t xml:space="preserve">paragraphs </w:t>
      </w:r>
      <w:r w:rsidR="0011104D">
        <w:fldChar w:fldCharType="begin"/>
      </w:r>
      <w:r w:rsidR="0011104D">
        <w:instrText xml:space="preserve"> REF _Ref522706048 \r \h </w:instrText>
      </w:r>
      <w:r w:rsidR="0011104D">
        <w:fldChar w:fldCharType="separate"/>
      </w:r>
      <w:r w:rsidR="00316350">
        <w:t>113</w:t>
      </w:r>
      <w:r w:rsidR="0011104D">
        <w:fldChar w:fldCharType="end"/>
      </w:r>
      <w:r w:rsidR="0011104D">
        <w:t>-</w:t>
      </w:r>
      <w:r w:rsidR="0011104D">
        <w:fldChar w:fldCharType="begin"/>
      </w:r>
      <w:r w:rsidR="0011104D">
        <w:instrText xml:space="preserve"> REF _Ref522706053 \r \h </w:instrText>
      </w:r>
      <w:r w:rsidR="0011104D">
        <w:fldChar w:fldCharType="separate"/>
      </w:r>
      <w:r w:rsidR="00316350">
        <w:t>115</w:t>
      </w:r>
      <w:r w:rsidR="0011104D">
        <w:fldChar w:fldCharType="end"/>
      </w:r>
      <w:r w:rsidR="0011104D">
        <w:t xml:space="preserve"> above)</w:t>
      </w:r>
      <w:r w:rsidR="000240C2">
        <w:t xml:space="preserve"> </w:t>
      </w:r>
      <w:r w:rsidRPr="0014084D">
        <w:t>case applied without modification, on the facts of the case</w:t>
      </w:r>
      <w:r w:rsidR="000B4FF8">
        <w:t>,</w:t>
      </w:r>
      <w:r w:rsidRPr="0014084D">
        <w:t xml:space="preserve"> the appellants would not have had a valid complaint of inadequate disclosure of the essence of the grounds of the decisions. </w:t>
      </w:r>
      <w:r w:rsidR="005065F0" w:rsidRPr="0014084D">
        <w:t>T</w:t>
      </w:r>
      <w:r w:rsidRPr="0014084D">
        <w:t xml:space="preserve">he court considered only the </w:t>
      </w:r>
      <w:r w:rsidR="0011104D" w:rsidRPr="0011104D">
        <w:t>OPEN</w:t>
      </w:r>
      <w:r w:rsidRPr="0014084D">
        <w:t xml:space="preserve"> material, whereas it recognised that if SIAC were approaching the same question it would have sight of all the material. </w:t>
      </w:r>
    </w:p>
    <w:p w14:paraId="568F7F15" w14:textId="77777777" w:rsidR="005474F7" w:rsidRPr="0014084D" w:rsidRDefault="005474F7" w:rsidP="003966DA">
      <w:pPr>
        <w:pStyle w:val="Heading2"/>
      </w:pPr>
      <w:bookmarkStart w:id="93" w:name="_Toc499805126"/>
      <w:bookmarkStart w:id="94" w:name="_Toc3904911"/>
      <w:r w:rsidRPr="0014084D">
        <w:t>Norwich Pharmacal and similar jurisdictions</w:t>
      </w:r>
      <w:bookmarkEnd w:id="93"/>
      <w:bookmarkEnd w:id="94"/>
    </w:p>
    <w:p w14:paraId="5A0B2BE8" w14:textId="77777777" w:rsidR="005474F7" w:rsidRPr="0014084D" w:rsidRDefault="005474F7" w:rsidP="003966DA">
      <w:pPr>
        <w:pStyle w:val="OPENmanualpara"/>
      </w:pPr>
      <w:r w:rsidRPr="0014084D">
        <w:t xml:space="preserve">Section 17 of the JSA 2013 prohibits a Court ordering disclosure of sensitive material under the </w:t>
      </w:r>
      <w:r w:rsidRPr="0014084D">
        <w:rPr>
          <w:i/>
        </w:rPr>
        <w:t>Norwich Pharmacal</w:t>
      </w:r>
      <w:r w:rsidRPr="0014084D">
        <w:t xml:space="preserve"> residual disclosure jurisdiction. In the pre-JSA 2013 case of </w:t>
      </w:r>
      <w:r w:rsidRPr="0014084D">
        <w:rPr>
          <w:i/>
        </w:rPr>
        <w:t xml:space="preserve">R (on the application of Omar) v </w:t>
      </w:r>
      <w:r w:rsidR="009F2139" w:rsidRPr="0014084D">
        <w:rPr>
          <w:i/>
        </w:rPr>
        <w:t>SSFC</w:t>
      </w:r>
      <w:r w:rsidR="009F2139">
        <w:rPr>
          <w:i/>
        </w:rPr>
        <w:t>A</w:t>
      </w:r>
      <w:r w:rsidR="009F2139" w:rsidRPr="0014084D">
        <w:rPr>
          <w:i/>
        </w:rPr>
        <w:t xml:space="preserve"> </w:t>
      </w:r>
      <w:r w:rsidRPr="0014084D">
        <w:rPr>
          <w:i/>
        </w:rPr>
        <w:t>[2013] EWCA 118</w:t>
      </w:r>
      <w:r w:rsidR="001119F7">
        <w:rPr>
          <w:rStyle w:val="FootnoteReference"/>
          <w:i/>
        </w:rPr>
        <w:footnoteReference w:id="48"/>
      </w:r>
      <w:r w:rsidRPr="0014084D">
        <w:rPr>
          <w:i/>
        </w:rPr>
        <w:t xml:space="preserve">, </w:t>
      </w:r>
      <w:r w:rsidRPr="0014084D">
        <w:t>the</w:t>
      </w:r>
      <w:r w:rsidRPr="0014084D">
        <w:rPr>
          <w:i/>
        </w:rPr>
        <w:t xml:space="preserve"> </w:t>
      </w:r>
      <w:r w:rsidRPr="0014084D">
        <w:t>Appellants sought material for use in foreign criminal proceedings where there was an existing statutory regi</w:t>
      </w:r>
      <w:r w:rsidR="000F2DEC" w:rsidRPr="0014084D">
        <w:t xml:space="preserve">me in place for such requests. </w:t>
      </w:r>
      <w:r w:rsidRPr="0014084D">
        <w:t xml:space="preserve">The Court held that to relegate national security to a factor to be weighed up on a case-by-case basis would subvert the existing statutory scheme. </w:t>
      </w:r>
    </w:p>
    <w:p w14:paraId="79A056F8" w14:textId="77777777" w:rsidR="005474F7" w:rsidRPr="0014084D" w:rsidRDefault="005474F7" w:rsidP="003966DA">
      <w:pPr>
        <w:pStyle w:val="Heading2"/>
      </w:pPr>
      <w:bookmarkStart w:id="95" w:name="_Toc499805127"/>
      <w:bookmarkStart w:id="96" w:name="_Toc3904912"/>
      <w:r w:rsidRPr="0014084D">
        <w:t>Royal Prerogative Cases</w:t>
      </w:r>
      <w:bookmarkEnd w:id="95"/>
      <w:bookmarkEnd w:id="96"/>
    </w:p>
    <w:p w14:paraId="73CA2191" w14:textId="419ACD16" w:rsidR="009E431B" w:rsidRDefault="005474F7" w:rsidP="003966DA">
      <w:pPr>
        <w:pStyle w:val="OPENmanualpara"/>
      </w:pPr>
      <w:r w:rsidRPr="0014084D">
        <w:t xml:space="preserve">In </w:t>
      </w:r>
      <w:r w:rsidRPr="0014084D">
        <w:rPr>
          <w:i/>
        </w:rPr>
        <w:t xml:space="preserve">MR v SSHD </w:t>
      </w:r>
      <w:r w:rsidRPr="0014084D">
        <w:t>[2016] EWHC 1622 (</w:t>
      </w:r>
      <w:r w:rsidR="001119F7">
        <w:t>A</w:t>
      </w:r>
      <w:r w:rsidRPr="0014084D">
        <w:t>dmin)</w:t>
      </w:r>
      <w:r w:rsidR="00486371">
        <w:rPr>
          <w:rStyle w:val="FootnoteReference"/>
        </w:rPr>
        <w:footnoteReference w:id="49"/>
      </w:r>
      <w:r w:rsidRPr="0014084D">
        <w:t xml:space="preserve">, the </w:t>
      </w:r>
      <w:r w:rsidR="003B775F">
        <w:t>c</w:t>
      </w:r>
      <w:r w:rsidRPr="0014084D">
        <w:t>ourt held that once Articles 4 and 27 of the Directive</w:t>
      </w:r>
      <w:r w:rsidR="000240C2">
        <w:t xml:space="preserve"> 2004/38</w:t>
      </w:r>
      <w:r w:rsidRPr="0014084D">
        <w:t xml:space="preserve"> were engaged, and the derogations in Articles 30(2) and 31 averred by the State, there was no context-specific spectrum of disclosure within Article 27. If breached, Article 27, read with </w:t>
      </w:r>
      <w:r w:rsidRPr="0014084D">
        <w:rPr>
          <w:i/>
        </w:rPr>
        <w:t>ZZ v UK</w:t>
      </w:r>
      <w:r w:rsidRPr="0014084D">
        <w:t>, required nothing less than the essence of the case to be provided to the appellant.  There was no</w:t>
      </w:r>
      <w:r w:rsidR="009E431B">
        <w:t xml:space="preserve"> in-between level of disclosure:</w:t>
      </w:r>
    </w:p>
    <w:p w14:paraId="2C769B08" w14:textId="4C0CA9BE" w:rsidR="00504BBD" w:rsidRPr="009E431B" w:rsidRDefault="009E431B" w:rsidP="009267E1">
      <w:pPr>
        <w:pStyle w:val="Quote"/>
      </w:pPr>
      <w:r>
        <w:lastRenderedPageBreak/>
        <w:t>“</w:t>
      </w:r>
      <w:r w:rsidRPr="009E431B">
        <w:t xml:space="preserve">To my mind, accepting though I do that there is a spectrum of decisions which may involve art.27, there is no spectrum of disclosure. It is the essence of the allegations which must be disclosed, despite harm to national security, neither more nor less. There is no scope in the light of ZZ </w:t>
      </w:r>
      <w:r>
        <w:t xml:space="preserve">and </w:t>
      </w:r>
      <w:proofErr w:type="spellStart"/>
      <w:r>
        <w:t>Kiani</w:t>
      </w:r>
      <w:proofErr w:type="spellEnd"/>
      <w:r w:rsidRPr="009E431B">
        <w:t xml:space="preserve"> for holding that there should be no disclosure which risked national security.</w:t>
      </w:r>
      <w:r>
        <w:t>” [27]</w:t>
      </w:r>
    </w:p>
    <w:p w14:paraId="5D265659" w14:textId="09C5ACC9" w:rsidR="005474F7" w:rsidRDefault="005474F7" w:rsidP="003966DA">
      <w:pPr>
        <w:pStyle w:val="OPENmanualpara"/>
      </w:pPr>
      <w:r w:rsidRPr="0014084D">
        <w:t xml:space="preserve">The court did, however, accept that whether or not Article 27 was engaged in any given case may depend on the seriousness of the type of challenge brought by the Appellant.  The </w:t>
      </w:r>
      <w:r w:rsidR="003B775F">
        <w:t>c</w:t>
      </w:r>
      <w:r w:rsidRPr="0014084D">
        <w:t xml:space="preserve">ourt accepted that there was a difference in the approach in the types of cases such as </w:t>
      </w:r>
      <w:r w:rsidRPr="0014084D">
        <w:rPr>
          <w:i/>
        </w:rPr>
        <w:t>Bank</w:t>
      </w:r>
      <w:r w:rsidRPr="0014084D">
        <w:t xml:space="preserve"> </w:t>
      </w:r>
      <w:proofErr w:type="spellStart"/>
      <w:r w:rsidRPr="0014084D">
        <w:rPr>
          <w:i/>
        </w:rPr>
        <w:t>Mellat</w:t>
      </w:r>
      <w:proofErr w:type="spellEnd"/>
      <w:r w:rsidRPr="0014084D">
        <w:t xml:space="preserve"> and </w:t>
      </w:r>
      <w:r w:rsidRPr="0014084D">
        <w:rPr>
          <w:i/>
        </w:rPr>
        <w:t>ZZ</w:t>
      </w:r>
      <w:r w:rsidRPr="0014084D">
        <w:t xml:space="preserve"> as compared to </w:t>
      </w:r>
      <w:r w:rsidRPr="0014084D">
        <w:rPr>
          <w:i/>
        </w:rPr>
        <w:t>Tariq</w:t>
      </w:r>
      <w:r w:rsidRPr="0014084D">
        <w:t xml:space="preserve"> and </w:t>
      </w:r>
      <w:proofErr w:type="spellStart"/>
      <w:r w:rsidRPr="0014084D">
        <w:rPr>
          <w:i/>
        </w:rPr>
        <w:t>Kiani</w:t>
      </w:r>
      <w:proofErr w:type="spellEnd"/>
      <w:r w:rsidR="0058355B">
        <w:t>:</w:t>
      </w:r>
    </w:p>
    <w:p w14:paraId="22CB895F" w14:textId="77777777" w:rsidR="0058355B" w:rsidRPr="0058355B" w:rsidRDefault="0058355B" w:rsidP="00F41811">
      <w:pPr>
        <w:pStyle w:val="Quote"/>
      </w:pPr>
      <w:r>
        <w:t>“</w:t>
      </w:r>
      <w:r w:rsidRPr="0058355B">
        <w:t xml:space="preserve">Mr Eadie is right that context affects the disclosure required. That is why the disclosure required in Tariq and </w:t>
      </w:r>
      <w:proofErr w:type="spellStart"/>
      <w:r w:rsidRPr="0058355B">
        <w:t>Kiani</w:t>
      </w:r>
      <w:proofErr w:type="spellEnd"/>
      <w:r w:rsidRPr="0058355B">
        <w:t xml:space="preserve"> differed fro</w:t>
      </w:r>
      <w:r>
        <w:t xml:space="preserve">m that required in Bank </w:t>
      </w:r>
      <w:proofErr w:type="spellStart"/>
      <w:r>
        <w:t>Mellat</w:t>
      </w:r>
      <w:proofErr w:type="spellEnd"/>
      <w:r>
        <w:t xml:space="preserve"> </w:t>
      </w:r>
      <w:r w:rsidRPr="0058355B">
        <w:t xml:space="preserve">and </w:t>
      </w:r>
      <w:r>
        <w:t>A</w:t>
      </w:r>
      <w:r w:rsidRPr="0058355B">
        <w:t xml:space="preserve">F </w:t>
      </w:r>
      <w:r>
        <w:t>(N</w:t>
      </w:r>
      <w:r w:rsidRPr="0058355B">
        <w:rPr>
          <w:vertAlign w:val="superscript"/>
        </w:rPr>
        <w:t>o</w:t>
      </w:r>
      <w:r>
        <w:t xml:space="preserve"> 3)</w:t>
      </w:r>
      <w:r w:rsidRPr="0058355B">
        <w:t xml:space="preserve">. They differed not just because of the degree of restrictions but because of the procedures available or not to protect the subject of the order, and </w:t>
      </w:r>
      <w:r w:rsidRPr="00F41811">
        <w:t>the</w:t>
      </w:r>
      <w:r w:rsidRPr="0058355B">
        <w:t xml:space="preserve"> extent to which such restrictions were imposed or part of the background in which employment was accepted and undertaken. I would also accept that the effect of exclusion on ZZ was, at least on the face of it, much more severe than the effect of the cancellation of MR’s passport.</w:t>
      </w:r>
      <w:r>
        <w:t>” [24]</w:t>
      </w:r>
    </w:p>
    <w:p w14:paraId="7561D0B5" w14:textId="5B5B2AD1" w:rsidR="005474F7" w:rsidRPr="0014084D" w:rsidRDefault="005474F7" w:rsidP="003966DA">
      <w:pPr>
        <w:pStyle w:val="OPENmanualpara"/>
      </w:pPr>
      <w:r w:rsidRPr="0014084D">
        <w:t xml:space="preserve">The cases of </w:t>
      </w:r>
      <w:r w:rsidRPr="0014084D">
        <w:rPr>
          <w:i/>
        </w:rPr>
        <w:t>XH</w:t>
      </w:r>
      <w:r w:rsidRPr="0014084D">
        <w:t xml:space="preserve"> and </w:t>
      </w:r>
      <w:r w:rsidRPr="0014084D">
        <w:rPr>
          <w:i/>
        </w:rPr>
        <w:t>AI</w:t>
      </w:r>
      <w:r w:rsidRPr="0014084D">
        <w:t xml:space="preserve"> were the first to be determined in the High Court.</w:t>
      </w:r>
      <w:r w:rsidRPr="0014084D">
        <w:rPr>
          <w:rStyle w:val="FootnoteReference"/>
          <w:smallCaps/>
        </w:rPr>
        <w:footnoteReference w:id="50"/>
      </w:r>
      <w:r w:rsidRPr="0014084D">
        <w:t xml:space="preserve"> </w:t>
      </w:r>
      <w:r w:rsidR="00F41811">
        <w:t>T</w:t>
      </w:r>
      <w:r w:rsidRPr="0014084D">
        <w:t>he High Court found</w:t>
      </w:r>
      <w:r w:rsidR="00F41811">
        <w:t>,</w:t>
      </w:r>
      <w:r w:rsidRPr="0014084D">
        <w:t xml:space="preserve"> firstly that Parliament did not intend to abrogate the </w:t>
      </w:r>
      <w:r w:rsidR="003B775F">
        <w:t>R</w:t>
      </w:r>
      <w:r w:rsidRPr="0014084D">
        <w:t xml:space="preserve">oyal </w:t>
      </w:r>
      <w:r w:rsidR="003B775F">
        <w:t>P</w:t>
      </w:r>
      <w:r w:rsidRPr="0014084D">
        <w:t xml:space="preserve">rerogative powers regarding terrorism when it </w:t>
      </w:r>
      <w:r w:rsidR="00F41811">
        <w:t xml:space="preserve">passed </w:t>
      </w:r>
      <w:r w:rsidR="003B775F">
        <w:t xml:space="preserve">the </w:t>
      </w:r>
      <w:r w:rsidR="00BF324C" w:rsidRPr="0014084D">
        <w:t xml:space="preserve">TPIM </w:t>
      </w:r>
      <w:r w:rsidR="00F41811">
        <w:t>Act</w:t>
      </w:r>
      <w:r w:rsidR="00BF324C" w:rsidRPr="0014084D">
        <w:t xml:space="preserve"> and second</w:t>
      </w:r>
      <w:r w:rsidR="00F41811">
        <w:t>ly</w:t>
      </w:r>
      <w:r w:rsidRPr="0014084D">
        <w:t>, while certain EU law principles were engaged, they had not been breached. The Applicants were unsuc</w:t>
      </w:r>
      <w:r w:rsidR="00BF324C" w:rsidRPr="0014084D">
        <w:t>cessful in their appeal to the C</w:t>
      </w:r>
      <w:r w:rsidRPr="0014084D">
        <w:t xml:space="preserve">ourt of Appeal. </w:t>
      </w:r>
    </w:p>
    <w:p w14:paraId="4490AFBB" w14:textId="10C874CF" w:rsidR="005474F7" w:rsidRPr="0014084D" w:rsidRDefault="005474F7" w:rsidP="003966DA">
      <w:pPr>
        <w:pStyle w:val="Heading2"/>
      </w:pPr>
      <w:bookmarkStart w:id="97" w:name="_Toc499805128"/>
      <w:bookmarkStart w:id="98" w:name="_Toc3904913"/>
      <w:r w:rsidRPr="0014084D">
        <w:t xml:space="preserve">Judicial Review </w:t>
      </w:r>
      <w:r w:rsidR="00F559CD">
        <w:t>c</w:t>
      </w:r>
      <w:r w:rsidRPr="0014084D">
        <w:t>laims</w:t>
      </w:r>
      <w:bookmarkEnd w:id="97"/>
      <w:bookmarkEnd w:id="98"/>
    </w:p>
    <w:p w14:paraId="7DB27C0F" w14:textId="18021EAD" w:rsidR="005474F7" w:rsidRPr="00E22D2D" w:rsidRDefault="005474F7" w:rsidP="003966DA">
      <w:pPr>
        <w:pStyle w:val="OPENmanualpara"/>
      </w:pPr>
      <w:bookmarkStart w:id="99" w:name="_Ref524003892"/>
      <w:r w:rsidRPr="0014084D">
        <w:t>Since the adve</w:t>
      </w:r>
      <w:r w:rsidR="00585DB3" w:rsidRPr="0014084D">
        <w:t xml:space="preserve">nt of the JSA 2013, the use of </w:t>
      </w:r>
      <w:r w:rsidR="00F41811" w:rsidRPr="006935F0">
        <w:t xml:space="preserve">CLOSED </w:t>
      </w:r>
      <w:r w:rsidR="00F41811">
        <w:t>proceedings</w:t>
      </w:r>
      <w:r w:rsidR="00F41811" w:rsidRPr="006935F0">
        <w:t xml:space="preserve"> </w:t>
      </w:r>
      <w:r w:rsidRPr="0014084D">
        <w:t xml:space="preserve">in </w:t>
      </w:r>
      <w:r w:rsidR="00F559CD">
        <w:t>J</w:t>
      </w:r>
      <w:r w:rsidRPr="0014084D">
        <w:t xml:space="preserve">udicial </w:t>
      </w:r>
      <w:r w:rsidR="00F559CD">
        <w:t>R</w:t>
      </w:r>
      <w:r w:rsidRPr="0014084D">
        <w:t>eview claims has been gov</w:t>
      </w:r>
      <w:r w:rsidR="00BF324C" w:rsidRPr="0014084D">
        <w:t xml:space="preserve">erned by the statutory scheme. </w:t>
      </w:r>
      <w:r w:rsidRPr="0014084D">
        <w:t>There remain</w:t>
      </w:r>
      <w:r w:rsidR="00391B05">
        <w:t>s</w:t>
      </w:r>
      <w:r w:rsidRPr="0014084D">
        <w:t xml:space="preserve"> a role </w:t>
      </w:r>
      <w:r w:rsidRPr="0014084D">
        <w:lastRenderedPageBreak/>
        <w:t xml:space="preserve">for </w:t>
      </w:r>
      <w:r w:rsidR="00BF324C" w:rsidRPr="0014084D">
        <w:t>a Special Advocate</w:t>
      </w:r>
      <w:r w:rsidRPr="0014084D">
        <w:t xml:space="preserve"> outside the statutory scheme to act as</w:t>
      </w:r>
      <w:r w:rsidR="00BF324C" w:rsidRPr="0014084D">
        <w:t xml:space="preserve"> a PII Advocate</w:t>
      </w:r>
      <w:r w:rsidR="002F3F6E" w:rsidRPr="0014084D">
        <w:t>,</w:t>
      </w:r>
      <w:r w:rsidRPr="0014084D">
        <w:t xml:space="preserve"> where an </w:t>
      </w:r>
      <w:proofErr w:type="gramStart"/>
      <w:r w:rsidR="00FC620D">
        <w:t>Information Owner</w:t>
      </w:r>
      <w:r w:rsidRPr="0014084D">
        <w:t xml:space="preserve"> choses</w:t>
      </w:r>
      <w:proofErr w:type="gramEnd"/>
      <w:r w:rsidRPr="0014084D">
        <w:t xml:space="preserve"> to make a PII application in parallel with</w:t>
      </w:r>
      <w:r w:rsidR="00BF324C" w:rsidRPr="0014084D">
        <w:t>,</w:t>
      </w:r>
      <w:r w:rsidRPr="0014084D">
        <w:t xml:space="preserve"> or instead of</w:t>
      </w:r>
      <w:r w:rsidR="00BF324C" w:rsidRPr="0014084D">
        <w:t>,</w:t>
      </w:r>
      <w:r w:rsidRPr="0014084D">
        <w:t xml:space="preserve"> an application for a s</w:t>
      </w:r>
      <w:r w:rsidR="003E2E7B" w:rsidRPr="0014084D">
        <w:t xml:space="preserve">ection </w:t>
      </w:r>
      <w:r w:rsidRPr="0014084D">
        <w:t>6 declaration under the JSA</w:t>
      </w:r>
      <w:r w:rsidR="009B588D" w:rsidRPr="0014084D">
        <w:t xml:space="preserve"> 2013</w:t>
      </w:r>
      <w:r w:rsidRPr="0014084D">
        <w:t>.</w:t>
      </w:r>
      <w:r w:rsidR="00391B05">
        <w:t xml:space="preserve"> The court took this approach in </w:t>
      </w:r>
      <w:r w:rsidR="0096424E">
        <w:t xml:space="preserve">the 2018 case of </w:t>
      </w:r>
      <w:proofErr w:type="spellStart"/>
      <w:r w:rsidR="00391B05" w:rsidRPr="00AF4192">
        <w:rPr>
          <w:i/>
        </w:rPr>
        <w:t>Horeau</w:t>
      </w:r>
      <w:proofErr w:type="spellEnd"/>
      <w:r w:rsidR="00391B05" w:rsidRPr="00AF4192">
        <w:rPr>
          <w:i/>
        </w:rPr>
        <w:t xml:space="preserve"> &amp; </w:t>
      </w:r>
      <w:proofErr w:type="spellStart"/>
      <w:r w:rsidR="00391B05" w:rsidRPr="00AF4192">
        <w:rPr>
          <w:i/>
        </w:rPr>
        <w:t>Bancoult</w:t>
      </w:r>
      <w:proofErr w:type="spellEnd"/>
      <w:r w:rsidR="00391B05">
        <w:rPr>
          <w:i/>
        </w:rPr>
        <w:t xml:space="preserve"> </w:t>
      </w:r>
      <w:r w:rsidR="00BC23D4" w:rsidRPr="00BC23D4">
        <w:t>(unreported)</w:t>
      </w:r>
      <w:r w:rsidR="00391B05" w:rsidRPr="00AF4192">
        <w:rPr>
          <w:i/>
        </w:rPr>
        <w:t>.</w:t>
      </w:r>
      <w:bookmarkEnd w:id="99"/>
    </w:p>
    <w:p w14:paraId="434E5791" w14:textId="33D605A1" w:rsidR="00C03163" w:rsidRPr="00E22D2D" w:rsidRDefault="00C03163" w:rsidP="00C13E08">
      <w:pPr>
        <w:pStyle w:val="OPENmanualpara"/>
      </w:pPr>
      <w:r>
        <w:t xml:space="preserve">There are two key </w:t>
      </w:r>
      <w:r w:rsidRPr="00C13E08">
        <w:t>differences</w:t>
      </w:r>
      <w:r>
        <w:t xml:space="preserve"> between </w:t>
      </w:r>
      <w:r w:rsidR="000B0B88">
        <w:t xml:space="preserve">Special </w:t>
      </w:r>
      <w:r w:rsidR="00F559CD">
        <w:t xml:space="preserve">Advocates </w:t>
      </w:r>
      <w:r w:rsidR="000B0B88">
        <w:t>and PII A</w:t>
      </w:r>
      <w:r>
        <w:t>dvocates</w:t>
      </w:r>
      <w:r w:rsidR="000B0B88">
        <w:t>.</w:t>
      </w:r>
      <w:r>
        <w:t xml:space="preserve"> </w:t>
      </w:r>
      <w:r w:rsidR="000B0B88">
        <w:t>The first is in their role in the litigation. A Special A</w:t>
      </w:r>
      <w:r w:rsidRPr="00252B30">
        <w:t xml:space="preserve">dvocate makes submissions on behalf of the </w:t>
      </w:r>
      <w:r w:rsidR="00F41811">
        <w:t>E</w:t>
      </w:r>
      <w:r w:rsidRPr="00252B30">
        <w:t xml:space="preserve">xcluded </w:t>
      </w:r>
      <w:r w:rsidR="00F41811">
        <w:t>P</w:t>
      </w:r>
      <w:r w:rsidRPr="00252B30">
        <w:t xml:space="preserve">arty at the disclosure stage, and then again, assuming some material remains in CLOSED, at the substantive stage. A PII </w:t>
      </w:r>
      <w:r w:rsidR="00F559CD">
        <w:t>A</w:t>
      </w:r>
      <w:r w:rsidRPr="00252B30">
        <w:t>dvocate makes submissions on behalf of the excluded party in relation to the</w:t>
      </w:r>
      <w:r w:rsidR="00F41811">
        <w:t xml:space="preserve"> </w:t>
      </w:r>
      <w:r w:rsidR="00FC620D">
        <w:t>Information Owner</w:t>
      </w:r>
      <w:r w:rsidR="00F559CD">
        <w:t>’</w:t>
      </w:r>
      <w:r w:rsidR="000B0B88">
        <w:t>s</w:t>
      </w:r>
      <w:r w:rsidRPr="00252B30">
        <w:t xml:space="preserve"> PII </w:t>
      </w:r>
      <w:proofErr w:type="gramStart"/>
      <w:r w:rsidRPr="00252B30">
        <w:t>application, and</w:t>
      </w:r>
      <w:proofErr w:type="gramEnd"/>
      <w:r w:rsidRPr="00252B30">
        <w:t xml:space="preserve"> has no ongoing role in the proceedings once that discrete application is determined.</w:t>
      </w:r>
    </w:p>
    <w:p w14:paraId="2F8222EE" w14:textId="26723D47" w:rsidR="000B0B88" w:rsidRPr="0014084D" w:rsidRDefault="000B0B88" w:rsidP="00C13E08">
      <w:pPr>
        <w:pStyle w:val="OPENmanualpara"/>
      </w:pPr>
      <w:bookmarkStart w:id="100" w:name="_Ref524003893"/>
      <w:r>
        <w:t xml:space="preserve">The second difference is that whilst a </w:t>
      </w:r>
      <w:r w:rsidR="00F559CD">
        <w:t>S</w:t>
      </w:r>
      <w:r>
        <w:t xml:space="preserve">pecial </w:t>
      </w:r>
      <w:r w:rsidR="00F559CD">
        <w:t>A</w:t>
      </w:r>
      <w:r w:rsidRPr="00C13E08">
        <w:t>dvocate</w:t>
      </w:r>
      <w:r>
        <w:t xml:space="preserve"> must necessarily hold the </w:t>
      </w:r>
      <w:r w:rsidR="0076452A">
        <w:t xml:space="preserve">required level of security clearance to perform their role, a PII </w:t>
      </w:r>
      <w:r w:rsidR="00F559CD">
        <w:t>A</w:t>
      </w:r>
      <w:r w:rsidR="0076452A">
        <w:t>dvocate might not need such clearance; the level of clearance required is determined by the classification of the material subject to the PII application.</w:t>
      </w:r>
      <w:bookmarkEnd w:id="100"/>
    </w:p>
    <w:p w14:paraId="2E82C25A" w14:textId="77777777" w:rsidR="005474F7" w:rsidRPr="0014084D" w:rsidRDefault="00412584" w:rsidP="003966DA">
      <w:pPr>
        <w:pStyle w:val="Heading2"/>
      </w:pPr>
      <w:bookmarkStart w:id="101" w:name="_Toc499805129"/>
      <w:bookmarkStart w:id="102" w:name="_Toc3904914"/>
      <w:r>
        <w:t>Terrorism Prevention and Investigation Measures (“</w:t>
      </w:r>
      <w:r w:rsidR="005474F7" w:rsidRPr="0014084D">
        <w:t>TPIMs</w:t>
      </w:r>
      <w:bookmarkEnd w:id="101"/>
      <w:r>
        <w:t>”)</w:t>
      </w:r>
      <w:bookmarkEnd w:id="102"/>
    </w:p>
    <w:p w14:paraId="6966D1E1" w14:textId="77777777" w:rsidR="005474F7" w:rsidRPr="0014084D" w:rsidRDefault="005474F7" w:rsidP="003966DA">
      <w:pPr>
        <w:pStyle w:val="OPENmanualpara"/>
      </w:pPr>
      <w:r w:rsidRPr="0014084D">
        <w:t>The</w:t>
      </w:r>
      <w:r w:rsidR="001119F7">
        <w:t xml:space="preserve"> </w:t>
      </w:r>
      <w:r w:rsidRPr="0014084D">
        <w:t xml:space="preserve">2001 Act was passed by Parliament in response to the terrorist attacks of 11 September 2001. Part IV of the 2001 Act permitted the Secretary of State to certify individuals whom he reasonably believed were a threat to national security and suspected of being international terrorists. </w:t>
      </w:r>
    </w:p>
    <w:p w14:paraId="288EA71E" w14:textId="763EADAC" w:rsidR="005474F7" w:rsidRPr="00ED36DA" w:rsidRDefault="005474F7" w:rsidP="00ED36DA">
      <w:pPr>
        <w:pStyle w:val="OPENmanualpara"/>
      </w:pPr>
      <w:r w:rsidRPr="0014084D">
        <w:t xml:space="preserve">Part IV of the 2001 Act was repealed by the Prevention of Terrorism Act 2005 with effect from 14 March 2005. </w:t>
      </w:r>
      <w:r w:rsidR="00ED36DA" w:rsidRPr="00ED36DA">
        <w:t>It replaced the detention of suspected terrorists with the imposition of Control Orders.</w:t>
      </w:r>
    </w:p>
    <w:p w14:paraId="03ADDF7A" w14:textId="6CBAD14C" w:rsidR="005474F7" w:rsidRPr="0014084D" w:rsidRDefault="00ED36DA" w:rsidP="003966DA">
      <w:pPr>
        <w:pStyle w:val="OPENmanualpara"/>
      </w:pPr>
      <w:r>
        <w:t>Control Orders</w:t>
      </w:r>
      <w:r w:rsidRPr="0014084D">
        <w:t xml:space="preserve"> </w:t>
      </w:r>
      <w:r w:rsidR="005474F7" w:rsidRPr="0014084D">
        <w:t xml:space="preserve">were </w:t>
      </w:r>
      <w:r>
        <w:t>then</w:t>
      </w:r>
      <w:r w:rsidRPr="0014084D">
        <w:t xml:space="preserve"> </w:t>
      </w:r>
      <w:r w:rsidR="005474F7" w:rsidRPr="0014084D">
        <w:t>replaced by Terrorism Prevention and Investigations Measures</w:t>
      </w:r>
      <w:r w:rsidR="00023943">
        <w:t>,</w:t>
      </w:r>
      <w:r w:rsidR="005474F7" w:rsidRPr="0014084D">
        <w:t xml:space="preserve"> </w:t>
      </w:r>
      <w:r w:rsidR="00023943">
        <w:t xml:space="preserve">under the TPIM </w:t>
      </w:r>
      <w:r w:rsidR="005474F7" w:rsidRPr="0014084D">
        <w:t>Act, as</w:t>
      </w:r>
      <w:r>
        <w:t xml:space="preserve"> subsequently</w:t>
      </w:r>
      <w:r w:rsidR="005474F7" w:rsidRPr="0014084D">
        <w:t xml:space="preserve"> amended by Part 2 of the Counter Terrorism and Security Act 2015. </w:t>
      </w:r>
      <w:r w:rsidR="00BE1746">
        <w:t xml:space="preserve">Under the </w:t>
      </w:r>
      <w:r w:rsidR="00023943">
        <w:t>TPIM</w:t>
      </w:r>
      <w:r w:rsidR="00BE1746">
        <w:t xml:space="preserve"> Act t</w:t>
      </w:r>
      <w:r w:rsidR="00BE1746" w:rsidRPr="0014084D">
        <w:t xml:space="preserve">he </w:t>
      </w:r>
      <w:r w:rsidR="00023943" w:rsidRPr="00A9146D">
        <w:t>Secretary of State</w:t>
      </w:r>
      <w:r w:rsidR="00BE1746">
        <w:t xml:space="preserve"> </w:t>
      </w:r>
      <w:r w:rsidR="00BE1746" w:rsidRPr="0014084D">
        <w:t>may</w:t>
      </w:r>
      <w:r w:rsidR="00BE1746">
        <w:t>,</w:t>
      </w:r>
      <w:r w:rsidR="00BE1746" w:rsidRPr="0014084D">
        <w:t xml:space="preserve"> pursuant to a notice</w:t>
      </w:r>
      <w:r w:rsidR="00BE1746">
        <w:t>,</w:t>
      </w:r>
      <w:r w:rsidR="00BE1746" w:rsidRPr="0014084D">
        <w:t xml:space="preserve"> impose specified terrorism prevention and investigation measures on an individual</w:t>
      </w:r>
      <w:r w:rsidR="001663C3">
        <w:t xml:space="preserve"> in the form of a TPIM Notice,</w:t>
      </w:r>
      <w:r w:rsidR="00BE1746" w:rsidRPr="0014084D">
        <w:t xml:space="preserve"> provided </w:t>
      </w:r>
      <w:r w:rsidR="00023943">
        <w:t xml:space="preserve">that </w:t>
      </w:r>
      <w:r w:rsidR="00BE1746" w:rsidRPr="0014084D">
        <w:t xml:space="preserve">certain conditions are met. </w:t>
      </w:r>
      <w:r w:rsidR="005474F7" w:rsidRPr="0014084D">
        <w:t xml:space="preserve">The restrictions placed on individuals under the 2011 Act were considered to be less stringent than those under the </w:t>
      </w:r>
      <w:r w:rsidR="00F559CD" w:rsidRPr="0014084D">
        <w:t xml:space="preserve">Prevention </w:t>
      </w:r>
      <w:r w:rsidR="00F559CD" w:rsidRPr="0014084D">
        <w:lastRenderedPageBreak/>
        <w:t xml:space="preserve">of Terrorism Act 2005 </w:t>
      </w:r>
      <w:r w:rsidR="005474F7" w:rsidRPr="0014084D">
        <w:t xml:space="preserve">and less intrusive on their human rights, whilst maintaining safeguards. </w:t>
      </w:r>
    </w:p>
    <w:p w14:paraId="4062F9ED" w14:textId="77777777" w:rsidR="005474F7" w:rsidRPr="0014084D" w:rsidRDefault="005474F7" w:rsidP="003966DA">
      <w:pPr>
        <w:pStyle w:val="OPENmanualpara"/>
      </w:pPr>
      <w:r w:rsidRPr="0014084D">
        <w:t>Part 2 of the Counter Terrorism and Security Act 2015 introduced k</w:t>
      </w:r>
      <w:r w:rsidR="00BF324C" w:rsidRPr="0014084D">
        <w:t xml:space="preserve">ey changes to the TPIM regime. </w:t>
      </w:r>
      <w:r w:rsidRPr="0014084D">
        <w:t xml:space="preserve">This included amending the requirement for the </w:t>
      </w:r>
      <w:r w:rsidR="009F2139">
        <w:t>SSHD</w:t>
      </w:r>
      <w:r w:rsidRPr="0014084D">
        <w:t xml:space="preserve"> to be satisfied of involvement in terrorism from “reasonably believes” to “on the balance of probabilities”.</w:t>
      </w:r>
    </w:p>
    <w:p w14:paraId="301AD230" w14:textId="77777777" w:rsidR="005474F7" w:rsidRPr="0014084D" w:rsidRDefault="005474F7" w:rsidP="003966DA">
      <w:pPr>
        <w:pStyle w:val="OPENmanualpara"/>
      </w:pPr>
      <w:r w:rsidRPr="0014084D">
        <w:t>A TPIM Notice is initially valid for a year but may be extended for a further year. No new TPIM Notice may be imposed on an individual after this time unless the Secretary of State reasonably believes that the individual has engaged in further terrorism-related activity. Breach of a TPIM Notice without a reasonable excuse is a criminal offence punishable by imprisonment.</w:t>
      </w:r>
    </w:p>
    <w:p w14:paraId="0FFE5428" w14:textId="77777777" w:rsidR="005474F7" w:rsidRPr="0014084D" w:rsidRDefault="005474F7" w:rsidP="003966DA">
      <w:pPr>
        <w:pStyle w:val="OPENmanualpara"/>
      </w:pPr>
      <w:r w:rsidRPr="0014084D">
        <w:t xml:space="preserve">TPIM proceedings </w:t>
      </w:r>
      <w:r w:rsidR="00BF324C" w:rsidRPr="0014084D">
        <w:t xml:space="preserve">take place in the Administrative Court. </w:t>
      </w:r>
      <w:r w:rsidRPr="0014084D">
        <w:t xml:space="preserve">There may have been earlier criminal proceedings where the Appellant will have had access to some CLOSED material in those proceedings.  Consequently, it </w:t>
      </w:r>
      <w:r w:rsidR="00DF747A">
        <w:t>may be</w:t>
      </w:r>
      <w:r w:rsidRPr="0014084D">
        <w:t xml:space="preserve"> necessary to have an </w:t>
      </w:r>
      <w:proofErr w:type="gramStart"/>
      <w:r w:rsidRPr="0014084D">
        <w:t>IN CAMERA</w:t>
      </w:r>
      <w:proofErr w:type="gramEnd"/>
      <w:r w:rsidRPr="0014084D">
        <w:t xml:space="preserve"> regime in the TPIM proceedings, with proceedings then falling into three elements: OPEN, IN CAMERA and CLOSED.  </w:t>
      </w:r>
    </w:p>
    <w:p w14:paraId="2AEF3868" w14:textId="77777777" w:rsidR="005474F7" w:rsidRPr="0014084D" w:rsidRDefault="005474F7" w:rsidP="003966DA">
      <w:pPr>
        <w:pStyle w:val="OPENmanualpara"/>
      </w:pPr>
      <w:r w:rsidRPr="0014084D">
        <w:t xml:space="preserve">A TPIM Working Group drafted standard directions for use in these types of cases.  The aim of this was to ensure that cases were heard within 6 months </w:t>
      </w:r>
      <w:proofErr w:type="gramStart"/>
      <w:r w:rsidRPr="0014084D">
        <w:t>i.e.</w:t>
      </w:r>
      <w:proofErr w:type="gramEnd"/>
      <w:r w:rsidRPr="0014084D">
        <w:t xml:space="preserve"> as expeditiously as possible, given that TPIMs are limited in duration to two years. </w:t>
      </w:r>
    </w:p>
    <w:p w14:paraId="3653B843" w14:textId="78AA3164" w:rsidR="005474F7" w:rsidRPr="0014084D" w:rsidRDefault="005474F7" w:rsidP="003966DA">
      <w:pPr>
        <w:pStyle w:val="Heading2"/>
      </w:pPr>
      <w:bookmarkStart w:id="103" w:name="_Toc499805130"/>
      <w:bookmarkStart w:id="104" w:name="_Toc3904915"/>
      <w:r w:rsidRPr="0014084D">
        <w:t>Asset</w:t>
      </w:r>
      <w:r w:rsidR="00412584">
        <w:t>-f</w:t>
      </w:r>
      <w:r w:rsidRPr="0014084D">
        <w:t xml:space="preserve">reezing </w:t>
      </w:r>
      <w:r w:rsidR="001663C3">
        <w:t>d</w:t>
      </w:r>
      <w:r w:rsidRPr="0014084D">
        <w:t>esignations</w:t>
      </w:r>
      <w:bookmarkEnd w:id="103"/>
      <w:bookmarkEnd w:id="104"/>
    </w:p>
    <w:p w14:paraId="44D0AAF2" w14:textId="093C029B" w:rsidR="00B275B5" w:rsidRDefault="00BF324C" w:rsidP="003966DA">
      <w:pPr>
        <w:pStyle w:val="OPENmanualpara"/>
      </w:pPr>
      <w:r w:rsidRPr="0014084D">
        <w:t>A Special Advocate has</w:t>
      </w:r>
      <w:r w:rsidR="005474F7" w:rsidRPr="0014084D">
        <w:t xml:space="preserve"> been appointed in cases where an individual has sought to challenge a designation under the Terrorist Asset-Freezing e</w:t>
      </w:r>
      <w:r w:rsidR="00C7640F">
        <w:t xml:space="preserve">tc. Act 2010 (the “2010 Act”). </w:t>
      </w:r>
      <w:r w:rsidR="005474F7" w:rsidRPr="0014084D">
        <w:t xml:space="preserve">  </w:t>
      </w:r>
    </w:p>
    <w:p w14:paraId="143AE021" w14:textId="77777777" w:rsidR="005474F7" w:rsidRPr="0014084D" w:rsidRDefault="00153570" w:rsidP="003966DA">
      <w:pPr>
        <w:pStyle w:val="OPENmanualpara"/>
      </w:pPr>
      <w:r>
        <w:t>Under s2 of the 2010 Act, t</w:t>
      </w:r>
      <w:r w:rsidR="005474F7" w:rsidRPr="0014084D">
        <w:t>he Treasury may make a final designation of a person if they reasonably believe that:</w:t>
      </w:r>
    </w:p>
    <w:p w14:paraId="31B52024" w14:textId="77777777" w:rsidR="005474F7" w:rsidRPr="0014084D" w:rsidRDefault="005474F7" w:rsidP="00B275B5">
      <w:pPr>
        <w:pStyle w:val="OPENmanualpara"/>
        <w:numPr>
          <w:ilvl w:val="1"/>
          <w:numId w:val="5"/>
        </w:numPr>
      </w:pPr>
      <w:r w:rsidRPr="0014084D">
        <w:t>the person is or has been</w:t>
      </w:r>
      <w:r w:rsidR="00BF324C" w:rsidRPr="0014084D">
        <w:t xml:space="preserve"> involved in terrorist </w:t>
      </w:r>
      <w:proofErr w:type="gramStart"/>
      <w:r w:rsidR="00BF324C" w:rsidRPr="0014084D">
        <w:t>activity;</w:t>
      </w:r>
      <w:proofErr w:type="gramEnd"/>
      <w:r w:rsidRPr="0014084D">
        <w:t xml:space="preserve"> </w:t>
      </w:r>
    </w:p>
    <w:p w14:paraId="0C9EC9DE" w14:textId="77777777" w:rsidR="005474F7" w:rsidRPr="0014084D" w:rsidRDefault="005474F7" w:rsidP="00B275B5">
      <w:pPr>
        <w:pStyle w:val="OPENmanualpara"/>
        <w:numPr>
          <w:ilvl w:val="1"/>
          <w:numId w:val="5"/>
        </w:numPr>
      </w:pPr>
      <w:r w:rsidRPr="0014084D">
        <w:t xml:space="preserve">the person is owned or controlled by the person who has been involved in terrorist activity; or </w:t>
      </w:r>
    </w:p>
    <w:p w14:paraId="42B2F362" w14:textId="5A0F3E30" w:rsidR="005474F7" w:rsidRPr="0014084D" w:rsidRDefault="005474F7" w:rsidP="00B275B5">
      <w:pPr>
        <w:pStyle w:val="OPENmanualpara"/>
        <w:numPr>
          <w:ilvl w:val="1"/>
          <w:numId w:val="5"/>
        </w:numPr>
      </w:pPr>
      <w:r w:rsidRPr="0014084D">
        <w:lastRenderedPageBreak/>
        <w:t>the person is acting on behalf of or at the direction of a person who has been</w:t>
      </w:r>
      <w:r w:rsidR="00BF324C" w:rsidRPr="0014084D">
        <w:t xml:space="preserve"> involved in terrorist activity</w:t>
      </w:r>
      <w:r w:rsidR="001663C3">
        <w:t>,</w:t>
      </w:r>
    </w:p>
    <w:p w14:paraId="662FD71B" w14:textId="77777777" w:rsidR="005474F7" w:rsidRPr="0014084D" w:rsidRDefault="005474F7" w:rsidP="003966DA">
      <w:pPr>
        <w:pStyle w:val="OPENmanualpara"/>
        <w:numPr>
          <w:ilvl w:val="0"/>
          <w:numId w:val="0"/>
        </w:numPr>
        <w:ind w:left="567"/>
      </w:pPr>
      <w:r w:rsidRPr="0014084D">
        <w:t xml:space="preserve">and the Treasury considers that it is necessary for purposes connected with protecting members of the public from terrorism that financial restrictions should be applied in relation to that person. </w:t>
      </w:r>
    </w:p>
    <w:p w14:paraId="545C2536" w14:textId="00B9AD83" w:rsidR="005474F7" w:rsidRPr="0014084D" w:rsidRDefault="005474F7" w:rsidP="003966DA">
      <w:pPr>
        <w:pStyle w:val="OPENmanualpara"/>
      </w:pPr>
      <w:r w:rsidRPr="0014084D">
        <w:t>The designation initially lasts for one year unless renewed under s</w:t>
      </w:r>
      <w:r w:rsidR="00CC15A2" w:rsidRPr="0014084D">
        <w:t xml:space="preserve">ection </w:t>
      </w:r>
      <w:r w:rsidRPr="0014084D">
        <w:t xml:space="preserve">4 of the 2010 Act.  </w:t>
      </w:r>
      <w:r w:rsidR="00C7640F">
        <w:t>U</w:t>
      </w:r>
      <w:r w:rsidR="00C7640F" w:rsidRPr="0014084D">
        <w:t>nder section</w:t>
      </w:r>
      <w:r w:rsidR="00C7640F">
        <w:t xml:space="preserve"> </w:t>
      </w:r>
      <w:r w:rsidR="00C7640F" w:rsidRPr="0014084D">
        <w:t xml:space="preserve">26 of the 2010 Act </w:t>
      </w:r>
      <w:r w:rsidR="00C7640F">
        <w:t>a</w:t>
      </w:r>
      <w:r w:rsidR="001663C3">
        <w:t xml:space="preserve"> person</w:t>
      </w:r>
      <w:r w:rsidRPr="0014084D">
        <w:t xml:space="preserve"> may appeal against the designation.</w:t>
      </w:r>
    </w:p>
    <w:p w14:paraId="6E0C72DD" w14:textId="1953C8C0" w:rsidR="005474F7" w:rsidRPr="0014084D" w:rsidRDefault="005474F7" w:rsidP="003966DA">
      <w:pPr>
        <w:pStyle w:val="OPENmanualpara"/>
      </w:pPr>
      <w:r w:rsidRPr="0014084D">
        <w:t xml:space="preserve">In </w:t>
      </w:r>
      <w:r w:rsidRPr="0014084D">
        <w:rPr>
          <w:i/>
        </w:rPr>
        <w:t>C v HMT [2016] EWHC 2039 (</w:t>
      </w:r>
      <w:r w:rsidR="001119F7">
        <w:rPr>
          <w:i/>
        </w:rPr>
        <w:t>A</w:t>
      </w:r>
      <w:r w:rsidRPr="0014084D">
        <w:rPr>
          <w:i/>
        </w:rPr>
        <w:t>dmin)</w:t>
      </w:r>
      <w:r w:rsidR="006D6D62">
        <w:rPr>
          <w:rStyle w:val="FootnoteReference"/>
          <w:i/>
        </w:rPr>
        <w:footnoteReference w:id="51"/>
      </w:r>
      <w:r w:rsidRPr="0014084D">
        <w:rPr>
          <w:i/>
        </w:rPr>
        <w:t>,</w:t>
      </w:r>
      <w:r w:rsidRPr="0014084D">
        <w:t xml:space="preserve"> the </w:t>
      </w:r>
      <w:r w:rsidR="002F3F6E" w:rsidRPr="0014084D">
        <w:t>excluded party</w:t>
      </w:r>
      <w:r w:rsidRPr="0014084D">
        <w:t xml:space="preserve"> was designated under s</w:t>
      </w:r>
      <w:r w:rsidR="00CC15A2" w:rsidRPr="0014084D">
        <w:t xml:space="preserve">ection </w:t>
      </w:r>
      <w:r w:rsidRPr="0014084D">
        <w:t xml:space="preserve">2 of the 2010 Act, </w:t>
      </w:r>
      <w:r w:rsidR="006D6D62">
        <w:t>and the</w:t>
      </w:r>
      <w:r w:rsidRPr="0014084D">
        <w:t xml:space="preserve"> designation </w:t>
      </w:r>
      <w:r w:rsidR="006D6D62">
        <w:t xml:space="preserve">was then </w:t>
      </w:r>
      <w:r w:rsidRPr="0014084D">
        <w:t xml:space="preserve">renewed.  </w:t>
      </w:r>
      <w:r w:rsidR="004F6212">
        <w:t>Th</w:t>
      </w:r>
      <w:r w:rsidRPr="0014084D">
        <w:t xml:space="preserve">e </w:t>
      </w:r>
      <w:r w:rsidR="00C7640F">
        <w:t>E</w:t>
      </w:r>
      <w:r w:rsidR="004F6212">
        <w:t xml:space="preserve">xcluded </w:t>
      </w:r>
      <w:r w:rsidR="00C7640F">
        <w:t>P</w:t>
      </w:r>
      <w:r w:rsidR="004F6212">
        <w:t xml:space="preserve">arty </w:t>
      </w:r>
      <w:r w:rsidRPr="0014084D">
        <w:t>appealed against both decisions.  The Treasury made an application under s</w:t>
      </w:r>
      <w:r w:rsidR="00CC15A2" w:rsidRPr="0014084D">
        <w:t xml:space="preserve">ection </w:t>
      </w:r>
      <w:r w:rsidRPr="0014084D">
        <w:t xml:space="preserve">6 of the JSA </w:t>
      </w:r>
      <w:r w:rsidR="00CC15A2" w:rsidRPr="0014084D">
        <w:t xml:space="preserve">2013 </w:t>
      </w:r>
      <w:r w:rsidRPr="0014084D">
        <w:t xml:space="preserve">to rely on </w:t>
      </w:r>
      <w:r w:rsidR="00585DB3" w:rsidRPr="0014084D">
        <w:t>CLOSED</w:t>
      </w:r>
      <w:r w:rsidRPr="0014084D">
        <w:t xml:space="preserve"> material.  A Special Advocate was appointed to represent the </w:t>
      </w:r>
      <w:r w:rsidR="002F3F6E" w:rsidRPr="0014084D">
        <w:t xml:space="preserve">excluded party’s </w:t>
      </w:r>
      <w:r w:rsidRPr="0014084D">
        <w:t>interests.</w:t>
      </w:r>
    </w:p>
    <w:p w14:paraId="6E9F77DA" w14:textId="7D283D67" w:rsidR="005474F7" w:rsidRPr="0014084D" w:rsidRDefault="005474F7" w:rsidP="003966DA">
      <w:pPr>
        <w:pStyle w:val="OPENmanualpara"/>
      </w:pPr>
      <w:r w:rsidRPr="0014084D">
        <w:t xml:space="preserve">The </w:t>
      </w:r>
      <w:r w:rsidR="004F6212">
        <w:t>c</w:t>
      </w:r>
      <w:r w:rsidRPr="0014084D">
        <w:t xml:space="preserve">ourt found that different chapters of the evidence, in combination, had given the Treasury a firm foundation for a reasonable belief that the </w:t>
      </w:r>
      <w:r w:rsidR="00C7640F">
        <w:t>E</w:t>
      </w:r>
      <w:r w:rsidR="002F3F6E" w:rsidRPr="0014084D">
        <w:t xml:space="preserve">xcluded </w:t>
      </w:r>
      <w:r w:rsidR="00C7640F">
        <w:t>P</w:t>
      </w:r>
      <w:r w:rsidR="002F3F6E" w:rsidRPr="0014084D">
        <w:t xml:space="preserve">arty </w:t>
      </w:r>
      <w:r w:rsidR="00C7640F">
        <w:t xml:space="preserve">was </w:t>
      </w:r>
      <w:r w:rsidRPr="0014084D">
        <w:t>involve</w:t>
      </w:r>
      <w:r w:rsidR="00C7640F">
        <w:t>d</w:t>
      </w:r>
      <w:r w:rsidRPr="0014084D">
        <w:t xml:space="preserve"> in terrorist activity in the broad and preventive way defined in sect</w:t>
      </w:r>
      <w:r w:rsidR="00AE5E04" w:rsidRPr="0014084D">
        <w:t>ion 2(2) of the 2010 Act.  The c</w:t>
      </w:r>
      <w:r w:rsidRPr="0014084D">
        <w:t>ourt considered whether or not the second condition (whether</w:t>
      </w:r>
      <w:r w:rsidR="002F3F6E" w:rsidRPr="0014084D">
        <w:t xml:space="preserve"> financial restrictions necessary for </w:t>
      </w:r>
      <w:r w:rsidRPr="0014084D">
        <w:t xml:space="preserve">protecting </w:t>
      </w:r>
      <w:r w:rsidR="002F3F6E" w:rsidRPr="0014084D">
        <w:t>t</w:t>
      </w:r>
      <w:r w:rsidRPr="0014084D">
        <w:t>he public from</w:t>
      </w:r>
      <w:r w:rsidR="00AE5E04" w:rsidRPr="0014084D">
        <w:t xml:space="preserve"> terrorism) had been met.  The c</w:t>
      </w:r>
      <w:r w:rsidRPr="0014084D">
        <w:t>ourt found that there was just enough evidence in February 2015 for the Treasury to have concluded that this threshold was met.  It held that Article 8 and A</w:t>
      </w:r>
      <w:r w:rsidR="00CC15A2" w:rsidRPr="0014084D">
        <w:t xml:space="preserve">rticle </w:t>
      </w:r>
      <w:r w:rsidRPr="0014084D">
        <w:t>1</w:t>
      </w:r>
      <w:r w:rsidR="00250FE5">
        <w:t xml:space="preserve"> </w:t>
      </w:r>
      <w:r w:rsidRPr="0014084D">
        <w:t>P</w:t>
      </w:r>
      <w:r w:rsidR="00CC15A2" w:rsidRPr="0014084D">
        <w:t xml:space="preserve">rotocol </w:t>
      </w:r>
      <w:r w:rsidRPr="0014084D">
        <w:t>1 rights under the ECHR are qualified rights and the public interest in curbing</w:t>
      </w:r>
      <w:r w:rsidR="00D040A2">
        <w:t xml:space="preserve"> the</w:t>
      </w:r>
      <w:r w:rsidRPr="0014084D">
        <w:t xml:space="preserve"> </w:t>
      </w:r>
      <w:r w:rsidR="00D040A2">
        <w:t>radicalisation of potential terrorists</w:t>
      </w:r>
      <w:r w:rsidRPr="0014084D">
        <w:t xml:space="preserve"> was a more than counterbalancing factor.</w:t>
      </w:r>
    </w:p>
    <w:p w14:paraId="76C5D1DD" w14:textId="1B544FDA" w:rsidR="005474F7" w:rsidRPr="0014084D" w:rsidRDefault="00AE5E04" w:rsidP="003966DA">
      <w:pPr>
        <w:pStyle w:val="OPENmanualpara"/>
      </w:pPr>
      <w:r w:rsidRPr="0014084D">
        <w:t>The c</w:t>
      </w:r>
      <w:r w:rsidR="005474F7" w:rsidRPr="0014084D">
        <w:t xml:space="preserve">ourt found, however, that by </w:t>
      </w:r>
      <w:r w:rsidR="004F6212">
        <w:t>the time of the renewed designation</w:t>
      </w:r>
      <w:r w:rsidR="00C7640F">
        <w:t xml:space="preserve"> </w:t>
      </w:r>
      <w:r w:rsidR="005474F7" w:rsidRPr="0014084D">
        <w:t xml:space="preserve">there was no longer a basis to consider that the continued designation was necessary and allowed the appeal against the renewed designation. </w:t>
      </w:r>
    </w:p>
    <w:p w14:paraId="1E110C3D" w14:textId="77777777" w:rsidR="00B4382A" w:rsidRDefault="00B4382A" w:rsidP="003966DA">
      <w:pPr>
        <w:pStyle w:val="Heading1"/>
        <w:sectPr w:rsidR="00B4382A" w:rsidSect="009F09E8">
          <w:headerReference w:type="even" r:id="rId42"/>
          <w:headerReference w:type="default" r:id="rId43"/>
          <w:headerReference w:type="first" r:id="rId44"/>
          <w:pgSz w:w="11906" w:h="16838" w:code="9"/>
          <w:pgMar w:top="1440" w:right="1440" w:bottom="851" w:left="1440" w:header="709" w:footer="170" w:gutter="0"/>
          <w:cols w:space="708"/>
          <w:docGrid w:linePitch="360"/>
        </w:sectPr>
      </w:pPr>
    </w:p>
    <w:p w14:paraId="0F0F4ADE" w14:textId="77777777" w:rsidR="005474F7" w:rsidRPr="0014084D" w:rsidRDefault="005474F7" w:rsidP="003966DA">
      <w:pPr>
        <w:pStyle w:val="Heading1"/>
      </w:pPr>
      <w:bookmarkStart w:id="105" w:name="_Toc499805131"/>
      <w:bookmarkStart w:id="106" w:name="_Toc3904916"/>
      <w:r w:rsidRPr="0014084D">
        <w:lastRenderedPageBreak/>
        <w:t>Part V</w:t>
      </w:r>
      <w:r w:rsidR="00BE70C5">
        <w:t>II</w:t>
      </w:r>
      <w:r w:rsidRPr="0014084D">
        <w:t xml:space="preserve"> –</w:t>
      </w:r>
      <w:r w:rsidR="00AE5E04" w:rsidRPr="0014084D">
        <w:t xml:space="preserve"> </w:t>
      </w:r>
      <w:bookmarkStart w:id="107" w:name="Part7"/>
      <w:r w:rsidRPr="0014084D">
        <w:t>Proceedings before SIAC</w:t>
      </w:r>
      <w:bookmarkEnd w:id="105"/>
      <w:bookmarkEnd w:id="106"/>
      <w:bookmarkEnd w:id="107"/>
    </w:p>
    <w:p w14:paraId="58B7DDCB" w14:textId="77777777" w:rsidR="005474F7" w:rsidRPr="0014084D" w:rsidRDefault="005474F7" w:rsidP="003966DA">
      <w:pPr>
        <w:pStyle w:val="Heading2"/>
      </w:pPr>
      <w:bookmarkStart w:id="108" w:name="_Toc499805132"/>
      <w:bookmarkStart w:id="109" w:name="_Toc3904917"/>
      <w:r w:rsidRPr="0014084D">
        <w:t>Immigration and asylum cases</w:t>
      </w:r>
      <w:bookmarkEnd w:id="108"/>
      <w:bookmarkEnd w:id="109"/>
    </w:p>
    <w:p w14:paraId="20C4A8F6" w14:textId="77777777" w:rsidR="005474F7" w:rsidRPr="0014084D" w:rsidRDefault="005474F7" w:rsidP="003966DA">
      <w:pPr>
        <w:pStyle w:val="OPENmanualpara"/>
      </w:pPr>
      <w:r w:rsidRPr="0014084D">
        <w:t>Section 2(1) of the 1997 Act gives SIAC jurisdiction to hear those immigration and asylum appeals in which the Secretary of State has certified, under s</w:t>
      </w:r>
      <w:r w:rsidR="000240C2">
        <w:t xml:space="preserve">ection </w:t>
      </w:r>
      <w:r w:rsidRPr="0014084D">
        <w:t xml:space="preserve">97 of the </w:t>
      </w:r>
      <w:proofErr w:type="gramStart"/>
      <w:r w:rsidRPr="0014084D">
        <w:t xml:space="preserve">Nationality, </w:t>
      </w:r>
      <w:r w:rsidR="00AE5E04" w:rsidRPr="0014084D">
        <w:t xml:space="preserve"> </w:t>
      </w:r>
      <w:r w:rsidRPr="0014084D">
        <w:t>Immigration</w:t>
      </w:r>
      <w:proofErr w:type="gramEnd"/>
      <w:r w:rsidRPr="0014084D">
        <w:t xml:space="preserve"> and Asylum Act 2002, that </w:t>
      </w:r>
      <w:r w:rsidR="00CC15A2" w:rsidRPr="0014084D">
        <w:t xml:space="preserve">a </w:t>
      </w:r>
      <w:r w:rsidRPr="0014084D">
        <w:t>decision has been taken “</w:t>
      </w:r>
      <w:r w:rsidRPr="0014084D">
        <w:rPr>
          <w:i/>
        </w:rPr>
        <w:t>in the interests of national security or in the interests of the relationship between the UK or another country</w:t>
      </w:r>
      <w:r w:rsidRPr="0014084D">
        <w:t>”, or wholly or partly in reliance on information which should not be made public:</w:t>
      </w:r>
    </w:p>
    <w:p w14:paraId="3392B4A4" w14:textId="77777777" w:rsidR="005474F7" w:rsidRPr="0014084D" w:rsidRDefault="005474F7" w:rsidP="00B275B5">
      <w:pPr>
        <w:pStyle w:val="OPENmanualpara"/>
        <w:numPr>
          <w:ilvl w:val="1"/>
          <w:numId w:val="5"/>
        </w:numPr>
      </w:pPr>
      <w:r w:rsidRPr="0014084D">
        <w:t xml:space="preserve">in the interests of national </w:t>
      </w:r>
      <w:proofErr w:type="gramStart"/>
      <w:r w:rsidRPr="0014084D">
        <w:t>security;</w:t>
      </w:r>
      <w:proofErr w:type="gramEnd"/>
    </w:p>
    <w:p w14:paraId="1E28D82A" w14:textId="77777777" w:rsidR="005474F7" w:rsidRPr="0014084D" w:rsidRDefault="005474F7" w:rsidP="00B275B5">
      <w:pPr>
        <w:pStyle w:val="OPENmanualpara"/>
        <w:numPr>
          <w:ilvl w:val="1"/>
          <w:numId w:val="5"/>
        </w:numPr>
      </w:pPr>
      <w:r w:rsidRPr="0014084D">
        <w:t>in the interests of the relationship between the United Kingdom and another country; or</w:t>
      </w:r>
    </w:p>
    <w:p w14:paraId="1FF97BE8" w14:textId="77777777" w:rsidR="005474F7" w:rsidRPr="0014084D" w:rsidRDefault="005474F7" w:rsidP="00B275B5">
      <w:pPr>
        <w:pStyle w:val="OPENmanualpara"/>
        <w:numPr>
          <w:ilvl w:val="1"/>
          <w:numId w:val="5"/>
        </w:numPr>
      </w:pPr>
      <w:r w:rsidRPr="0014084D">
        <w:t>otherwise in the public interest.</w:t>
      </w:r>
      <w:r w:rsidRPr="0014084D">
        <w:rPr>
          <w:rStyle w:val="FootnoteReference"/>
          <w:smallCaps/>
        </w:rPr>
        <w:footnoteReference w:id="52"/>
      </w:r>
    </w:p>
    <w:p w14:paraId="4113330C" w14:textId="77777777" w:rsidR="005474F7" w:rsidRPr="0014084D" w:rsidRDefault="005474F7" w:rsidP="003966DA">
      <w:pPr>
        <w:pStyle w:val="OPENmanualpara"/>
      </w:pPr>
      <w:r w:rsidRPr="0014084D">
        <w:t xml:space="preserve">Once an immigration or asylum decision is so certified the normal immigration appeals system no longer applies. </w:t>
      </w:r>
      <w:proofErr w:type="gramStart"/>
      <w:r w:rsidRPr="0014084D">
        <w:t>Instead</w:t>
      </w:r>
      <w:proofErr w:type="gramEnd"/>
      <w:r w:rsidRPr="0014084D">
        <w:t xml:space="preserve"> </w:t>
      </w:r>
      <w:r w:rsidR="000A3370" w:rsidRPr="0014084D">
        <w:t xml:space="preserve">an </w:t>
      </w:r>
      <w:r w:rsidRPr="0014084D">
        <w:t>appeal lies only to SIAC and from there on a point of law to the Court of Appeal (and beyond).</w:t>
      </w:r>
      <w:r w:rsidRPr="0014084D">
        <w:rPr>
          <w:rStyle w:val="FootnoteReference"/>
          <w:smallCaps/>
        </w:rPr>
        <w:footnoteReference w:id="53"/>
      </w:r>
    </w:p>
    <w:p w14:paraId="189A1CF1" w14:textId="7DD167BD" w:rsidR="005474F7" w:rsidRPr="0014084D" w:rsidRDefault="005474F7" w:rsidP="003966DA">
      <w:pPr>
        <w:pStyle w:val="Heading2"/>
      </w:pPr>
      <w:bookmarkStart w:id="110" w:name="_Toc499805133"/>
      <w:bookmarkStart w:id="111" w:name="_Toc3904918"/>
      <w:r w:rsidRPr="0014084D">
        <w:t xml:space="preserve">Exclusion / </w:t>
      </w:r>
      <w:r w:rsidR="00412584">
        <w:t>d</w:t>
      </w:r>
      <w:r w:rsidRPr="0014084D">
        <w:t>eportation</w:t>
      </w:r>
      <w:bookmarkEnd w:id="110"/>
      <w:bookmarkEnd w:id="111"/>
    </w:p>
    <w:p w14:paraId="6B550B43" w14:textId="77777777" w:rsidR="005474F7" w:rsidRPr="0014084D" w:rsidRDefault="005474F7" w:rsidP="003966DA">
      <w:pPr>
        <w:pStyle w:val="OPENmanualpara"/>
      </w:pPr>
      <w:r w:rsidRPr="0014084D">
        <w:t xml:space="preserve">Immigration and asylum </w:t>
      </w:r>
      <w:proofErr w:type="gramStart"/>
      <w:r w:rsidRPr="0014084D">
        <w:t>claims</w:t>
      </w:r>
      <w:proofErr w:type="gramEnd"/>
      <w:r w:rsidRPr="0014084D">
        <w:t xml:space="preserve"> often take the form of exclusion cases (where the Appellant is outside the UK</w:t>
      </w:r>
      <w:r w:rsidR="000A3370" w:rsidRPr="0014084D">
        <w:t>,</w:t>
      </w:r>
      <w:r w:rsidRPr="0014084D">
        <w:t xml:space="preserve"> having been excluded from the country) and deportation cases (where the Appellant is within the UK and the SSHD proposes to deport him). </w:t>
      </w:r>
      <w:r w:rsidR="000A3370" w:rsidRPr="0014084D">
        <w:rPr>
          <w:i/>
        </w:rPr>
        <w:t>ZZ</w:t>
      </w:r>
      <w:r w:rsidR="000A3370" w:rsidRPr="0014084D">
        <w:t xml:space="preserve"> is one of the most </w:t>
      </w:r>
      <w:r w:rsidR="00BC3320" w:rsidRPr="0014084D">
        <w:t xml:space="preserve">significant and </w:t>
      </w:r>
      <w:r w:rsidR="000A3370" w:rsidRPr="0014084D">
        <w:t>widely known</w:t>
      </w:r>
      <w:r w:rsidRPr="0014084D">
        <w:t xml:space="preserve"> </w:t>
      </w:r>
      <w:r w:rsidR="00BC3320" w:rsidRPr="0014084D">
        <w:t>of these</w:t>
      </w:r>
      <w:r w:rsidR="000A3370" w:rsidRPr="0014084D">
        <w:t xml:space="preserve"> </w:t>
      </w:r>
      <w:proofErr w:type="gramStart"/>
      <w:r w:rsidR="000A3370" w:rsidRPr="0014084D">
        <w:t>cases, and</w:t>
      </w:r>
      <w:proofErr w:type="gramEnd"/>
      <w:r w:rsidR="000A3370" w:rsidRPr="0014084D">
        <w:t xml:space="preserve"> </w:t>
      </w:r>
      <w:r w:rsidR="00BC3320" w:rsidRPr="0014084D">
        <w:t xml:space="preserve">is examined in detail in </w:t>
      </w:r>
      <w:r w:rsidR="005A094B">
        <w:t>Part V of this manual.</w:t>
      </w:r>
      <w:r w:rsidRPr="0014084D">
        <w:t xml:space="preserve"> </w:t>
      </w:r>
    </w:p>
    <w:p w14:paraId="389DEEA5" w14:textId="77777777" w:rsidR="005474F7" w:rsidRPr="0014084D" w:rsidRDefault="005474F7" w:rsidP="003966DA">
      <w:pPr>
        <w:pStyle w:val="Heading2"/>
      </w:pPr>
      <w:bookmarkStart w:id="112" w:name="_Toc499805134"/>
      <w:bookmarkStart w:id="113" w:name="_Toc3904919"/>
      <w:r w:rsidRPr="0014084D">
        <w:t>Bail</w:t>
      </w:r>
      <w:bookmarkEnd w:id="112"/>
      <w:bookmarkEnd w:id="113"/>
    </w:p>
    <w:p w14:paraId="1DD8F999" w14:textId="77777777" w:rsidR="005474F7" w:rsidRPr="0014084D" w:rsidRDefault="005474F7" w:rsidP="003966DA">
      <w:pPr>
        <w:pStyle w:val="OPENmanualpara"/>
      </w:pPr>
      <w:r w:rsidRPr="0014084D">
        <w:t>An Appellant may be detained pending deportation, on the grounds of national security. When an appellant is so detained SIAC has jurisdiction to grant bail.</w:t>
      </w:r>
      <w:r w:rsidRPr="00F81443">
        <w:rPr>
          <w:rStyle w:val="FootnoteReference"/>
          <w:smallCaps/>
        </w:rPr>
        <w:footnoteReference w:id="54"/>
      </w:r>
      <w:r w:rsidRPr="0014084D">
        <w:t xml:space="preserve"> </w:t>
      </w:r>
    </w:p>
    <w:p w14:paraId="27EC2B44" w14:textId="7BD4CFF0" w:rsidR="005474F7" w:rsidRPr="0014084D" w:rsidRDefault="005474F7" w:rsidP="003966DA">
      <w:pPr>
        <w:pStyle w:val="OPENmanualpara"/>
      </w:pPr>
      <w:r w:rsidRPr="0014084D">
        <w:lastRenderedPageBreak/>
        <w:t xml:space="preserve">Bail hearings are likely to address whether or not the </w:t>
      </w:r>
      <w:r w:rsidR="00117739">
        <w:t>A</w:t>
      </w:r>
      <w:r w:rsidRPr="0014084D">
        <w:t xml:space="preserve">ppellant should be released as well as the conditions upon which release on bail should take place. When bail is granted, it is usually on conditions similar to typical TPIM obligations. Very often the SSHD will rely on CLOSED material to support her position.  Representing the interests of Appellants in CLOSED in bail proceedings is an important function of </w:t>
      </w:r>
      <w:r w:rsidR="00AE5E04" w:rsidRPr="0014084D">
        <w:t>a Special Advocate</w:t>
      </w:r>
      <w:r w:rsidRPr="0014084D">
        <w:t xml:space="preserve">. </w:t>
      </w:r>
    </w:p>
    <w:p w14:paraId="2A448A86" w14:textId="77777777" w:rsidR="000633CF" w:rsidRDefault="005474F7" w:rsidP="003966DA">
      <w:pPr>
        <w:pStyle w:val="OPENmanualpara"/>
      </w:pPr>
      <w:r w:rsidRPr="0014084D">
        <w:t>Part 6 of the SIAC Procedure Rules deals with the issue of bail but does not contain an obligation to ensure that an Appellant has disclosed to him a minimum standard of information about the grounds on which the SSHD opposes the grant of bail, will consent to bail being granted on particular conditions, or has sought its revocation. As such, SIAC ha</w:t>
      </w:r>
      <w:r w:rsidR="000633CF">
        <w:t>s</w:t>
      </w:r>
      <w:r w:rsidRPr="0014084D">
        <w:t xml:space="preserve"> been prepared to make bail decisions solely in reliance on CLOSED material. </w:t>
      </w:r>
    </w:p>
    <w:p w14:paraId="228300B6" w14:textId="745F5B77" w:rsidR="005474F7" w:rsidRPr="0014084D" w:rsidRDefault="005474F7" w:rsidP="003966DA">
      <w:pPr>
        <w:pStyle w:val="OPENmanualpara"/>
      </w:pPr>
      <w:r w:rsidRPr="0014084D">
        <w:t xml:space="preserve">In </w:t>
      </w:r>
      <w:r w:rsidRPr="0014084D">
        <w:rPr>
          <w:i/>
        </w:rPr>
        <w:t xml:space="preserve">Cart, U and XC v </w:t>
      </w:r>
      <w:r w:rsidR="009D089B">
        <w:rPr>
          <w:i/>
        </w:rPr>
        <w:t xml:space="preserve">Upper Tribunal </w:t>
      </w:r>
      <w:r w:rsidR="00117739">
        <w:rPr>
          <w:i/>
        </w:rPr>
        <w:t>&amp;</w:t>
      </w:r>
      <w:r w:rsidR="009D089B">
        <w:rPr>
          <w:i/>
        </w:rPr>
        <w:t xml:space="preserve"> SIAC (</w:t>
      </w:r>
      <w:r w:rsidRPr="0014084D">
        <w:rPr>
          <w:i/>
        </w:rPr>
        <w:t xml:space="preserve">Child Maintenance and Enforcement Commission </w:t>
      </w:r>
      <w:r w:rsidR="009D089B">
        <w:rPr>
          <w:i/>
        </w:rPr>
        <w:t xml:space="preserve">intervening) </w:t>
      </w:r>
      <w:r w:rsidRPr="0014084D">
        <w:t>[2009] EWHC 3052</w:t>
      </w:r>
      <w:r w:rsidR="006B7D22">
        <w:rPr>
          <w:rStyle w:val="FootnoteReference"/>
        </w:rPr>
        <w:footnoteReference w:id="55"/>
      </w:r>
      <w:r w:rsidRPr="0014084D">
        <w:t xml:space="preserve"> the Divisional Court held that making bail decisions solely in relation to CLOSED material was a breach of Article 5(4) EHRC. The </w:t>
      </w:r>
      <w:r w:rsidR="00117739">
        <w:t>c</w:t>
      </w:r>
      <w:r w:rsidRPr="0014084D">
        <w:t xml:space="preserve">ourt held that the same minimum standard of procedural fairness applies in the case of SIAC bail proceedings as applies in the case of </w:t>
      </w:r>
      <w:r w:rsidR="00663AE4">
        <w:t>C</w:t>
      </w:r>
      <w:r w:rsidRPr="0014084D">
        <w:t xml:space="preserve">ontrol </w:t>
      </w:r>
      <w:r w:rsidR="00663AE4">
        <w:t>O</w:t>
      </w:r>
      <w:r w:rsidRPr="0014084D">
        <w:t xml:space="preserve">rders (now TPIMs), as set down by the House of Lords in </w:t>
      </w:r>
      <w:r w:rsidRPr="0014084D">
        <w:rPr>
          <w:i/>
        </w:rPr>
        <w:t>AF (N</w:t>
      </w:r>
      <w:r w:rsidRPr="000633CF">
        <w:rPr>
          <w:i/>
          <w:vertAlign w:val="superscript"/>
        </w:rPr>
        <w:t>o</w:t>
      </w:r>
      <w:r w:rsidRPr="0014084D">
        <w:rPr>
          <w:i/>
        </w:rPr>
        <w:t xml:space="preserve"> 3)</w:t>
      </w:r>
      <w:r w:rsidR="00117739">
        <w:rPr>
          <w:i/>
        </w:rPr>
        <w:t>.</w:t>
      </w:r>
      <w:r w:rsidRPr="00F81443">
        <w:rPr>
          <w:rStyle w:val="FootnoteReference"/>
          <w:smallCaps/>
        </w:rPr>
        <w:footnoteReference w:id="56"/>
      </w:r>
    </w:p>
    <w:p w14:paraId="16BF0B47" w14:textId="7E18460A" w:rsidR="005474F7" w:rsidRPr="0014084D" w:rsidRDefault="005474F7" w:rsidP="003966DA">
      <w:pPr>
        <w:pStyle w:val="OPENmanualpara"/>
      </w:pPr>
      <w:r w:rsidRPr="0014084D">
        <w:t xml:space="preserve">A decision of SIAC to refuse or revoke bail is not an appealable decision under the 1997 Act. </w:t>
      </w:r>
      <w:r w:rsidR="00BC3320" w:rsidRPr="0014084D">
        <w:t xml:space="preserve">However, </w:t>
      </w:r>
      <w:r w:rsidRPr="0014084D">
        <w:t xml:space="preserve">in </w:t>
      </w:r>
      <w:r w:rsidRPr="0014084D">
        <w:rPr>
          <w:i/>
        </w:rPr>
        <w:t>Cart</w:t>
      </w:r>
      <w:r w:rsidRPr="0014084D">
        <w:t xml:space="preserve">, </w:t>
      </w:r>
      <w:r w:rsidR="00BC3320" w:rsidRPr="0014084D">
        <w:t xml:space="preserve">the Court </w:t>
      </w:r>
      <w:r w:rsidRPr="0014084D">
        <w:t xml:space="preserve">held that SIAC is amenable to </w:t>
      </w:r>
      <w:r w:rsidR="00D93626">
        <w:t>J</w:t>
      </w:r>
      <w:r w:rsidRPr="0014084D">
        <w:t xml:space="preserve">udicial </w:t>
      </w:r>
      <w:r w:rsidR="00D93626">
        <w:t>R</w:t>
      </w:r>
      <w:r w:rsidRPr="0014084D">
        <w:t xml:space="preserve">eview for any excess of jurisdiction both in terms of transgressing beyond the boundaries of its permitted </w:t>
      </w:r>
      <w:r w:rsidR="00612BFE" w:rsidRPr="0014084D">
        <w:t>subject matter</w:t>
      </w:r>
      <w:r w:rsidRPr="0014084D">
        <w:t xml:space="preserve"> and in terms </w:t>
      </w:r>
      <w:r w:rsidR="00BC3320" w:rsidRPr="0014084D">
        <w:t>of making an error of law</w:t>
      </w:r>
      <w:r w:rsidRPr="0014084D">
        <w:t>.</w:t>
      </w:r>
      <w:r w:rsidRPr="00F81443">
        <w:rPr>
          <w:rStyle w:val="FootnoteReference"/>
          <w:smallCaps/>
        </w:rPr>
        <w:footnoteReference w:id="57"/>
      </w:r>
      <w:r w:rsidRPr="0014084D">
        <w:t xml:space="preserve"> </w:t>
      </w:r>
    </w:p>
    <w:p w14:paraId="3A206F5F" w14:textId="77777777" w:rsidR="005474F7" w:rsidRPr="0014084D" w:rsidRDefault="003966DA" w:rsidP="003966DA">
      <w:pPr>
        <w:pStyle w:val="Heading2"/>
      </w:pPr>
      <w:bookmarkStart w:id="114" w:name="_Toc499805135"/>
      <w:bookmarkStart w:id="115" w:name="_Toc3904920"/>
      <w:r>
        <w:t>D</w:t>
      </w:r>
      <w:r w:rsidR="005474F7" w:rsidRPr="0014084D">
        <w:t>eprivation of citizenship</w:t>
      </w:r>
      <w:bookmarkEnd w:id="114"/>
      <w:bookmarkEnd w:id="115"/>
    </w:p>
    <w:p w14:paraId="095D5B6B" w14:textId="77777777" w:rsidR="005474F7" w:rsidRPr="0014084D" w:rsidRDefault="005474F7" w:rsidP="003966DA">
      <w:pPr>
        <w:pStyle w:val="OPENmanualpara"/>
      </w:pPr>
      <w:r w:rsidRPr="0014084D">
        <w:t xml:space="preserve">Section 40(2) of the British Nationality Act 1981 provides that a person may, by order, be deprived of their citizenship status if the Secretary of State is satisfied that to do so would be conducive to the public good. </w:t>
      </w:r>
    </w:p>
    <w:p w14:paraId="5D88CB6C" w14:textId="77777777" w:rsidR="005474F7" w:rsidRPr="0087586D" w:rsidRDefault="005474F7" w:rsidP="003966DA">
      <w:pPr>
        <w:pStyle w:val="OPENmanualpara"/>
      </w:pPr>
      <w:r w:rsidRPr="0014084D">
        <w:lastRenderedPageBreak/>
        <w:t xml:space="preserve">Section 40(A)(1) removes an Appellant’s right of appeal to the First-tier Tribunal if the SSHD certifies that the </w:t>
      </w:r>
      <w:r w:rsidR="0087586D">
        <w:t>decision to make the order was:</w:t>
      </w:r>
    </w:p>
    <w:p w14:paraId="63F0C6DF" w14:textId="77777777" w:rsidR="005474F7" w:rsidRPr="0014084D" w:rsidRDefault="005474F7" w:rsidP="009267E1">
      <w:pPr>
        <w:pStyle w:val="Quote"/>
      </w:pPr>
      <w:r w:rsidRPr="0014084D">
        <w:t>“…taken wholly or partly in reliance on information which in his opinion should not be made public –</w:t>
      </w:r>
    </w:p>
    <w:p w14:paraId="270A54A5" w14:textId="77777777" w:rsidR="005474F7" w:rsidRPr="0014084D" w:rsidRDefault="005474F7" w:rsidP="00C7640F">
      <w:pPr>
        <w:pStyle w:val="BodyText"/>
        <w:spacing w:line="360" w:lineRule="auto"/>
        <w:ind w:left="1134"/>
        <w:jc w:val="both"/>
        <w:rPr>
          <w:rFonts w:cs="Arial"/>
          <w:b w:val="0"/>
          <w:bCs w:val="0"/>
          <w:i/>
          <w:sz w:val="24"/>
        </w:rPr>
      </w:pPr>
    </w:p>
    <w:p w14:paraId="525E0C8A" w14:textId="77777777" w:rsidR="005474F7" w:rsidRPr="0014084D" w:rsidRDefault="00BC3320" w:rsidP="009267E1">
      <w:pPr>
        <w:pStyle w:val="Quote"/>
        <w:numPr>
          <w:ilvl w:val="1"/>
          <w:numId w:val="5"/>
        </w:numPr>
      </w:pPr>
      <w:r w:rsidRPr="0014084D">
        <w:t>in the interests of national security,</w:t>
      </w:r>
    </w:p>
    <w:p w14:paraId="7D13F8B9" w14:textId="77777777" w:rsidR="005474F7" w:rsidRPr="0014084D" w:rsidRDefault="005474F7" w:rsidP="00DA6166">
      <w:pPr>
        <w:pStyle w:val="Quote"/>
      </w:pPr>
    </w:p>
    <w:p w14:paraId="0239D54F" w14:textId="77777777" w:rsidR="005474F7" w:rsidRPr="0014084D" w:rsidRDefault="00BC3320" w:rsidP="00DA6166">
      <w:pPr>
        <w:pStyle w:val="Quote"/>
        <w:numPr>
          <w:ilvl w:val="1"/>
          <w:numId w:val="5"/>
        </w:numPr>
      </w:pPr>
      <w:r w:rsidRPr="0014084D">
        <w:t xml:space="preserve">in the interests of the relationship between the </w:t>
      </w:r>
      <w:r w:rsidR="00250FE5">
        <w:t>U</w:t>
      </w:r>
      <w:r w:rsidR="00250FE5" w:rsidRPr="0014084D">
        <w:t xml:space="preserve">nited </w:t>
      </w:r>
      <w:r w:rsidR="00250FE5">
        <w:t>K</w:t>
      </w:r>
      <w:r w:rsidR="00250FE5" w:rsidRPr="0014084D">
        <w:t xml:space="preserve">ingdom </w:t>
      </w:r>
      <w:r w:rsidRPr="0014084D">
        <w:t>and another country, or</w:t>
      </w:r>
    </w:p>
    <w:p w14:paraId="7FB8F42A" w14:textId="77777777" w:rsidR="005474F7" w:rsidRPr="0014084D" w:rsidRDefault="005474F7" w:rsidP="00DA6166">
      <w:pPr>
        <w:pStyle w:val="Quote"/>
      </w:pPr>
    </w:p>
    <w:p w14:paraId="757BDF80" w14:textId="77777777" w:rsidR="005474F7" w:rsidRPr="00B275B5" w:rsidRDefault="00BC3320" w:rsidP="00DA6166">
      <w:pPr>
        <w:pStyle w:val="Quote"/>
        <w:numPr>
          <w:ilvl w:val="1"/>
          <w:numId w:val="5"/>
        </w:numPr>
      </w:pPr>
      <w:r w:rsidRPr="0014084D">
        <w:t>otherwise in the public interest.”</w:t>
      </w:r>
    </w:p>
    <w:p w14:paraId="2C3A262A" w14:textId="3B6DF365" w:rsidR="005474F7" w:rsidRPr="0014084D" w:rsidRDefault="005474F7" w:rsidP="003966DA">
      <w:pPr>
        <w:pStyle w:val="OPENmanualpara"/>
      </w:pPr>
      <w:r w:rsidRPr="0014084D">
        <w:t>Where the decision is so certified</w:t>
      </w:r>
      <w:r w:rsidR="00D93626">
        <w:t>,</w:t>
      </w:r>
      <w:r w:rsidRPr="0014084D">
        <w:t xml:space="preserve"> section 2B of the 1997 Act provides an Appellant with a right of appeal to SIAC:</w:t>
      </w:r>
    </w:p>
    <w:p w14:paraId="4DD6EC0E" w14:textId="47393C78" w:rsidR="005474F7" w:rsidRPr="00B275B5" w:rsidRDefault="005474F7" w:rsidP="00C7640F">
      <w:pPr>
        <w:pStyle w:val="Quote"/>
      </w:pPr>
      <w:r w:rsidRPr="0014084D">
        <w:t>“A person may appeal to the Special Immigration Appeals Commission against a decision to make an order under section 40 of the British Nationality Act 1981 (c 61) (</w:t>
      </w:r>
      <w:r w:rsidRPr="00C7640F">
        <w:t>deprivation</w:t>
      </w:r>
      <w:r w:rsidRPr="0014084D">
        <w:t xml:space="preserve"> of citizenship) if he is not entitled to appeal under section 40</w:t>
      </w:r>
      <w:proofErr w:type="gramStart"/>
      <w:r w:rsidRPr="0014084D">
        <w:t>A(</w:t>
      </w:r>
      <w:proofErr w:type="gramEnd"/>
      <w:r w:rsidRPr="0014084D">
        <w:t>1) of that Act because of a certificate under section 40A(2) [(and section 40A(3)(a) shall have effect in relation to appeals under this section)]</w:t>
      </w:r>
      <w:r w:rsidR="00D93626">
        <w:t>.</w:t>
      </w:r>
      <w:r w:rsidRPr="0014084D">
        <w:t>”</w:t>
      </w:r>
    </w:p>
    <w:p w14:paraId="492AA3E9" w14:textId="77777777" w:rsidR="005474F7" w:rsidRPr="0087586D" w:rsidRDefault="005474F7" w:rsidP="003966DA">
      <w:pPr>
        <w:pStyle w:val="OPENmanualpara"/>
      </w:pPr>
      <w:r w:rsidRPr="0014084D">
        <w:t>An appeal to SIAC against a deprivation order is “</w:t>
      </w:r>
      <w:r w:rsidRPr="00071E09">
        <w:rPr>
          <w:i/>
        </w:rPr>
        <w:t>a challenge to the merits of the decision itself, not to the exercise of a discretion to make it.</w:t>
      </w:r>
      <w:r w:rsidRPr="0087586D">
        <w:t>”</w:t>
      </w:r>
      <w:r w:rsidRPr="0087586D">
        <w:rPr>
          <w:rStyle w:val="FootnoteReference"/>
          <w:bCs/>
          <w:smallCaps/>
        </w:rPr>
        <w:footnoteReference w:id="58"/>
      </w:r>
    </w:p>
    <w:p w14:paraId="03DEFEC9" w14:textId="77777777" w:rsidR="005474F7" w:rsidRPr="0014084D" w:rsidRDefault="005474F7" w:rsidP="003966DA">
      <w:pPr>
        <w:pStyle w:val="OPENmanualpara"/>
      </w:pPr>
      <w:r w:rsidRPr="0014084D">
        <w:t xml:space="preserve">Citizenship cases before SIAC follow broadly the same pattern as the immigration and asylum cases. One difference is that there may be scope to split the proceedings so as not to require a Special Advocate. SIAC may wish to consider, as a preliminary </w:t>
      </w:r>
      <w:r w:rsidR="00071E09" w:rsidRPr="00E71929">
        <w:t>OPEN</w:t>
      </w:r>
      <w:r w:rsidRPr="0014084D">
        <w:t xml:space="preserve"> issue, whether the excluded party would be rendered stateless by being deprived of </w:t>
      </w:r>
      <w:r w:rsidR="003E38AF">
        <w:t>their</w:t>
      </w:r>
      <w:r w:rsidRPr="0014084D">
        <w:t xml:space="preserve"> citizenship. </w:t>
      </w:r>
      <w:r w:rsidR="00BC3320" w:rsidRPr="0014084D">
        <w:t>If</w:t>
      </w:r>
      <w:r w:rsidRPr="0014084D">
        <w:t xml:space="preserve"> </w:t>
      </w:r>
      <w:r w:rsidR="003E38AF">
        <w:t xml:space="preserve">they </w:t>
      </w:r>
      <w:r w:rsidRPr="0014084D">
        <w:t xml:space="preserve">would, the SSHD cannot deprive </w:t>
      </w:r>
      <w:r w:rsidR="003E38AF">
        <w:t xml:space="preserve">them </w:t>
      </w:r>
      <w:r w:rsidRPr="0014084D">
        <w:t xml:space="preserve">of </w:t>
      </w:r>
      <w:r w:rsidR="003E38AF">
        <w:t xml:space="preserve">their </w:t>
      </w:r>
      <w:r w:rsidRPr="0014084D">
        <w:t>citizenship and the proceedings will come to an end without the need for a Special Advocate.</w:t>
      </w:r>
      <w:r w:rsidRPr="0087586D">
        <w:rPr>
          <w:rStyle w:val="FootnoteReference"/>
          <w:bCs/>
          <w:smallCaps/>
        </w:rPr>
        <w:footnoteReference w:id="59"/>
      </w:r>
    </w:p>
    <w:p w14:paraId="1CE11008" w14:textId="77777777" w:rsidR="005474F7" w:rsidRPr="0014084D" w:rsidRDefault="005474F7" w:rsidP="003966DA">
      <w:pPr>
        <w:pStyle w:val="Heading2"/>
      </w:pPr>
      <w:bookmarkStart w:id="116" w:name="_Toc3904921"/>
      <w:bookmarkStart w:id="117" w:name="_Toc499805136"/>
      <w:r w:rsidRPr="0014084D">
        <w:lastRenderedPageBreak/>
        <w:t>Naturalisation</w:t>
      </w:r>
      <w:bookmarkEnd w:id="116"/>
      <w:r w:rsidRPr="0014084D">
        <w:t xml:space="preserve"> </w:t>
      </w:r>
      <w:bookmarkEnd w:id="117"/>
    </w:p>
    <w:p w14:paraId="0130C06D" w14:textId="172E3163" w:rsidR="00153570" w:rsidRDefault="005474F7" w:rsidP="003966DA">
      <w:pPr>
        <w:pStyle w:val="OPENmanualpara"/>
      </w:pPr>
      <w:r w:rsidRPr="0014084D">
        <w:t>Under s</w:t>
      </w:r>
      <w:r w:rsidR="00BD1565" w:rsidRPr="0014084D">
        <w:t xml:space="preserve">ection </w:t>
      </w:r>
      <w:r w:rsidRPr="0014084D">
        <w:t xml:space="preserve">6 </w:t>
      </w:r>
      <w:r w:rsidR="00BD1565" w:rsidRPr="0014084D">
        <w:t xml:space="preserve">and </w:t>
      </w:r>
      <w:r w:rsidRPr="0014084D">
        <w:t xml:space="preserve">18 of the British Nationality Act 1981, on an application by an individual, the SSHD may issue (or refuse to issue) a certificate of naturalisation or grant (or refuse to grant) an application </w:t>
      </w:r>
      <w:r w:rsidR="00153570">
        <w:t xml:space="preserve">made </w:t>
      </w:r>
      <w:r w:rsidRPr="0014084D">
        <w:t>under s</w:t>
      </w:r>
      <w:r w:rsidR="00BD1565" w:rsidRPr="0014084D">
        <w:t xml:space="preserve">ection </w:t>
      </w:r>
      <w:r w:rsidRPr="0014084D">
        <w:t xml:space="preserve">41A.  </w:t>
      </w:r>
    </w:p>
    <w:p w14:paraId="4652CDF2" w14:textId="77777777" w:rsidR="00FE32D3" w:rsidRDefault="005474F7" w:rsidP="003966DA">
      <w:pPr>
        <w:pStyle w:val="OPENmanualpara"/>
      </w:pPr>
      <w:r w:rsidRPr="0014084D">
        <w:t>Under s</w:t>
      </w:r>
      <w:r w:rsidR="00BD1565" w:rsidRPr="0014084D">
        <w:t xml:space="preserve">ection </w:t>
      </w:r>
      <w:r w:rsidRPr="0014084D">
        <w:t xml:space="preserve">2D of the </w:t>
      </w:r>
      <w:r w:rsidR="00BD1565" w:rsidRPr="0014084D">
        <w:t xml:space="preserve">1997 </w:t>
      </w:r>
      <w:r w:rsidRPr="0014084D">
        <w:t>Act</w:t>
      </w:r>
      <w:r w:rsidR="00250FE5">
        <w:t>,</w:t>
      </w:r>
      <w:r w:rsidR="00F3313A" w:rsidRPr="0014084D">
        <w:rPr>
          <w:rStyle w:val="FootnoteReference"/>
        </w:rPr>
        <w:footnoteReference w:id="60"/>
      </w:r>
      <w:r w:rsidRPr="0014084D">
        <w:t xml:space="preserve"> SIAC may review the refusal decision where the decision was one which was made wholly or partly in reliance on information which, in the opinion of the SSHD, should not be made public in the interests of national security, in the interests of the relationship between the UK and another country or oth</w:t>
      </w:r>
      <w:r w:rsidR="00AE5E04" w:rsidRPr="0014084D">
        <w:t xml:space="preserve">erwise in the public interest. </w:t>
      </w:r>
    </w:p>
    <w:p w14:paraId="71B3872B" w14:textId="5B882190" w:rsidR="005474F7" w:rsidRDefault="00FE32D3" w:rsidP="003966DA">
      <w:pPr>
        <w:pStyle w:val="OPENmanualpara"/>
      </w:pPr>
      <w:r>
        <w:t>Section 2</w:t>
      </w:r>
      <w:proofErr w:type="gramStart"/>
      <w:r>
        <w:t>D(</w:t>
      </w:r>
      <w:proofErr w:type="gramEnd"/>
      <w:r>
        <w:t xml:space="preserve">3) specifies that </w:t>
      </w:r>
      <w:r w:rsidR="00D93626">
        <w:t>SIAC</w:t>
      </w:r>
      <w:r w:rsidR="00706182" w:rsidRPr="0014084D">
        <w:t xml:space="preserve"> must apply the principles that would be applied in judicial review proceedings</w:t>
      </w:r>
      <w:r>
        <w:t xml:space="preserve"> in determining an application for a refusal of naturalisation to be set aside</w:t>
      </w:r>
    </w:p>
    <w:p w14:paraId="0F556227" w14:textId="79142E3F" w:rsidR="00FE32D3" w:rsidRPr="0014084D" w:rsidRDefault="00FE32D3" w:rsidP="003966DA">
      <w:pPr>
        <w:pStyle w:val="OPENmanualpara"/>
      </w:pPr>
      <w:r>
        <w:t>Section 2</w:t>
      </w:r>
      <w:proofErr w:type="gramStart"/>
      <w:r>
        <w:t>D(</w:t>
      </w:r>
      <w:proofErr w:type="gramEnd"/>
      <w:r>
        <w:t xml:space="preserve">4) provides that </w:t>
      </w:r>
      <w:r w:rsidR="00D93626">
        <w:t>SIAC</w:t>
      </w:r>
      <w:r>
        <w:t xml:space="preserve"> may make any such order, or grant any such relief, as would be available in judicial review proceedings.</w:t>
      </w:r>
    </w:p>
    <w:p w14:paraId="59A32A70" w14:textId="77777777" w:rsidR="005474F7" w:rsidRDefault="005474F7" w:rsidP="003966DA">
      <w:pPr>
        <w:pStyle w:val="OPENmanualpara"/>
      </w:pPr>
      <w:r w:rsidRPr="0014084D">
        <w:t>The procedure to be followed in these types of cases is set out in Part 7 of the</w:t>
      </w:r>
      <w:r w:rsidR="00F3313A" w:rsidRPr="0014084D">
        <w:t xml:space="preserve"> SIAC Procedure </w:t>
      </w:r>
      <w:r w:rsidRPr="0014084D">
        <w:t>Rules</w:t>
      </w:r>
      <w:r w:rsidR="00BC2C4C" w:rsidRPr="0014084D">
        <w:t>.</w:t>
      </w:r>
      <w:r w:rsidR="00F3313A" w:rsidRPr="0014084D">
        <w:t xml:space="preserve"> </w:t>
      </w:r>
      <w:r w:rsidRPr="0014084D">
        <w:t xml:space="preserve">  </w:t>
      </w:r>
    </w:p>
    <w:p w14:paraId="639FF456" w14:textId="4EF1E439" w:rsidR="00CA7E8B" w:rsidRDefault="00D37D3E" w:rsidP="003966DA">
      <w:pPr>
        <w:pStyle w:val="OPENmanualpara"/>
      </w:pPr>
      <w:r>
        <w:t>In the majority of cases</w:t>
      </w:r>
      <w:r w:rsidR="00A76E5E">
        <w:t xml:space="preserve"> seen by SASO, the SSHD’s </w:t>
      </w:r>
      <w:r w:rsidR="00DE0AC5">
        <w:t xml:space="preserve">stated </w:t>
      </w:r>
      <w:r w:rsidR="00A76E5E">
        <w:t xml:space="preserve">reason </w:t>
      </w:r>
      <w:r w:rsidR="00DE0AC5">
        <w:t>for refusing</w:t>
      </w:r>
      <w:r w:rsidR="00A76E5E">
        <w:t xml:space="preserve"> naturalisation</w:t>
      </w:r>
      <w:r w:rsidR="00DE0AC5">
        <w:t xml:space="preserve"> is that the applicant fails to meet the </w:t>
      </w:r>
      <w:r w:rsidR="000067DC">
        <w:t xml:space="preserve">good character </w:t>
      </w:r>
      <w:r w:rsidR="00387C7E">
        <w:t xml:space="preserve">requirement at </w:t>
      </w:r>
      <w:r w:rsidR="001B2154">
        <w:t xml:space="preserve">Schedule 1, Paragraph </w:t>
      </w:r>
      <w:r w:rsidR="000067DC">
        <w:t xml:space="preserve">(1)(b) </w:t>
      </w:r>
      <w:r w:rsidR="00D93626" w:rsidRPr="0014084D">
        <w:t>of the British Nationality Act 1981</w:t>
      </w:r>
      <w:r w:rsidR="000067DC">
        <w:t xml:space="preserve">. </w:t>
      </w:r>
      <w:r w:rsidR="00950B0A">
        <w:t>Typically,</w:t>
      </w:r>
      <w:r w:rsidR="00CA7E8B">
        <w:t xml:space="preserve"> the</w:t>
      </w:r>
      <w:r w:rsidR="00387C7E">
        <w:t xml:space="preserve"> detailed</w:t>
      </w:r>
      <w:r w:rsidR="00CA7E8B">
        <w:t xml:space="preserve"> reasons why the SSHD has reached this conclusion are withheld on the ground that disclosure in OPEN would be contrary to the public interest. </w:t>
      </w:r>
    </w:p>
    <w:p w14:paraId="0A6D656E" w14:textId="1FAFAE71" w:rsidR="00D37D3E" w:rsidRDefault="000067DC" w:rsidP="00DC14AF">
      <w:pPr>
        <w:pStyle w:val="OPENmanualpara"/>
      </w:pPr>
      <w:r>
        <w:t>‘G</w:t>
      </w:r>
      <w:r w:rsidR="00387C7E">
        <w:t>ood character</w:t>
      </w:r>
      <w:r>
        <w:t xml:space="preserve">’ does not have statutory definition. </w:t>
      </w:r>
      <w:r w:rsidR="001B0AC2">
        <w:t>The Home Office Guidance on the good character requirement i</w:t>
      </w:r>
      <w:r w:rsidR="00CC3930">
        <w:t>s</w:t>
      </w:r>
      <w:r w:rsidR="001B0AC2">
        <w:t xml:space="preserve"> published as </w:t>
      </w:r>
      <w:r w:rsidR="00DC14AF">
        <w:t>“Nationality: good character requirement”</w:t>
      </w:r>
      <w:r w:rsidR="00DC14AF">
        <w:rPr>
          <w:rStyle w:val="FootnoteReference"/>
        </w:rPr>
        <w:footnoteReference w:id="61"/>
      </w:r>
      <w:r w:rsidR="002D0766">
        <w:t>. Knowing</w:t>
      </w:r>
      <w:r w:rsidR="001B0AC2">
        <w:t xml:space="preserve"> </w:t>
      </w:r>
      <w:r w:rsidR="002D0766">
        <w:t>a</w:t>
      </w:r>
      <w:r w:rsidR="00950B0A">
        <w:t xml:space="preserve">ssociation or involvement with individuals whose views or activities are a source of concern to the SSHD is likely to be viewed as indicative of a lack of good character. </w:t>
      </w:r>
      <w:r w:rsidR="00387C7E">
        <w:t xml:space="preserve"> </w:t>
      </w:r>
      <w:r w:rsidR="00A76E5E">
        <w:t xml:space="preserve"> </w:t>
      </w:r>
    </w:p>
    <w:p w14:paraId="21D8ECCD" w14:textId="77777777" w:rsidR="00364407" w:rsidRPr="0014084D" w:rsidRDefault="00364407" w:rsidP="003966DA">
      <w:pPr>
        <w:pStyle w:val="OPENmanualpara"/>
      </w:pPr>
      <w:r>
        <w:lastRenderedPageBreak/>
        <w:t>A consequence of section 2</w:t>
      </w:r>
      <w:proofErr w:type="gramStart"/>
      <w:r>
        <w:t>D(</w:t>
      </w:r>
      <w:proofErr w:type="gramEnd"/>
      <w:r>
        <w:t xml:space="preserve">3) &amp; (4) is that </w:t>
      </w:r>
      <w:r w:rsidR="000844D1">
        <w:t>a successful application to SIAC is likely to result in an order quashing the refusal, and referring it back to the SSHD for a fresh decision</w:t>
      </w:r>
      <w:r w:rsidR="002D0766">
        <w:t>.</w:t>
      </w:r>
      <w:r w:rsidR="000844D1">
        <w:t xml:space="preserve"> </w:t>
      </w:r>
    </w:p>
    <w:p w14:paraId="1A014506" w14:textId="77777777" w:rsidR="00B4382A" w:rsidRDefault="00B4382A" w:rsidP="003966DA">
      <w:pPr>
        <w:pStyle w:val="OPENmanualpara"/>
        <w:numPr>
          <w:ilvl w:val="0"/>
          <w:numId w:val="0"/>
        </w:numPr>
        <w:ind w:left="360"/>
        <w:sectPr w:rsidR="00B4382A" w:rsidSect="009F09E8">
          <w:headerReference w:type="even" r:id="rId45"/>
          <w:headerReference w:type="default" r:id="rId46"/>
          <w:headerReference w:type="first" r:id="rId47"/>
          <w:pgSz w:w="11906" w:h="16838" w:code="9"/>
          <w:pgMar w:top="1440" w:right="1440" w:bottom="851" w:left="1440" w:header="709" w:footer="170" w:gutter="0"/>
          <w:cols w:space="708"/>
          <w:docGrid w:linePitch="360"/>
        </w:sectPr>
      </w:pPr>
    </w:p>
    <w:p w14:paraId="3DC1B4C5" w14:textId="77777777" w:rsidR="005474F7" w:rsidRPr="0014084D" w:rsidRDefault="005474F7" w:rsidP="003966DA">
      <w:pPr>
        <w:pStyle w:val="Heading1"/>
      </w:pPr>
      <w:bookmarkStart w:id="118" w:name="_Toc499805137"/>
      <w:bookmarkStart w:id="119" w:name="_Toc3904922"/>
      <w:r w:rsidRPr="0014084D">
        <w:lastRenderedPageBreak/>
        <w:t>Part VI</w:t>
      </w:r>
      <w:r w:rsidR="00BE70C5">
        <w:t>II</w:t>
      </w:r>
      <w:r w:rsidRPr="0014084D">
        <w:t xml:space="preserve"> – </w:t>
      </w:r>
      <w:bookmarkStart w:id="120" w:name="Part8"/>
      <w:r w:rsidRPr="0014084D">
        <w:t>The use of special advocates in other jurisdictions and contexts</w:t>
      </w:r>
      <w:bookmarkEnd w:id="118"/>
      <w:bookmarkEnd w:id="119"/>
      <w:bookmarkEnd w:id="120"/>
    </w:p>
    <w:p w14:paraId="4B40CF3E" w14:textId="77777777" w:rsidR="005474F7" w:rsidRDefault="005474F7" w:rsidP="003966DA">
      <w:pPr>
        <w:pStyle w:val="Heading2"/>
      </w:pPr>
      <w:bookmarkStart w:id="121" w:name="_Toc469584750"/>
      <w:bookmarkStart w:id="122" w:name="_Toc499805138"/>
      <w:bookmarkStart w:id="123" w:name="_Toc3904923"/>
      <w:r w:rsidRPr="0014084D">
        <w:t>Proceedings in Northern Ireland</w:t>
      </w:r>
      <w:bookmarkEnd w:id="121"/>
      <w:bookmarkEnd w:id="122"/>
      <w:bookmarkEnd w:id="123"/>
    </w:p>
    <w:p w14:paraId="105B6A06" w14:textId="5A9BBE65" w:rsidR="005A094B" w:rsidRPr="00DC14AF" w:rsidRDefault="00D20DDF" w:rsidP="00DC14AF">
      <w:pPr>
        <w:pStyle w:val="Heading3"/>
      </w:pPr>
      <w:bookmarkStart w:id="124" w:name="_Toc3904924"/>
      <w:r w:rsidRPr="00DC14AF">
        <w:t xml:space="preserve">Closed Material Proceedings </w:t>
      </w:r>
      <w:r w:rsidR="005A094B" w:rsidRPr="00DC14AF">
        <w:t>in</w:t>
      </w:r>
      <w:r w:rsidR="00D637A1" w:rsidRPr="00DC14AF">
        <w:t xml:space="preserve"> Northern Irish</w:t>
      </w:r>
      <w:r w:rsidR="005A094B" w:rsidRPr="00DC14AF">
        <w:t xml:space="preserve"> civil proceedings</w:t>
      </w:r>
      <w:bookmarkEnd w:id="124"/>
    </w:p>
    <w:p w14:paraId="1DFF1C42" w14:textId="77777777" w:rsidR="005474F7" w:rsidRPr="0014084D" w:rsidRDefault="005474F7" w:rsidP="003966DA">
      <w:pPr>
        <w:pStyle w:val="OPENmanualpara"/>
      </w:pPr>
      <w:r w:rsidRPr="0014084D">
        <w:t>In Northern Ireland, the guiding procedural rule is Order 126 of the Rules of the Court of Judicature (Northern Ireland) 1980, which broadly r</w:t>
      </w:r>
      <w:r w:rsidR="00706182" w:rsidRPr="0014084D">
        <w:t>eflects the provisions of CPR 82</w:t>
      </w:r>
      <w:r w:rsidRPr="0014084D">
        <w:t xml:space="preserve">. </w:t>
      </w:r>
    </w:p>
    <w:p w14:paraId="5EEBCCAB" w14:textId="77777777" w:rsidR="005474F7" w:rsidRPr="0014084D" w:rsidRDefault="0087586D" w:rsidP="003966DA">
      <w:pPr>
        <w:pStyle w:val="OPENmanualpara"/>
      </w:pPr>
      <w:r>
        <w:t>T</w:t>
      </w:r>
      <w:r w:rsidR="005474F7" w:rsidRPr="0014084D">
        <w:t>he relevant Law Officer for proceedings in No</w:t>
      </w:r>
      <w:r w:rsidR="00706182" w:rsidRPr="0014084D">
        <w:t>rthern Ireland is the Advocate G</w:t>
      </w:r>
      <w:r w:rsidR="005474F7" w:rsidRPr="0014084D">
        <w:t>eneral for Northern Ireland. This office is</w:t>
      </w:r>
      <w:r>
        <w:t>,</w:t>
      </w:r>
      <w:r w:rsidR="005474F7" w:rsidRPr="0014084D">
        <w:t xml:space="preserve"> in fact</w:t>
      </w:r>
      <w:r>
        <w:t>,</w:t>
      </w:r>
      <w:r w:rsidR="005474F7" w:rsidRPr="0014084D">
        <w:t xml:space="preserve"> held by the Attorney General for England and Wales.</w:t>
      </w:r>
      <w:r w:rsidR="00240BA7">
        <w:t xml:space="preserve"> As mentioned above, the </w:t>
      </w:r>
      <w:r w:rsidR="00240BA7" w:rsidRPr="00A64CE5">
        <w:t>Attorney General</w:t>
      </w:r>
      <w:r w:rsidR="00240BA7">
        <w:t xml:space="preserve"> maintains </w:t>
      </w:r>
      <w:r w:rsidR="00584D09" w:rsidRPr="0014084D">
        <w:t xml:space="preserve">a separate </w:t>
      </w:r>
      <w:r w:rsidR="00240BA7">
        <w:t>p</w:t>
      </w:r>
      <w:r w:rsidR="00584D09" w:rsidRPr="0014084D">
        <w:t>anel of Special Advocates for Northern Ireland.  SASO also supports these Special Advocates in their roles.</w:t>
      </w:r>
    </w:p>
    <w:p w14:paraId="17179AE9" w14:textId="77777777" w:rsidR="005474F7" w:rsidRPr="0010598E" w:rsidRDefault="005474F7" w:rsidP="0010598E">
      <w:pPr>
        <w:pStyle w:val="Heading3"/>
      </w:pPr>
      <w:bookmarkStart w:id="125" w:name="_Toc499805139"/>
      <w:bookmarkStart w:id="126" w:name="_Toc3904925"/>
      <w:r w:rsidRPr="0010598E">
        <w:t>The Parole Commissioners for Northern Ireland</w:t>
      </w:r>
      <w:bookmarkEnd w:id="125"/>
      <w:bookmarkEnd w:id="126"/>
    </w:p>
    <w:p w14:paraId="7F9E8780" w14:textId="77777777" w:rsidR="005474F7" w:rsidRPr="0014084D" w:rsidRDefault="005474F7" w:rsidP="003966DA">
      <w:pPr>
        <w:pStyle w:val="OPENmanualpara"/>
      </w:pPr>
      <w:r w:rsidRPr="0014084D">
        <w:t>Special Advocates are routinely instructed in cases before the Parole Commissioners for Northern Ireland (“PCNI”), where the Secretary of State for Northern Ireland wishes to rely on CLOSED material to oppose the granting of parole to a prisoner.</w:t>
      </w:r>
    </w:p>
    <w:p w14:paraId="7FC135CD" w14:textId="77777777" w:rsidR="005474F7" w:rsidRDefault="005474F7" w:rsidP="003966DA">
      <w:pPr>
        <w:pStyle w:val="OPENmanualpara"/>
      </w:pPr>
      <w:r w:rsidRPr="0014084D">
        <w:t xml:space="preserve">Although proceedings before the PCNI are less formal than proceedings under the JSA </w:t>
      </w:r>
      <w:r w:rsidR="00AA51DF" w:rsidRPr="0014084D">
        <w:t xml:space="preserve">2013, </w:t>
      </w:r>
      <w:r w:rsidRPr="0014084D">
        <w:t xml:space="preserve">the Parole </w:t>
      </w:r>
      <w:r w:rsidR="00AA51DF" w:rsidRPr="0014084D">
        <w:t>Commissioners' Rules 2009</w:t>
      </w:r>
      <w:r w:rsidRPr="0014084D">
        <w:t xml:space="preserve"> </w:t>
      </w:r>
      <w:r w:rsidR="00F152FA" w:rsidRPr="0014084D">
        <w:t>govern</w:t>
      </w:r>
      <w:r w:rsidRPr="0014084D">
        <w:t xml:space="preserve"> the use of CLOSED material and disclosure.</w:t>
      </w:r>
    </w:p>
    <w:p w14:paraId="323A06DD" w14:textId="77777777" w:rsidR="0010598E" w:rsidRPr="0014084D" w:rsidRDefault="0010598E" w:rsidP="003966DA">
      <w:pPr>
        <w:pStyle w:val="OPENmanualpara"/>
      </w:pPr>
      <w:r>
        <w:t>The PCNI has replaced the Life Sentence Review Commissioners.</w:t>
      </w:r>
    </w:p>
    <w:p w14:paraId="77261CD4" w14:textId="77777777" w:rsidR="005474F7" w:rsidRPr="0014084D" w:rsidRDefault="005474F7" w:rsidP="003966DA">
      <w:pPr>
        <w:pStyle w:val="Heading2"/>
      </w:pPr>
      <w:bookmarkStart w:id="127" w:name="_Toc499805141"/>
      <w:bookmarkStart w:id="128" w:name="_Toc3904926"/>
      <w:r w:rsidRPr="0014084D">
        <w:t xml:space="preserve">Employment </w:t>
      </w:r>
      <w:r w:rsidR="00F152FA" w:rsidRPr="0014084D">
        <w:t>T</w:t>
      </w:r>
      <w:r w:rsidRPr="0014084D">
        <w:t>ribunal proceedings</w:t>
      </w:r>
      <w:bookmarkEnd w:id="127"/>
      <w:bookmarkEnd w:id="128"/>
    </w:p>
    <w:p w14:paraId="0C2CFB56" w14:textId="491C4A01" w:rsidR="005474F7" w:rsidRPr="0014084D" w:rsidRDefault="005474F7" w:rsidP="003966DA">
      <w:pPr>
        <w:pStyle w:val="OPENmanualpara"/>
      </w:pPr>
      <w:r w:rsidRPr="0014084D">
        <w:t>The</w:t>
      </w:r>
      <w:r w:rsidR="0027035C" w:rsidRPr="0014084D">
        <w:t xml:space="preserve"> procedure for </w:t>
      </w:r>
      <w:r w:rsidR="00F14D79" w:rsidRPr="00E71929">
        <w:t>CLOSED</w:t>
      </w:r>
      <w:r w:rsidR="00F14D79">
        <w:t xml:space="preserve"> proceedings </w:t>
      </w:r>
      <w:r w:rsidR="0027035C" w:rsidRPr="0014084D">
        <w:t>within the e</w:t>
      </w:r>
      <w:r w:rsidRPr="0014084D">
        <w:t xml:space="preserve">mployment </w:t>
      </w:r>
      <w:r w:rsidR="0027035C" w:rsidRPr="0014084D">
        <w:t>t</w:t>
      </w:r>
      <w:r w:rsidRPr="0014084D">
        <w:t xml:space="preserve">ribunal is contained within Schedules 1 and 2 to The Employment Tribunals (Constitution and Rules of Procedure) Regulations 2013 (2013/1237).  </w:t>
      </w:r>
    </w:p>
    <w:p w14:paraId="34B2D1B5" w14:textId="2D195863" w:rsidR="005474F7" w:rsidRPr="0014084D" w:rsidRDefault="005474F7" w:rsidP="003966DA">
      <w:pPr>
        <w:pStyle w:val="OPENmanualpara"/>
      </w:pPr>
      <w:r w:rsidRPr="0014084D">
        <w:t xml:space="preserve">Appeals from the </w:t>
      </w:r>
      <w:r w:rsidR="0027035C" w:rsidRPr="0014084D">
        <w:t>e</w:t>
      </w:r>
      <w:r w:rsidRPr="0014084D">
        <w:t xml:space="preserve">mployment </w:t>
      </w:r>
      <w:r w:rsidR="0027035C" w:rsidRPr="0014084D">
        <w:t>t</w:t>
      </w:r>
      <w:r w:rsidRPr="0014084D">
        <w:t xml:space="preserve">ribunal lie to the Employment Appeals Tribunal </w:t>
      </w:r>
      <w:proofErr w:type="gramStart"/>
      <w:r w:rsidRPr="0014084D">
        <w:t>(</w:t>
      </w:r>
      <w:r w:rsidR="00A74DB2">
        <w:t>”</w:t>
      </w:r>
      <w:r w:rsidRPr="0014084D">
        <w:t>EAT</w:t>
      </w:r>
      <w:proofErr w:type="gramEnd"/>
      <w:r w:rsidR="00A74DB2">
        <w:t>”</w:t>
      </w:r>
      <w:r w:rsidRPr="0014084D">
        <w:t xml:space="preserve">). The EAT is governed by the Employment Appeal Tribunal Rules 1993 </w:t>
      </w:r>
      <w:r w:rsidRPr="0014084D">
        <w:lastRenderedPageBreak/>
        <w:t xml:space="preserve">(as amended). The rules relating to cases concerning national security and the use of </w:t>
      </w:r>
      <w:r w:rsidR="0027035C" w:rsidRPr="0014084D">
        <w:t>a Special Advocate</w:t>
      </w:r>
      <w:r w:rsidRPr="0014084D">
        <w:t xml:space="preserve"> are contained in Rule 30A. </w:t>
      </w:r>
    </w:p>
    <w:p w14:paraId="4B23E0D3" w14:textId="6088D6DE" w:rsidR="005474F7" w:rsidRPr="0014084D" w:rsidRDefault="005474F7" w:rsidP="003966DA">
      <w:pPr>
        <w:pStyle w:val="OPENmanualpara"/>
        <w:rPr>
          <w:u w:val="single"/>
        </w:rPr>
      </w:pPr>
      <w:r w:rsidRPr="0014084D">
        <w:t xml:space="preserve">Where an excluded party appeals to </w:t>
      </w:r>
      <w:r w:rsidR="00A74DB2">
        <w:t xml:space="preserve">the </w:t>
      </w:r>
      <w:r w:rsidR="00746BDA" w:rsidRPr="0014084D">
        <w:t xml:space="preserve">Security Vetting Appeals Panel </w:t>
      </w:r>
      <w:r w:rsidR="002C3B31">
        <w:t xml:space="preserve">(“SVAP”) </w:t>
      </w:r>
      <w:r w:rsidR="00746BDA" w:rsidRPr="0014084D">
        <w:t xml:space="preserve">(as to which see </w:t>
      </w:r>
      <w:r w:rsidR="002D75F4">
        <w:t xml:space="preserve">paragraphs </w:t>
      </w:r>
      <w:r w:rsidR="002D75F4">
        <w:fldChar w:fldCharType="begin"/>
      </w:r>
      <w:r w:rsidR="002D75F4">
        <w:instrText xml:space="preserve"> REF _Ref522710675 \r \h </w:instrText>
      </w:r>
      <w:r w:rsidR="002D75F4">
        <w:fldChar w:fldCharType="separate"/>
      </w:r>
      <w:r w:rsidR="00316350">
        <w:t>205</w:t>
      </w:r>
      <w:r w:rsidR="002D75F4">
        <w:fldChar w:fldCharType="end"/>
      </w:r>
      <w:r w:rsidR="002D75F4">
        <w:t>-</w:t>
      </w:r>
      <w:r w:rsidR="002D75F4">
        <w:fldChar w:fldCharType="begin"/>
      </w:r>
      <w:r w:rsidR="002D75F4">
        <w:instrText xml:space="preserve"> REF _Ref522710677 \r \h </w:instrText>
      </w:r>
      <w:r w:rsidR="002D75F4">
        <w:fldChar w:fldCharType="separate"/>
      </w:r>
      <w:r w:rsidR="00316350">
        <w:t>207</w:t>
      </w:r>
      <w:r w:rsidR="002D75F4">
        <w:fldChar w:fldCharType="end"/>
      </w:r>
      <w:r w:rsidR="002D75F4">
        <w:t xml:space="preserve"> </w:t>
      </w:r>
      <w:r w:rsidR="00746BDA" w:rsidRPr="0014084D">
        <w:t xml:space="preserve">below) </w:t>
      </w:r>
      <w:r w:rsidRPr="0014084D">
        <w:t xml:space="preserve">and also makes an employment tribunal claim, the </w:t>
      </w:r>
      <w:r w:rsidR="00E249D3">
        <w:t xml:space="preserve">vetting </w:t>
      </w:r>
      <w:r w:rsidRPr="0014084D">
        <w:t xml:space="preserve">appeal will usually be heard first. </w:t>
      </w:r>
    </w:p>
    <w:p w14:paraId="3A74D0D9" w14:textId="0C384ED1" w:rsidR="005474F7" w:rsidRPr="0014084D" w:rsidRDefault="005474F7" w:rsidP="003966DA">
      <w:pPr>
        <w:pStyle w:val="Heading2"/>
      </w:pPr>
      <w:bookmarkStart w:id="129" w:name="_Toc499805142"/>
      <w:bookmarkStart w:id="130" w:name="_Toc3904927"/>
      <w:r w:rsidRPr="0014084D">
        <w:t xml:space="preserve">Family </w:t>
      </w:r>
      <w:r w:rsidR="00D20DDF">
        <w:t>p</w:t>
      </w:r>
      <w:r w:rsidRPr="0014084D">
        <w:t>roceedings</w:t>
      </w:r>
      <w:bookmarkEnd w:id="129"/>
      <w:bookmarkEnd w:id="130"/>
    </w:p>
    <w:p w14:paraId="2E7CF8A3" w14:textId="77777777" w:rsidR="005474F7" w:rsidRPr="0014084D" w:rsidRDefault="005474F7" w:rsidP="003966DA">
      <w:pPr>
        <w:pStyle w:val="OPENmanualpara"/>
      </w:pPr>
      <w:r w:rsidRPr="0014084D">
        <w:t xml:space="preserve">The Family Division of the High </w:t>
      </w:r>
      <w:r w:rsidR="00AD631A" w:rsidRPr="0014084D">
        <w:t>Court is accustomed to dealing with</w:t>
      </w:r>
      <w:r w:rsidRPr="0014084D">
        <w:t xml:space="preserve"> private hearings. This is an inroad into </w:t>
      </w:r>
      <w:r w:rsidR="0024596F" w:rsidRPr="0014084D">
        <w:t>open</w:t>
      </w:r>
      <w:r w:rsidRPr="0014084D">
        <w:t xml:space="preserve"> </w:t>
      </w:r>
      <w:proofErr w:type="gramStart"/>
      <w:r w:rsidRPr="0014084D">
        <w:t>justice, but</w:t>
      </w:r>
      <w:proofErr w:type="gramEnd"/>
      <w:r w:rsidRPr="0014084D">
        <w:t xml:space="preserve"> is</w:t>
      </w:r>
      <w:r w:rsidR="00AD631A" w:rsidRPr="0014084D">
        <w:t xml:space="preserve"> justified by reference to the c</w:t>
      </w:r>
      <w:r w:rsidRPr="0014084D">
        <w:t>ourt’s concern to protect the interests of children, other family members, and to restrict the reporting o</w:t>
      </w:r>
      <w:r w:rsidR="00F152FA" w:rsidRPr="0014084D">
        <w:t>f certain information. S</w:t>
      </w:r>
      <w:r w:rsidRPr="0014084D">
        <w:t>uch action is taken under th</w:t>
      </w:r>
      <w:r w:rsidR="00AD631A" w:rsidRPr="0014084D">
        <w:t>e High C</w:t>
      </w:r>
      <w:r w:rsidR="00F152FA" w:rsidRPr="0014084D">
        <w:t>ourt’s inherent jurisdiction, following a line of authorities.</w:t>
      </w:r>
    </w:p>
    <w:p w14:paraId="0B5B5CF6" w14:textId="77777777" w:rsidR="005474F7" w:rsidRPr="0014084D" w:rsidRDefault="005474F7" w:rsidP="003966DA">
      <w:pPr>
        <w:pStyle w:val="OPENmanualpara"/>
      </w:pPr>
      <w:r w:rsidRPr="0014084D">
        <w:t>On occasion, the Family Court will approach the Attorney General or SASO regarding the appoin</w:t>
      </w:r>
      <w:r w:rsidR="00AD631A" w:rsidRPr="0014084D">
        <w:t>tment of a Special Advocate in f</w:t>
      </w:r>
      <w:r w:rsidRPr="0014084D">
        <w:t>amily proceedings. This typically arises “</w:t>
      </w:r>
      <w:r w:rsidRPr="0014084D">
        <w:rPr>
          <w:i/>
        </w:rPr>
        <w:t>because a public body that is party to the litigation, often a local authority or the police, resist disclosure of sensitive documents</w:t>
      </w:r>
      <w:r w:rsidRPr="0014084D">
        <w:t>.”</w:t>
      </w:r>
      <w:r w:rsidRPr="00F81443">
        <w:rPr>
          <w:rStyle w:val="FootnoteReference"/>
          <w:smallCaps/>
        </w:rPr>
        <w:footnoteReference w:id="62"/>
      </w:r>
      <w:r w:rsidRPr="0014084D">
        <w:t xml:space="preserve">  </w:t>
      </w:r>
    </w:p>
    <w:p w14:paraId="4B09F161" w14:textId="1564F200" w:rsidR="005474F7" w:rsidRPr="0014084D" w:rsidRDefault="005474F7" w:rsidP="003966DA">
      <w:pPr>
        <w:pStyle w:val="OPENmanualpara"/>
      </w:pPr>
      <w:r w:rsidRPr="0014084D">
        <w:t>In the same way as noted below in respect of the Parole Board, acting outside a statutory framework presents challenges for</w:t>
      </w:r>
      <w:r w:rsidR="00AD631A" w:rsidRPr="0014084D">
        <w:t xml:space="preserve"> a</w:t>
      </w:r>
      <w:r w:rsidRPr="0014084D">
        <w:t xml:space="preserve"> Special A</w:t>
      </w:r>
      <w:r w:rsidR="00AD631A" w:rsidRPr="0014084D">
        <w:t>dvocate</w:t>
      </w:r>
      <w:r w:rsidRPr="0014084D">
        <w:t xml:space="preserve"> but</w:t>
      </w:r>
      <w:r w:rsidR="00FC620D">
        <w:t>,</w:t>
      </w:r>
      <w:r w:rsidRPr="0014084D">
        <w:t xml:space="preserve"> broadly </w:t>
      </w:r>
      <w:r w:rsidR="00AD631A" w:rsidRPr="0014084D">
        <w:t>speaking</w:t>
      </w:r>
      <w:r w:rsidR="00FC620D">
        <w:t>,</w:t>
      </w:r>
      <w:r w:rsidR="00AD631A" w:rsidRPr="0014084D">
        <w:t xml:space="preserve"> </w:t>
      </w:r>
      <w:r w:rsidRPr="0014084D">
        <w:t xml:space="preserve">the same procedures as for other CLOSED </w:t>
      </w:r>
      <w:r w:rsidR="00FC620D">
        <w:t>proceedings</w:t>
      </w:r>
      <w:r w:rsidRPr="0014084D">
        <w:t xml:space="preserve"> will be followed.  </w:t>
      </w:r>
    </w:p>
    <w:p w14:paraId="577DEFED" w14:textId="77777777" w:rsidR="005474F7" w:rsidRPr="0014084D" w:rsidRDefault="005474F7" w:rsidP="003966DA">
      <w:pPr>
        <w:pStyle w:val="Heading2"/>
      </w:pPr>
      <w:bookmarkStart w:id="131" w:name="_Toc499805143"/>
      <w:bookmarkStart w:id="132" w:name="_Toc3904928"/>
      <w:r w:rsidRPr="0014084D">
        <w:t>Other non-statutory proceedings</w:t>
      </w:r>
      <w:bookmarkEnd w:id="131"/>
      <w:bookmarkEnd w:id="132"/>
    </w:p>
    <w:p w14:paraId="156A4133" w14:textId="77777777" w:rsidR="005474F7" w:rsidRPr="0014084D" w:rsidRDefault="005474F7" w:rsidP="003966DA">
      <w:pPr>
        <w:pStyle w:val="OPENmanualpara"/>
      </w:pPr>
      <w:r w:rsidRPr="0014084D">
        <w:t>There are a number of other areas of law where Special Advocates can be appointed, some of which have grown steadily in recent years, including:</w:t>
      </w:r>
    </w:p>
    <w:p w14:paraId="2853FCCC" w14:textId="77777777" w:rsidR="005474F7" w:rsidRPr="0014084D" w:rsidRDefault="0010598E" w:rsidP="0010598E">
      <w:pPr>
        <w:pStyle w:val="OPENmanualpara"/>
        <w:numPr>
          <w:ilvl w:val="1"/>
          <w:numId w:val="5"/>
        </w:numPr>
      </w:pPr>
      <w:r>
        <w:t>T</w:t>
      </w:r>
      <w:r w:rsidR="005474F7" w:rsidRPr="0014084D">
        <w:t>he Parole Board in England and Wales.</w:t>
      </w:r>
    </w:p>
    <w:p w14:paraId="3915EB96" w14:textId="77777777" w:rsidR="005474F7" w:rsidRPr="0014084D" w:rsidRDefault="00746BDA" w:rsidP="0010598E">
      <w:pPr>
        <w:pStyle w:val="OPENmanualpara"/>
        <w:numPr>
          <w:ilvl w:val="1"/>
          <w:numId w:val="5"/>
        </w:numPr>
      </w:pPr>
      <w:r w:rsidRPr="0014084D">
        <w:t>SVAP</w:t>
      </w:r>
      <w:r w:rsidR="005474F7" w:rsidRPr="0014084D">
        <w:t xml:space="preserve"> in both England and Wales and Northern Ireland.</w:t>
      </w:r>
    </w:p>
    <w:p w14:paraId="18FBAC4A" w14:textId="77777777" w:rsidR="005474F7" w:rsidRPr="0014084D" w:rsidRDefault="0010598E" w:rsidP="0010598E">
      <w:pPr>
        <w:pStyle w:val="OPENmanualpara"/>
        <w:numPr>
          <w:ilvl w:val="1"/>
          <w:numId w:val="5"/>
        </w:numPr>
      </w:pPr>
      <w:r>
        <w:t>T</w:t>
      </w:r>
      <w:r w:rsidR="005474F7" w:rsidRPr="0014084D">
        <w:t>he Proscribed Organisations Appeal Commission and Pathogens Access Appeals Commission.</w:t>
      </w:r>
    </w:p>
    <w:p w14:paraId="0A0D61B6" w14:textId="77777777" w:rsidR="005474F7" w:rsidRPr="0014084D" w:rsidRDefault="005474F7" w:rsidP="0010598E">
      <w:pPr>
        <w:pStyle w:val="OPENmanualpara"/>
        <w:numPr>
          <w:ilvl w:val="1"/>
          <w:numId w:val="5"/>
        </w:numPr>
      </w:pPr>
      <w:r w:rsidRPr="0014084D">
        <w:lastRenderedPageBreak/>
        <w:t>Freedom of Information and Data Protection matters.</w:t>
      </w:r>
    </w:p>
    <w:p w14:paraId="3E6A39E4" w14:textId="77777777" w:rsidR="005474F7" w:rsidRPr="0014084D" w:rsidRDefault="005474F7" w:rsidP="003966DA">
      <w:pPr>
        <w:pStyle w:val="OPENmanualpara"/>
        <w:rPr>
          <w:bCs/>
        </w:rPr>
      </w:pPr>
      <w:r w:rsidRPr="0014084D">
        <w:t>The key areas in this list are dealt with in more detail below.</w:t>
      </w:r>
    </w:p>
    <w:p w14:paraId="0C3BB134" w14:textId="77777777" w:rsidR="005474F7" w:rsidRPr="0014084D" w:rsidRDefault="005474F7" w:rsidP="0010598E">
      <w:pPr>
        <w:pStyle w:val="Heading3"/>
        <w:rPr>
          <w:i/>
        </w:rPr>
      </w:pPr>
      <w:bookmarkStart w:id="133" w:name="_Toc499805144"/>
      <w:bookmarkStart w:id="134" w:name="_Toc3904929"/>
      <w:r w:rsidRPr="0014084D">
        <w:t>The Parole Board (England &amp; Wales)</w:t>
      </w:r>
      <w:bookmarkEnd w:id="133"/>
      <w:bookmarkEnd w:id="134"/>
    </w:p>
    <w:p w14:paraId="6909D568" w14:textId="77777777" w:rsidR="005474F7" w:rsidRPr="0014084D" w:rsidRDefault="005474F7" w:rsidP="003966DA">
      <w:pPr>
        <w:pStyle w:val="OPENmanualpara"/>
      </w:pPr>
      <w:r w:rsidRPr="0014084D">
        <w:t xml:space="preserve">The use of </w:t>
      </w:r>
      <w:r w:rsidR="00AD631A" w:rsidRPr="0014084D">
        <w:t>a Special Advocate</w:t>
      </w:r>
      <w:r w:rsidRPr="0014084D">
        <w:t xml:space="preserve"> in the Parole Board jurisdiction derives from the case of </w:t>
      </w:r>
      <w:r w:rsidRPr="0014084D">
        <w:rPr>
          <w:i/>
        </w:rPr>
        <w:t>Roberts v Parole Board</w:t>
      </w:r>
      <w:r w:rsidRPr="0014084D">
        <w:t xml:space="preserve"> </w:t>
      </w:r>
      <w:r w:rsidRPr="0014084D">
        <w:rPr>
          <w:i/>
        </w:rPr>
        <w:t xml:space="preserve">[2004] EWHC 3120 (Admin); [2004] EWCA </w:t>
      </w:r>
      <w:proofErr w:type="spellStart"/>
      <w:r w:rsidRPr="0014084D">
        <w:rPr>
          <w:i/>
        </w:rPr>
        <w:t>Civ</w:t>
      </w:r>
      <w:proofErr w:type="spellEnd"/>
      <w:r w:rsidRPr="0014084D">
        <w:rPr>
          <w:i/>
        </w:rPr>
        <w:t xml:space="preserve"> 1031</w:t>
      </w:r>
      <w:r w:rsidR="008804CD">
        <w:rPr>
          <w:rStyle w:val="FootnoteReference"/>
          <w:i/>
        </w:rPr>
        <w:footnoteReference w:id="63"/>
      </w:r>
      <w:r w:rsidRPr="0014084D">
        <w:rPr>
          <w:i/>
        </w:rPr>
        <w:t>; [2005] UKHL 45</w:t>
      </w:r>
      <w:r w:rsidR="009A6ECE">
        <w:rPr>
          <w:rStyle w:val="FootnoteReference"/>
          <w:i/>
        </w:rPr>
        <w:footnoteReference w:id="64"/>
      </w:r>
      <w:r w:rsidRPr="0014084D">
        <w:t xml:space="preserve">. The House of Lords held by a majority of 3:2 (Lords Bingham and Steyn dissenting) that the Parole Board had the power to withhold material relevant to a parole review from the Appellant and his legal </w:t>
      </w:r>
      <w:proofErr w:type="gramStart"/>
      <w:r w:rsidRPr="0014084D">
        <w:t>representatives, and</w:t>
      </w:r>
      <w:proofErr w:type="gramEnd"/>
      <w:r w:rsidRPr="0014084D">
        <w:t xml:space="preserve"> was able to appoint a 'Specially Appointed Advocate' to represent the Appellant at a CLOSED hearing. </w:t>
      </w:r>
    </w:p>
    <w:p w14:paraId="394CD57E" w14:textId="26CA102E" w:rsidR="005474F7" w:rsidRPr="0014084D" w:rsidRDefault="005474F7" w:rsidP="003966DA">
      <w:pPr>
        <w:pStyle w:val="OPENmanualpara"/>
      </w:pPr>
      <w:r w:rsidRPr="0014084D">
        <w:t xml:space="preserve">The duty to appoint a Specially Appointed Advocate was implied from the implicit duty of the board, under </w:t>
      </w:r>
      <w:r w:rsidR="00250FE5">
        <w:t xml:space="preserve">section </w:t>
      </w:r>
      <w:r w:rsidRPr="0014084D">
        <w:t>28 of the Crime (Sentences) Act 1997, to conduct its decision-making process in a manner which was practical and appropriate in the circumstances to ensure that the prisoner was fairly treated (see Lord Woolf LCJ's speech at para 65). The House held that the question of whether the decision to withhold information and/or appoint a Specially Appointed Advocate in any individual review is compliant with Art</w:t>
      </w:r>
      <w:r w:rsidR="002C3B31">
        <w:t>icle</w:t>
      </w:r>
      <w:r w:rsidRPr="0014084D">
        <w:t xml:space="preserve"> 5(4) of the ECHR depends on all the circumstances of the </w:t>
      </w:r>
      <w:proofErr w:type="gramStart"/>
      <w:r w:rsidRPr="0014084D">
        <w:t>case, and</w:t>
      </w:r>
      <w:proofErr w:type="gramEnd"/>
      <w:r w:rsidRPr="0014084D">
        <w:t xml:space="preserve"> cannot be determined in advance.</w:t>
      </w:r>
    </w:p>
    <w:p w14:paraId="53A70D07" w14:textId="55FA1AC8" w:rsidR="005474F7" w:rsidRPr="0014084D" w:rsidRDefault="005474F7" w:rsidP="003966DA">
      <w:pPr>
        <w:pStyle w:val="OPENmanualpara"/>
      </w:pPr>
      <w:r w:rsidRPr="0014084D">
        <w:t>The lack of any rules providing a procedural framework for the Specially Appointed Advocate in this case presented its own difficulties; however the fundamental features of the statutory system were retained – providing that there should be no contact between the advocate and the prisoner after the advocate had seen the withheld material, allowing the advocate to make submissions on whether what was kept from the prisoner should be disclosed to him in some form</w:t>
      </w:r>
      <w:r w:rsidR="00746BDA" w:rsidRPr="0014084D">
        <w:t>,</w:t>
      </w:r>
      <w:r w:rsidRPr="0014084D">
        <w:t xml:space="preserve"> and allowing the advocate to make substantive submissions on the CLOSED material.</w:t>
      </w:r>
    </w:p>
    <w:p w14:paraId="4AAB9F9B" w14:textId="77777777" w:rsidR="005474F7" w:rsidRPr="0014084D" w:rsidRDefault="002D75F4" w:rsidP="0010598E">
      <w:pPr>
        <w:pStyle w:val="Heading3"/>
      </w:pPr>
      <w:bookmarkStart w:id="135" w:name="_Toc499805145"/>
      <w:bookmarkStart w:id="136" w:name="_Toc3904930"/>
      <w:r>
        <w:lastRenderedPageBreak/>
        <w:t xml:space="preserve">The </w:t>
      </w:r>
      <w:r w:rsidR="005474F7" w:rsidRPr="0014084D">
        <w:t>S</w:t>
      </w:r>
      <w:r w:rsidR="00211AA4" w:rsidRPr="0014084D">
        <w:t xml:space="preserve">ecurity </w:t>
      </w:r>
      <w:r w:rsidR="005474F7" w:rsidRPr="0014084D">
        <w:t>V</w:t>
      </w:r>
      <w:r w:rsidR="00211AA4" w:rsidRPr="0014084D">
        <w:t xml:space="preserve">etting </w:t>
      </w:r>
      <w:r w:rsidR="005474F7" w:rsidRPr="0014084D">
        <w:t>A</w:t>
      </w:r>
      <w:r w:rsidR="00211AA4" w:rsidRPr="0014084D">
        <w:t xml:space="preserve">ppeals </w:t>
      </w:r>
      <w:r w:rsidR="005474F7" w:rsidRPr="0014084D">
        <w:t>P</w:t>
      </w:r>
      <w:r w:rsidR="0070582C" w:rsidRPr="0014084D">
        <w:t>anel (“SVAP”)</w:t>
      </w:r>
      <w:bookmarkEnd w:id="135"/>
      <w:bookmarkEnd w:id="136"/>
      <w:r w:rsidR="0070582C" w:rsidRPr="0014084D">
        <w:t xml:space="preserve"> </w:t>
      </w:r>
    </w:p>
    <w:p w14:paraId="3516E3E3" w14:textId="77777777" w:rsidR="005474F7" w:rsidRPr="0014084D" w:rsidRDefault="005474F7" w:rsidP="003966DA">
      <w:pPr>
        <w:pStyle w:val="OPENmanualpara"/>
      </w:pPr>
      <w:bookmarkStart w:id="137" w:name="_Ref522710675"/>
      <w:r w:rsidRPr="0014084D">
        <w:t>SVAP is an independent non-Departmental public body sponsored by the Intelligence and Security Secretariat (Security Policy Division) of the Cabinet Office, supported by a small secretariat. It provides an independent avenue of appeal against decisions to refuse or withdraw security clearance. It hears appeals from staf</w:t>
      </w:r>
      <w:r w:rsidR="00746BDA" w:rsidRPr="0014084D">
        <w:t>f or contractors in Government D</w:t>
      </w:r>
      <w:r w:rsidRPr="0014084D">
        <w:t>epartments, the Armed Forces and other organisations, wh</w:t>
      </w:r>
      <w:r w:rsidR="00746BDA" w:rsidRPr="0014084D">
        <w:t>ere they</w:t>
      </w:r>
      <w:r w:rsidRPr="0014084D">
        <w:t xml:space="preserve"> have exhausted the internal appeals process.</w:t>
      </w:r>
      <w:bookmarkEnd w:id="137"/>
    </w:p>
    <w:p w14:paraId="4A31487E" w14:textId="7440D7E7" w:rsidR="002D75F4" w:rsidRDefault="005474F7" w:rsidP="003966DA">
      <w:pPr>
        <w:pStyle w:val="OPENmanualpara"/>
      </w:pPr>
      <w:r w:rsidRPr="0014084D">
        <w:t xml:space="preserve">SVAP </w:t>
      </w:r>
      <w:r w:rsidR="002C3B31">
        <w:t>sit</w:t>
      </w:r>
      <w:r w:rsidR="009C5E24">
        <w:t>s</w:t>
      </w:r>
      <w:r w:rsidR="002C3B31">
        <w:t xml:space="preserve"> as a panel, </w:t>
      </w:r>
      <w:r w:rsidRPr="0014084D">
        <w:t xml:space="preserve">chaired by a retired or current High Court judge who sits with two other members. </w:t>
      </w:r>
      <w:r w:rsidR="00746BDA" w:rsidRPr="0014084D">
        <w:t>The</w:t>
      </w:r>
      <w:r w:rsidRPr="0014084D">
        <w:t xml:space="preserve"> panel’s role is to review the reasonableness of the vetting d</w:t>
      </w:r>
      <w:r w:rsidR="00480E1F" w:rsidRPr="0014084D">
        <w:t xml:space="preserve">ecision, typically by applying </w:t>
      </w:r>
      <w:r w:rsidR="002C3B31">
        <w:t>J</w:t>
      </w:r>
      <w:r w:rsidR="00480E1F" w:rsidRPr="0014084D">
        <w:t xml:space="preserve">udicial </w:t>
      </w:r>
      <w:r w:rsidR="002C3B31">
        <w:t>R</w:t>
      </w:r>
      <w:r w:rsidRPr="0014084D">
        <w:t xml:space="preserve">eview principles (although there is no formal constraint on the panel to that effect). </w:t>
      </w:r>
    </w:p>
    <w:p w14:paraId="5FB6D91F" w14:textId="77777777" w:rsidR="005474F7" w:rsidRPr="0014084D" w:rsidRDefault="005474F7" w:rsidP="003966DA">
      <w:pPr>
        <w:pStyle w:val="OPENmanualpara"/>
      </w:pPr>
      <w:bookmarkStart w:id="138" w:name="_Ref522710677"/>
      <w:r w:rsidRPr="0014084D">
        <w:t xml:space="preserve">SVAP </w:t>
      </w:r>
      <w:r w:rsidR="002D75F4">
        <w:t xml:space="preserve">does not issue “decisions” in the judicial sense, but instead </w:t>
      </w:r>
      <w:r w:rsidRPr="0014084D">
        <w:t>make</w:t>
      </w:r>
      <w:r w:rsidR="002D75F4">
        <w:t>s</w:t>
      </w:r>
      <w:r w:rsidRPr="0014084D">
        <w:t xml:space="preserve"> non-binding recommendations to the employing </w:t>
      </w:r>
      <w:r w:rsidR="00746BDA" w:rsidRPr="0014084D">
        <w:t>organisation</w:t>
      </w:r>
      <w:r w:rsidRPr="0014084D">
        <w:t>.</w:t>
      </w:r>
      <w:bookmarkEnd w:id="138"/>
      <w:r w:rsidRPr="0014084D">
        <w:t xml:space="preserve"> </w:t>
      </w:r>
    </w:p>
    <w:p w14:paraId="04B461D1" w14:textId="77777777" w:rsidR="005474F7" w:rsidRPr="0014084D" w:rsidRDefault="005474F7" w:rsidP="0010598E">
      <w:pPr>
        <w:pStyle w:val="Heading3"/>
      </w:pPr>
      <w:bookmarkStart w:id="139" w:name="_Toc499805146"/>
      <w:bookmarkStart w:id="140" w:name="_Toc3904931"/>
      <w:r w:rsidRPr="0014084D">
        <w:t>The Proscribed Organisations Appeal Commission (“POAC”) and Pathogens Access Appeals Commission.</w:t>
      </w:r>
      <w:bookmarkEnd w:id="139"/>
      <w:bookmarkEnd w:id="140"/>
    </w:p>
    <w:p w14:paraId="17194374" w14:textId="77777777" w:rsidR="005474F7" w:rsidRPr="0014084D" w:rsidRDefault="005474F7" w:rsidP="003966DA">
      <w:pPr>
        <w:pStyle w:val="OPENmanualpara"/>
      </w:pPr>
      <w:r w:rsidRPr="0014084D">
        <w:t>Proscribed organisations are those listed in Schedule 2 to the Terrorism Act 2000. In order to be added to the schedule, an organisation must be “concerned in terrorism”, which is defined by s</w:t>
      </w:r>
      <w:r w:rsidR="0070582C" w:rsidRPr="0014084D">
        <w:t xml:space="preserve">ection </w:t>
      </w:r>
      <w:r w:rsidRPr="0014084D">
        <w:t>3(5)</w:t>
      </w:r>
      <w:r w:rsidR="00250FE5">
        <w:t xml:space="preserve"> </w:t>
      </w:r>
      <w:r w:rsidRPr="0014084D">
        <w:t>of that act as:</w:t>
      </w:r>
    </w:p>
    <w:p w14:paraId="3F3D7948" w14:textId="77777777" w:rsidR="005474F7" w:rsidRPr="0014084D" w:rsidRDefault="005474F7" w:rsidP="0010598E">
      <w:pPr>
        <w:pStyle w:val="OPENmanualpara"/>
        <w:numPr>
          <w:ilvl w:val="1"/>
          <w:numId w:val="5"/>
        </w:numPr>
      </w:pPr>
      <w:r w:rsidRPr="0014084D">
        <w:t>commits or participates in acts of terrorism,</w:t>
      </w:r>
    </w:p>
    <w:p w14:paraId="34628537" w14:textId="77777777" w:rsidR="005474F7" w:rsidRPr="0014084D" w:rsidRDefault="005474F7" w:rsidP="0010598E">
      <w:pPr>
        <w:pStyle w:val="OPENmanualpara"/>
        <w:numPr>
          <w:ilvl w:val="1"/>
          <w:numId w:val="5"/>
        </w:numPr>
      </w:pPr>
      <w:r w:rsidRPr="0014084D">
        <w:t>prepares for terrorism,</w:t>
      </w:r>
    </w:p>
    <w:p w14:paraId="429D6273" w14:textId="77777777" w:rsidR="005474F7" w:rsidRPr="0014084D" w:rsidRDefault="005474F7" w:rsidP="0010598E">
      <w:pPr>
        <w:pStyle w:val="OPENmanualpara"/>
        <w:numPr>
          <w:ilvl w:val="1"/>
          <w:numId w:val="5"/>
        </w:numPr>
      </w:pPr>
      <w:r w:rsidRPr="0014084D">
        <w:t>promotes or encourages terrorism, or</w:t>
      </w:r>
    </w:p>
    <w:p w14:paraId="2AD6BCF5" w14:textId="77777777" w:rsidR="005474F7" w:rsidRPr="0014084D" w:rsidRDefault="005474F7" w:rsidP="0010598E">
      <w:pPr>
        <w:pStyle w:val="OPENmanualpara"/>
        <w:numPr>
          <w:ilvl w:val="1"/>
          <w:numId w:val="5"/>
        </w:numPr>
      </w:pPr>
      <w:r w:rsidRPr="0014084D">
        <w:t>is otherwise concerned in terrorism.</w:t>
      </w:r>
    </w:p>
    <w:p w14:paraId="32B073A0" w14:textId="77777777" w:rsidR="00F407B2" w:rsidRDefault="005474F7" w:rsidP="00BA4DE4">
      <w:pPr>
        <w:pStyle w:val="OPENmanualpara"/>
      </w:pPr>
      <w:r w:rsidRPr="0014084D">
        <w:t>POAC exists by virtue of s</w:t>
      </w:r>
      <w:r w:rsidR="0070582C" w:rsidRPr="0014084D">
        <w:t xml:space="preserve">ection </w:t>
      </w:r>
      <w:r w:rsidRPr="0014084D">
        <w:t xml:space="preserve">5(1) </w:t>
      </w:r>
      <w:r w:rsidR="0070582C" w:rsidRPr="0014084D">
        <w:t xml:space="preserve">of </w:t>
      </w:r>
      <w:r w:rsidRPr="0014084D">
        <w:t>and Schedule 3 to the Terrorism Act 2000. Its role is to hear applications for de-proscription when an appeal directly to the Secretary of State has failed.</w:t>
      </w:r>
    </w:p>
    <w:p w14:paraId="7EEA86FA" w14:textId="684ED0E3" w:rsidR="009C1FE6" w:rsidRDefault="005474F7" w:rsidP="00BA4DE4">
      <w:pPr>
        <w:pStyle w:val="OPENmanualpara"/>
        <w:sectPr w:rsidR="009C1FE6" w:rsidSect="009F09E8">
          <w:headerReference w:type="even" r:id="rId48"/>
          <w:headerReference w:type="default" r:id="rId49"/>
          <w:headerReference w:type="first" r:id="rId50"/>
          <w:pgSz w:w="11906" w:h="16838" w:code="9"/>
          <w:pgMar w:top="1440" w:right="1440" w:bottom="851" w:left="1440" w:header="709" w:footer="170" w:gutter="0"/>
          <w:cols w:space="708"/>
          <w:docGrid w:linePitch="360"/>
        </w:sectPr>
      </w:pPr>
      <w:r w:rsidRPr="0014084D">
        <w:lastRenderedPageBreak/>
        <w:t xml:space="preserve">POAC </w:t>
      </w:r>
      <w:r w:rsidR="00E30B6B">
        <w:t xml:space="preserve">and the Pathogens Commission are </w:t>
      </w:r>
      <w:r w:rsidR="00746BDA" w:rsidRPr="0014084D">
        <w:t xml:space="preserve">rarely used and very few </w:t>
      </w:r>
      <w:r w:rsidRPr="0014084D">
        <w:t>application</w:t>
      </w:r>
      <w:r w:rsidR="00746BDA" w:rsidRPr="0014084D">
        <w:t>s</w:t>
      </w:r>
      <w:r w:rsidRPr="0014084D">
        <w:t xml:space="preserve"> </w:t>
      </w:r>
      <w:r w:rsidR="008A0A38">
        <w:t>have</w:t>
      </w:r>
      <w:r w:rsidR="002D75F4">
        <w:t xml:space="preserve"> </w:t>
      </w:r>
      <w:r w:rsidR="005343DA">
        <w:t xml:space="preserve">been </w:t>
      </w:r>
      <w:r w:rsidR="009C1FE6">
        <w:t>made.</w:t>
      </w:r>
    </w:p>
    <w:p w14:paraId="41E3B677" w14:textId="0C6E4F72" w:rsidR="005474F7" w:rsidRPr="0014084D" w:rsidRDefault="005474F7" w:rsidP="009C1FE6">
      <w:pPr>
        <w:pStyle w:val="OPENmanualpara"/>
        <w:numPr>
          <w:ilvl w:val="0"/>
          <w:numId w:val="0"/>
        </w:numPr>
      </w:pPr>
    </w:p>
    <w:p w14:paraId="57DBDDC7" w14:textId="77777777" w:rsidR="005474F7" w:rsidRPr="0014084D" w:rsidRDefault="00D9752B" w:rsidP="003966DA">
      <w:pPr>
        <w:pStyle w:val="Heading2"/>
      </w:pPr>
      <w:bookmarkStart w:id="141" w:name="_Toc3904932"/>
      <w:r>
        <w:t>Contact Details</w:t>
      </w:r>
      <w:bookmarkEnd w:id="141"/>
      <w:r>
        <w:t xml:space="preserve"> </w:t>
      </w:r>
    </w:p>
    <w:p w14:paraId="28D8005F" w14:textId="77777777" w:rsidR="005474F7" w:rsidRPr="0014084D" w:rsidRDefault="005474F7" w:rsidP="003966DA">
      <w:pPr>
        <w:pStyle w:val="OPENmanualpara"/>
      </w:pPr>
      <w:r w:rsidRPr="0014084D">
        <w:t xml:space="preserve">Should </w:t>
      </w:r>
      <w:r w:rsidR="00D9752B">
        <w:t>you</w:t>
      </w:r>
      <w:r w:rsidRPr="0014084D">
        <w:t xml:space="preserve"> require any further assistance or have any feedback on the contents of this </w:t>
      </w:r>
      <w:r w:rsidR="006C0807" w:rsidRPr="0014084D">
        <w:t>manual</w:t>
      </w:r>
      <w:r w:rsidRPr="0014084D">
        <w:t xml:space="preserve">, </w:t>
      </w:r>
      <w:r w:rsidR="00D9752B">
        <w:t>do</w:t>
      </w:r>
      <w:r w:rsidRPr="0014084D">
        <w:t xml:space="preserve"> not hesitate to contact SASO.</w:t>
      </w:r>
    </w:p>
    <w:p w14:paraId="019317A1" w14:textId="77777777" w:rsidR="005474F7" w:rsidRPr="0014084D" w:rsidRDefault="005474F7" w:rsidP="003966DA">
      <w:pPr>
        <w:pStyle w:val="OPENmanualpara"/>
      </w:pPr>
      <w:r w:rsidRPr="0014084D">
        <w:t>Correspondence can be s</w:t>
      </w:r>
      <w:r w:rsidR="00480E1F" w:rsidRPr="0014084D">
        <w:t>ent to the following addresses:</w:t>
      </w:r>
    </w:p>
    <w:p w14:paraId="02FE2A2C" w14:textId="77777777" w:rsidR="00746BDA" w:rsidRPr="0014084D" w:rsidRDefault="005474F7" w:rsidP="0010598E">
      <w:pPr>
        <w:pStyle w:val="OPENmanualpara"/>
        <w:numPr>
          <w:ilvl w:val="0"/>
          <w:numId w:val="0"/>
        </w:numPr>
        <w:spacing w:before="0" w:after="0" w:line="240" w:lineRule="auto"/>
        <w:ind w:left="567"/>
      </w:pPr>
      <w:r w:rsidRPr="0014084D">
        <w:t xml:space="preserve">Special </w:t>
      </w:r>
      <w:r w:rsidR="008A0A38">
        <w:t>Advocates’ Support Office</w:t>
      </w:r>
    </w:p>
    <w:p w14:paraId="6BA493AE" w14:textId="77777777" w:rsidR="00746BDA" w:rsidRPr="0014084D" w:rsidRDefault="005474F7" w:rsidP="0010598E">
      <w:pPr>
        <w:pStyle w:val="OPENmanualpara"/>
        <w:numPr>
          <w:ilvl w:val="0"/>
          <w:numId w:val="0"/>
        </w:numPr>
        <w:spacing w:before="0" w:after="0" w:line="240" w:lineRule="auto"/>
        <w:ind w:left="567"/>
      </w:pPr>
      <w:r w:rsidRPr="0014084D">
        <w:t>Government Legal Department</w:t>
      </w:r>
    </w:p>
    <w:p w14:paraId="23C25A4E" w14:textId="04D4C765" w:rsidR="00746BDA" w:rsidRPr="0014084D" w:rsidRDefault="009A62BB" w:rsidP="0010598E">
      <w:pPr>
        <w:pStyle w:val="OPENmanualpara"/>
        <w:numPr>
          <w:ilvl w:val="0"/>
          <w:numId w:val="0"/>
        </w:numPr>
        <w:spacing w:before="0" w:after="0" w:line="240" w:lineRule="auto"/>
        <w:ind w:left="567"/>
      </w:pPr>
      <w:r>
        <w:t>102 Petty France</w:t>
      </w:r>
    </w:p>
    <w:p w14:paraId="720F36A1" w14:textId="77777777" w:rsidR="00746BDA" w:rsidRPr="0014084D" w:rsidRDefault="005474F7" w:rsidP="0010598E">
      <w:pPr>
        <w:pStyle w:val="OPENmanualpara"/>
        <w:numPr>
          <w:ilvl w:val="0"/>
          <w:numId w:val="0"/>
        </w:numPr>
        <w:spacing w:before="0" w:after="0" w:line="240" w:lineRule="auto"/>
        <w:ind w:left="567"/>
      </w:pPr>
      <w:r w:rsidRPr="0014084D">
        <w:t>London</w:t>
      </w:r>
    </w:p>
    <w:p w14:paraId="4CAFA597" w14:textId="488D34E0" w:rsidR="005474F7" w:rsidRDefault="009A62BB" w:rsidP="0010598E">
      <w:pPr>
        <w:pStyle w:val="OPENmanualpara"/>
        <w:numPr>
          <w:ilvl w:val="0"/>
          <w:numId w:val="0"/>
        </w:numPr>
        <w:spacing w:before="0" w:after="0" w:line="240" w:lineRule="auto"/>
        <w:ind w:left="567"/>
      </w:pPr>
      <w:r>
        <w:t>SW1H 9GL</w:t>
      </w:r>
    </w:p>
    <w:p w14:paraId="0970694D" w14:textId="77777777" w:rsidR="000B0616" w:rsidRPr="0014084D" w:rsidRDefault="000B0616" w:rsidP="0010598E">
      <w:pPr>
        <w:pStyle w:val="OPENmanualpara"/>
        <w:numPr>
          <w:ilvl w:val="0"/>
          <w:numId w:val="0"/>
        </w:numPr>
        <w:spacing w:before="0" w:after="0" w:line="240" w:lineRule="auto"/>
        <w:ind w:left="567"/>
      </w:pPr>
    </w:p>
    <w:p w14:paraId="3884617A" w14:textId="426B9056" w:rsidR="005474F7" w:rsidRPr="0014084D" w:rsidRDefault="009A62BB" w:rsidP="0010598E">
      <w:pPr>
        <w:pStyle w:val="OPENmanualpara"/>
        <w:numPr>
          <w:ilvl w:val="0"/>
          <w:numId w:val="0"/>
        </w:numPr>
        <w:spacing w:before="0" w:after="0" w:line="240" w:lineRule="auto"/>
        <w:ind w:left="567"/>
      </w:pPr>
      <w:r w:rsidRPr="009A62BB">
        <w:t>DX 123243 Westminster 12</w:t>
      </w:r>
    </w:p>
    <w:p w14:paraId="499C4921" w14:textId="76126BDC" w:rsidR="005474F7" w:rsidRPr="0014084D" w:rsidRDefault="00000000" w:rsidP="0010598E">
      <w:pPr>
        <w:pStyle w:val="OPENmanualpara"/>
        <w:numPr>
          <w:ilvl w:val="0"/>
          <w:numId w:val="0"/>
        </w:numPr>
        <w:ind w:left="360" w:firstLine="207"/>
      </w:pPr>
      <w:hyperlink r:id="rId51" w:history="1">
        <w:r w:rsidR="003966DA" w:rsidRPr="00670B49">
          <w:rPr>
            <w:rStyle w:val="Hyperlink"/>
          </w:rPr>
          <w:t>SASO.OPEN@Governmentlegal.gov.uk</w:t>
        </w:r>
      </w:hyperlink>
    </w:p>
    <w:p w14:paraId="0BAE5F97" w14:textId="77777777" w:rsidR="00D637A1" w:rsidRPr="00E77C89" w:rsidRDefault="00D637A1" w:rsidP="003966DA">
      <w:pPr>
        <w:pStyle w:val="OPENmanualpara"/>
      </w:pPr>
      <w:bookmarkStart w:id="142" w:name="_Ref522710169"/>
      <w:r w:rsidRPr="00E77C89">
        <w:t xml:space="preserve">For information regarding Special Advocate recruitment, please contact </w:t>
      </w:r>
      <w:r w:rsidR="00E77C89">
        <w:t xml:space="preserve">the </w:t>
      </w:r>
      <w:r w:rsidRPr="00E77C89">
        <w:t>Attorney General</w:t>
      </w:r>
      <w:r w:rsidR="009159D4">
        <w:t>’</w:t>
      </w:r>
      <w:r w:rsidRPr="00E77C89">
        <w:t>s Office:</w:t>
      </w:r>
      <w:bookmarkEnd w:id="142"/>
    </w:p>
    <w:p w14:paraId="3B95ED36" w14:textId="77777777" w:rsidR="00746BDA" w:rsidRPr="0014084D" w:rsidRDefault="005474F7" w:rsidP="0010598E">
      <w:pPr>
        <w:pStyle w:val="OPENmanualpara"/>
        <w:numPr>
          <w:ilvl w:val="0"/>
          <w:numId w:val="0"/>
        </w:numPr>
        <w:spacing w:before="0" w:after="0" w:line="240" w:lineRule="auto"/>
        <w:ind w:left="357" w:firstLine="210"/>
      </w:pPr>
      <w:r w:rsidRPr="0014084D">
        <w:t>Attorney General's Office</w:t>
      </w:r>
    </w:p>
    <w:p w14:paraId="01BA03CB" w14:textId="3FA9DB64" w:rsidR="00746BDA" w:rsidRPr="0014084D" w:rsidRDefault="00DD56F9" w:rsidP="0010598E">
      <w:pPr>
        <w:pStyle w:val="OPENmanualpara"/>
        <w:numPr>
          <w:ilvl w:val="0"/>
          <w:numId w:val="0"/>
        </w:numPr>
        <w:spacing w:before="0" w:after="0" w:line="240" w:lineRule="auto"/>
        <w:ind w:left="357" w:firstLine="210"/>
        <w:rPr>
          <w:lang w:eastAsia="en-GB"/>
        </w:rPr>
      </w:pPr>
      <w:r>
        <w:rPr>
          <w:lang w:eastAsia="en-GB"/>
        </w:rPr>
        <w:t>102 Petty France</w:t>
      </w:r>
    </w:p>
    <w:p w14:paraId="583027AF" w14:textId="77777777" w:rsidR="00746BDA" w:rsidRPr="0014084D" w:rsidRDefault="005474F7" w:rsidP="0010598E">
      <w:pPr>
        <w:pStyle w:val="OPENmanualpara"/>
        <w:numPr>
          <w:ilvl w:val="0"/>
          <w:numId w:val="0"/>
        </w:numPr>
        <w:spacing w:before="0" w:after="0" w:line="240" w:lineRule="auto"/>
        <w:ind w:left="357" w:firstLine="210"/>
        <w:rPr>
          <w:lang w:eastAsia="en-GB"/>
        </w:rPr>
      </w:pPr>
      <w:r w:rsidRPr="0014084D">
        <w:rPr>
          <w:lang w:eastAsia="en-GB"/>
        </w:rPr>
        <w:t>London</w:t>
      </w:r>
    </w:p>
    <w:p w14:paraId="4A6F5378" w14:textId="719733AE" w:rsidR="005474F7" w:rsidRDefault="005474F7" w:rsidP="0010598E">
      <w:pPr>
        <w:pStyle w:val="OPENmanualpara"/>
        <w:numPr>
          <w:ilvl w:val="0"/>
          <w:numId w:val="0"/>
        </w:numPr>
        <w:spacing w:before="0" w:after="0" w:line="240" w:lineRule="auto"/>
        <w:ind w:left="357" w:firstLine="210"/>
        <w:rPr>
          <w:lang w:eastAsia="en-GB"/>
        </w:rPr>
      </w:pPr>
      <w:r w:rsidRPr="0014084D">
        <w:rPr>
          <w:lang w:eastAsia="en-GB"/>
        </w:rPr>
        <w:t>SW1</w:t>
      </w:r>
      <w:r w:rsidR="00DD56F9">
        <w:rPr>
          <w:lang w:eastAsia="en-GB"/>
        </w:rPr>
        <w:t>H</w:t>
      </w:r>
      <w:r w:rsidRPr="0014084D">
        <w:rPr>
          <w:lang w:eastAsia="en-GB"/>
        </w:rPr>
        <w:t xml:space="preserve"> </w:t>
      </w:r>
      <w:r w:rsidR="00DD56F9">
        <w:rPr>
          <w:lang w:eastAsia="en-GB"/>
        </w:rPr>
        <w:t>9EA</w:t>
      </w:r>
    </w:p>
    <w:p w14:paraId="2BE20CD8" w14:textId="77777777" w:rsidR="008A0A38" w:rsidRDefault="008A0A38" w:rsidP="0010598E">
      <w:pPr>
        <w:pStyle w:val="OPENmanualpara"/>
        <w:numPr>
          <w:ilvl w:val="0"/>
          <w:numId w:val="0"/>
        </w:numPr>
        <w:spacing w:before="0" w:after="0" w:line="240" w:lineRule="auto"/>
        <w:ind w:left="357" w:firstLine="210"/>
        <w:rPr>
          <w:lang w:eastAsia="en-GB"/>
        </w:rPr>
      </w:pPr>
    </w:p>
    <w:p w14:paraId="1A1383AD" w14:textId="3BC0CC09" w:rsidR="008A0A38" w:rsidRPr="008A0A38" w:rsidRDefault="00000000" w:rsidP="008A0A38">
      <w:pPr>
        <w:pStyle w:val="OPENmanualpara"/>
        <w:numPr>
          <w:ilvl w:val="0"/>
          <w:numId w:val="0"/>
        </w:numPr>
        <w:spacing w:before="0" w:after="0" w:line="240" w:lineRule="auto"/>
        <w:ind w:left="357" w:firstLine="210"/>
        <w:rPr>
          <w:lang w:eastAsia="en-GB"/>
        </w:rPr>
      </w:pPr>
      <w:hyperlink r:id="rId52" w:history="1">
        <w:r w:rsidR="008A0A38" w:rsidRPr="003A65BA">
          <w:rPr>
            <w:rStyle w:val="Hyperlink"/>
            <w:lang w:eastAsia="en-GB"/>
          </w:rPr>
          <w:t>correspondence@attorneygeneral.gov.uk</w:t>
        </w:r>
      </w:hyperlink>
      <w:r w:rsidR="008A0A38">
        <w:rPr>
          <w:lang w:eastAsia="en-GB"/>
        </w:rPr>
        <w:t xml:space="preserve"> </w:t>
      </w:r>
    </w:p>
    <w:p w14:paraId="79AF4914" w14:textId="77777777" w:rsidR="005474F7" w:rsidRPr="0014084D" w:rsidRDefault="005474F7" w:rsidP="00165A95">
      <w:pPr>
        <w:pStyle w:val="BodyText"/>
        <w:spacing w:line="360" w:lineRule="auto"/>
        <w:jc w:val="both"/>
        <w:rPr>
          <w:rFonts w:cs="Arial"/>
          <w:b w:val="0"/>
          <w:bCs w:val="0"/>
          <w:sz w:val="24"/>
        </w:rPr>
      </w:pPr>
    </w:p>
    <w:p w14:paraId="54937E2C" w14:textId="77777777" w:rsidR="005474F7" w:rsidRPr="0014084D" w:rsidRDefault="005474F7" w:rsidP="00165A95">
      <w:pPr>
        <w:spacing w:line="360" w:lineRule="auto"/>
        <w:jc w:val="both"/>
        <w:rPr>
          <w:rFonts w:ascii="Arial" w:hAnsi="Arial" w:cs="Arial"/>
          <w:b/>
          <w:smallCaps/>
          <w:sz w:val="24"/>
          <w:szCs w:val="24"/>
        </w:rPr>
      </w:pPr>
    </w:p>
    <w:p w14:paraId="395C4C34" w14:textId="77777777" w:rsidR="005474F7" w:rsidRPr="0010598E" w:rsidRDefault="005474F7" w:rsidP="008A0A38">
      <w:pPr>
        <w:spacing w:after="0" w:line="240" w:lineRule="auto"/>
        <w:rPr>
          <w:rFonts w:ascii="Arial" w:hAnsi="Arial" w:cs="Arial"/>
          <w:b/>
          <w:bCs/>
          <w:sz w:val="24"/>
          <w:szCs w:val="24"/>
        </w:rPr>
      </w:pPr>
      <w:r w:rsidRPr="0010598E">
        <w:rPr>
          <w:rFonts w:ascii="Arial" w:hAnsi="Arial" w:cs="Arial"/>
          <w:b/>
          <w:bCs/>
          <w:smallCaps/>
          <w:sz w:val="24"/>
          <w:szCs w:val="24"/>
        </w:rPr>
        <w:t xml:space="preserve">Special Advocates’ Support Office </w:t>
      </w:r>
    </w:p>
    <w:p w14:paraId="24E44826" w14:textId="5912A6D3" w:rsidR="00654E1E" w:rsidRPr="0010598E" w:rsidRDefault="00155406" w:rsidP="008A0A38">
      <w:pPr>
        <w:spacing w:after="0" w:line="240" w:lineRule="auto"/>
        <w:rPr>
          <w:rFonts w:ascii="Arial" w:hAnsi="Arial" w:cs="Arial"/>
          <w:b/>
          <w:smallCaps/>
          <w:sz w:val="24"/>
          <w:szCs w:val="24"/>
        </w:rPr>
      </w:pPr>
      <w:bookmarkStart w:id="143" w:name="NameAndAddress"/>
      <w:bookmarkStart w:id="144" w:name="Date"/>
      <w:bookmarkStart w:id="145" w:name="Salutation"/>
      <w:bookmarkStart w:id="146" w:name="Subject"/>
      <w:bookmarkStart w:id="147" w:name="Start"/>
      <w:bookmarkEnd w:id="143"/>
      <w:bookmarkEnd w:id="144"/>
      <w:bookmarkEnd w:id="145"/>
      <w:bookmarkEnd w:id="146"/>
      <w:bookmarkEnd w:id="147"/>
      <w:r>
        <w:rPr>
          <w:rFonts w:ascii="Arial" w:hAnsi="Arial" w:cs="Arial"/>
          <w:b/>
          <w:smallCaps/>
          <w:sz w:val="24"/>
          <w:szCs w:val="24"/>
        </w:rPr>
        <w:t>January</w:t>
      </w:r>
      <w:r w:rsidR="009A62BB">
        <w:rPr>
          <w:rFonts w:ascii="Arial" w:hAnsi="Arial" w:cs="Arial"/>
          <w:b/>
          <w:smallCaps/>
          <w:sz w:val="24"/>
          <w:szCs w:val="24"/>
        </w:rPr>
        <w:t xml:space="preserve"> 202</w:t>
      </w:r>
      <w:r>
        <w:rPr>
          <w:rFonts w:ascii="Arial" w:hAnsi="Arial" w:cs="Arial"/>
          <w:b/>
          <w:smallCaps/>
          <w:sz w:val="24"/>
          <w:szCs w:val="24"/>
        </w:rPr>
        <w:t>3</w:t>
      </w:r>
    </w:p>
    <w:p w14:paraId="64B0AACD" w14:textId="77777777" w:rsidR="003966DA" w:rsidRPr="0010598E" w:rsidRDefault="003966DA" w:rsidP="00165A95">
      <w:pPr>
        <w:spacing w:line="360" w:lineRule="auto"/>
        <w:jc w:val="both"/>
        <w:rPr>
          <w:rFonts w:ascii="Arial" w:hAnsi="Arial" w:cs="Arial"/>
          <w:sz w:val="24"/>
          <w:szCs w:val="24"/>
        </w:rPr>
      </w:pPr>
    </w:p>
    <w:sectPr w:rsidR="003966DA" w:rsidRPr="0010598E" w:rsidSect="009F09E8">
      <w:headerReference w:type="even" r:id="rId53"/>
      <w:headerReference w:type="first" r:id="rId54"/>
      <w:pgSz w:w="11906" w:h="16838" w:code="9"/>
      <w:pgMar w:top="1440" w:right="1440" w:bottom="851" w:left="144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EBED1" w14:textId="77777777" w:rsidR="007A49B2" w:rsidRDefault="007A49B2" w:rsidP="005474F7">
      <w:pPr>
        <w:spacing w:after="0" w:line="240" w:lineRule="auto"/>
      </w:pPr>
      <w:r>
        <w:separator/>
      </w:r>
    </w:p>
  </w:endnote>
  <w:endnote w:type="continuationSeparator" w:id="0">
    <w:p w14:paraId="3D3C1BF0" w14:textId="77777777" w:rsidR="007A49B2" w:rsidRDefault="007A49B2" w:rsidP="0054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805"/>
      <w:gridCol w:w="1805"/>
      <w:gridCol w:w="1805"/>
      <w:gridCol w:w="1806"/>
    </w:tblGrid>
    <w:tr w:rsidR="00E8497D" w:rsidRPr="008A5A1C" w14:paraId="2F3DC108" w14:textId="77777777" w:rsidTr="008A5A1C">
      <w:tc>
        <w:tcPr>
          <w:tcW w:w="1805" w:type="dxa"/>
        </w:tcPr>
        <w:p w14:paraId="7B05299D" w14:textId="77777777" w:rsidR="00E8497D" w:rsidRPr="008A5A1C" w:rsidRDefault="00E8497D" w:rsidP="008A5A1C">
          <w:pPr>
            <w:pStyle w:val="Footer"/>
            <w:rPr>
              <w:color w:val="1F3864" w:themeColor="accent5" w:themeShade="80"/>
              <w:sz w:val="16"/>
              <w:szCs w:val="16"/>
            </w:rPr>
          </w:pPr>
        </w:p>
      </w:tc>
      <w:tc>
        <w:tcPr>
          <w:tcW w:w="1805" w:type="dxa"/>
        </w:tcPr>
        <w:p w14:paraId="101A74A2" w14:textId="77777777" w:rsidR="00E8497D" w:rsidRPr="008A5A1C" w:rsidRDefault="00E8497D" w:rsidP="008A5A1C">
          <w:pPr>
            <w:pStyle w:val="Footer"/>
            <w:rPr>
              <w:color w:val="1F3864" w:themeColor="accent5" w:themeShade="80"/>
              <w:sz w:val="16"/>
              <w:szCs w:val="16"/>
            </w:rPr>
          </w:pPr>
        </w:p>
      </w:tc>
      <w:tc>
        <w:tcPr>
          <w:tcW w:w="1805" w:type="dxa"/>
        </w:tcPr>
        <w:p w14:paraId="61F9236C" w14:textId="77777777" w:rsidR="00E8497D" w:rsidRPr="008A5A1C" w:rsidRDefault="00E8497D" w:rsidP="008A5A1C">
          <w:pPr>
            <w:pStyle w:val="Footer"/>
            <w:rPr>
              <w:color w:val="1F3864" w:themeColor="accent5" w:themeShade="80"/>
              <w:sz w:val="16"/>
              <w:szCs w:val="16"/>
            </w:rPr>
          </w:pPr>
        </w:p>
      </w:tc>
      <w:tc>
        <w:tcPr>
          <w:tcW w:w="1805" w:type="dxa"/>
        </w:tcPr>
        <w:p w14:paraId="2DD0C565" w14:textId="77777777" w:rsidR="00E8497D" w:rsidRPr="008A5A1C" w:rsidRDefault="00E8497D" w:rsidP="008A5A1C">
          <w:pPr>
            <w:pStyle w:val="Footer"/>
            <w:rPr>
              <w:color w:val="1F3864" w:themeColor="accent5" w:themeShade="80"/>
              <w:sz w:val="16"/>
              <w:szCs w:val="16"/>
            </w:rPr>
          </w:pPr>
        </w:p>
      </w:tc>
      <w:tc>
        <w:tcPr>
          <w:tcW w:w="1806" w:type="dxa"/>
        </w:tcPr>
        <w:p w14:paraId="3D318164" w14:textId="77777777" w:rsidR="00E8497D" w:rsidRPr="008A5A1C" w:rsidRDefault="00E8497D" w:rsidP="008A5A1C">
          <w:pPr>
            <w:pStyle w:val="Footer"/>
            <w:rPr>
              <w:color w:val="1F3864" w:themeColor="accent5" w:themeShade="80"/>
              <w:sz w:val="16"/>
              <w:szCs w:val="16"/>
            </w:rPr>
          </w:pPr>
        </w:p>
      </w:tc>
    </w:tr>
    <w:tr w:rsidR="00E8497D" w:rsidRPr="008A5A1C" w14:paraId="3C5AF46D" w14:textId="77777777" w:rsidTr="008A5A1C">
      <w:tc>
        <w:tcPr>
          <w:tcW w:w="1805" w:type="dxa"/>
        </w:tcPr>
        <w:p w14:paraId="6F23125D"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Contributors:</w:t>
          </w:r>
        </w:p>
      </w:tc>
      <w:tc>
        <w:tcPr>
          <w:tcW w:w="1805" w:type="dxa"/>
        </w:tcPr>
        <w:p w14:paraId="2F847E69" w14:textId="77777777" w:rsidR="00E8497D" w:rsidRPr="008A5A1C" w:rsidRDefault="00E8497D" w:rsidP="008A5A1C">
          <w:pPr>
            <w:pStyle w:val="Footer"/>
            <w:rPr>
              <w:color w:val="1F3864" w:themeColor="accent5" w:themeShade="80"/>
              <w:sz w:val="16"/>
              <w:szCs w:val="16"/>
            </w:rPr>
          </w:pPr>
        </w:p>
      </w:tc>
      <w:tc>
        <w:tcPr>
          <w:tcW w:w="1805" w:type="dxa"/>
        </w:tcPr>
        <w:p w14:paraId="08F2491B" w14:textId="77777777" w:rsidR="00E8497D" w:rsidRPr="008A5A1C" w:rsidRDefault="00E8497D" w:rsidP="008A5A1C">
          <w:pPr>
            <w:pStyle w:val="Footer"/>
            <w:rPr>
              <w:color w:val="1F3864" w:themeColor="accent5" w:themeShade="80"/>
              <w:sz w:val="16"/>
              <w:szCs w:val="16"/>
            </w:rPr>
          </w:pPr>
        </w:p>
      </w:tc>
      <w:tc>
        <w:tcPr>
          <w:tcW w:w="1805" w:type="dxa"/>
        </w:tcPr>
        <w:p w14:paraId="51EB44CF" w14:textId="77777777" w:rsidR="00E8497D" w:rsidRPr="008A5A1C" w:rsidRDefault="00E8497D" w:rsidP="008A5A1C">
          <w:pPr>
            <w:pStyle w:val="Footer"/>
            <w:rPr>
              <w:color w:val="1F3864" w:themeColor="accent5" w:themeShade="80"/>
              <w:sz w:val="16"/>
              <w:szCs w:val="16"/>
            </w:rPr>
          </w:pPr>
        </w:p>
      </w:tc>
      <w:tc>
        <w:tcPr>
          <w:tcW w:w="1806" w:type="dxa"/>
        </w:tcPr>
        <w:p w14:paraId="49BB9549" w14:textId="77777777" w:rsidR="00E8497D" w:rsidRPr="008A5A1C" w:rsidRDefault="00E8497D" w:rsidP="008A5A1C">
          <w:pPr>
            <w:pStyle w:val="Footer"/>
            <w:rPr>
              <w:color w:val="1F3864" w:themeColor="accent5" w:themeShade="80"/>
              <w:sz w:val="16"/>
              <w:szCs w:val="16"/>
            </w:rPr>
          </w:pPr>
        </w:p>
      </w:tc>
    </w:tr>
    <w:tr w:rsidR="00E8497D" w:rsidRPr="008A5A1C" w14:paraId="338996EC" w14:textId="77777777" w:rsidTr="008A5A1C">
      <w:tc>
        <w:tcPr>
          <w:tcW w:w="1805" w:type="dxa"/>
        </w:tcPr>
        <w:p w14:paraId="085FCA73" w14:textId="122E80AA"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Domin</w:t>
          </w:r>
          <w:r>
            <w:rPr>
              <w:color w:val="1F3864" w:themeColor="accent5" w:themeShade="80"/>
              <w:sz w:val="16"/>
              <w:szCs w:val="16"/>
            </w:rPr>
            <w:t>i</w:t>
          </w:r>
          <w:r w:rsidRPr="008A5A1C">
            <w:rPr>
              <w:color w:val="1F3864" w:themeColor="accent5" w:themeShade="80"/>
              <w:sz w:val="16"/>
              <w:szCs w:val="16"/>
            </w:rPr>
            <w:t>c van der Wal</w:t>
          </w:r>
        </w:p>
      </w:tc>
      <w:tc>
        <w:tcPr>
          <w:tcW w:w="1805" w:type="dxa"/>
        </w:tcPr>
        <w:p w14:paraId="5DE650E0"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 xml:space="preserve">Nicola </w:t>
          </w:r>
          <w:proofErr w:type="spellStart"/>
          <w:r w:rsidRPr="008A5A1C">
            <w:rPr>
              <w:color w:val="1F3864" w:themeColor="accent5" w:themeShade="80"/>
              <w:sz w:val="16"/>
              <w:szCs w:val="16"/>
            </w:rPr>
            <w:t>Margiotta</w:t>
          </w:r>
          <w:proofErr w:type="spellEnd"/>
        </w:p>
      </w:tc>
      <w:tc>
        <w:tcPr>
          <w:tcW w:w="1805" w:type="dxa"/>
        </w:tcPr>
        <w:p w14:paraId="67B99CEE"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Ruth Lynch</w:t>
          </w:r>
        </w:p>
      </w:tc>
      <w:tc>
        <w:tcPr>
          <w:tcW w:w="1805" w:type="dxa"/>
        </w:tcPr>
        <w:p w14:paraId="56C64474"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Joseph Kitchen</w:t>
          </w:r>
        </w:p>
      </w:tc>
      <w:tc>
        <w:tcPr>
          <w:tcW w:w="1806" w:type="dxa"/>
        </w:tcPr>
        <w:p w14:paraId="0F3D08DC"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Carolyn Boxall</w:t>
          </w:r>
        </w:p>
      </w:tc>
    </w:tr>
    <w:tr w:rsidR="00E8497D" w:rsidRPr="008A5A1C" w14:paraId="70D2948A" w14:textId="77777777" w:rsidTr="008A5A1C">
      <w:tc>
        <w:tcPr>
          <w:tcW w:w="1805" w:type="dxa"/>
        </w:tcPr>
        <w:p w14:paraId="406F9BA6"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 xml:space="preserve">Tom </w:t>
          </w:r>
          <w:proofErr w:type="spellStart"/>
          <w:r w:rsidRPr="008A5A1C">
            <w:rPr>
              <w:color w:val="1F3864" w:themeColor="accent5" w:themeShade="80"/>
              <w:sz w:val="16"/>
              <w:szCs w:val="16"/>
            </w:rPr>
            <w:t>Bullmore</w:t>
          </w:r>
          <w:proofErr w:type="spellEnd"/>
        </w:p>
      </w:tc>
      <w:tc>
        <w:tcPr>
          <w:tcW w:w="1805" w:type="dxa"/>
        </w:tcPr>
        <w:p w14:paraId="14B306D3"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Steven Winder</w:t>
          </w:r>
        </w:p>
      </w:tc>
      <w:tc>
        <w:tcPr>
          <w:tcW w:w="1805" w:type="dxa"/>
        </w:tcPr>
        <w:p w14:paraId="33198620"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Greg Thomas</w:t>
          </w:r>
        </w:p>
      </w:tc>
      <w:tc>
        <w:tcPr>
          <w:tcW w:w="1805" w:type="dxa"/>
        </w:tcPr>
        <w:p w14:paraId="753B3950"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Ross Howarth</w:t>
          </w:r>
        </w:p>
      </w:tc>
      <w:tc>
        <w:tcPr>
          <w:tcW w:w="1806" w:type="dxa"/>
        </w:tcPr>
        <w:p w14:paraId="7C129B09" w14:textId="77777777" w:rsidR="00E8497D" w:rsidRPr="008A5A1C" w:rsidRDefault="00E8497D" w:rsidP="008A5A1C">
          <w:pPr>
            <w:pStyle w:val="Footer"/>
            <w:rPr>
              <w:color w:val="1F3864" w:themeColor="accent5" w:themeShade="80"/>
              <w:sz w:val="16"/>
              <w:szCs w:val="16"/>
            </w:rPr>
          </w:pPr>
          <w:r w:rsidRPr="008A5A1C">
            <w:rPr>
              <w:color w:val="1F3864" w:themeColor="accent5" w:themeShade="80"/>
              <w:sz w:val="16"/>
              <w:szCs w:val="16"/>
            </w:rPr>
            <w:t>Thomas Bartlett</w:t>
          </w:r>
        </w:p>
      </w:tc>
    </w:tr>
  </w:tbl>
  <w:p w14:paraId="045F9C88" w14:textId="77777777" w:rsidR="00E8497D" w:rsidRDefault="00E84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805"/>
      <w:gridCol w:w="1805"/>
      <w:gridCol w:w="1805"/>
      <w:gridCol w:w="1806"/>
    </w:tblGrid>
    <w:tr w:rsidR="00E8497D" w:rsidRPr="005E2CF5" w14:paraId="1B1D9279" w14:textId="0C2A8828" w:rsidTr="00F670EB">
      <w:tc>
        <w:tcPr>
          <w:tcW w:w="1805" w:type="dxa"/>
        </w:tcPr>
        <w:p w14:paraId="68D59221" w14:textId="08A85EFF" w:rsidR="00E8497D" w:rsidRPr="005E2CF5" w:rsidRDefault="00E8497D">
          <w:pPr>
            <w:pStyle w:val="Footer"/>
            <w:rPr>
              <w:color w:val="1F3864" w:themeColor="accent5" w:themeShade="80"/>
              <w:sz w:val="16"/>
              <w:szCs w:val="16"/>
            </w:rPr>
          </w:pPr>
        </w:p>
      </w:tc>
      <w:tc>
        <w:tcPr>
          <w:tcW w:w="1805" w:type="dxa"/>
        </w:tcPr>
        <w:p w14:paraId="6453F7FE" w14:textId="77777777" w:rsidR="00E8497D" w:rsidRPr="005E2CF5" w:rsidRDefault="00E8497D">
          <w:pPr>
            <w:pStyle w:val="Footer"/>
            <w:rPr>
              <w:color w:val="1F3864" w:themeColor="accent5" w:themeShade="80"/>
              <w:sz w:val="16"/>
              <w:szCs w:val="16"/>
            </w:rPr>
          </w:pPr>
        </w:p>
      </w:tc>
      <w:tc>
        <w:tcPr>
          <w:tcW w:w="1805" w:type="dxa"/>
        </w:tcPr>
        <w:p w14:paraId="045DBCB8" w14:textId="77777777" w:rsidR="00E8497D" w:rsidRPr="005E2CF5" w:rsidRDefault="00E8497D">
          <w:pPr>
            <w:pStyle w:val="Footer"/>
            <w:rPr>
              <w:color w:val="1F3864" w:themeColor="accent5" w:themeShade="80"/>
              <w:sz w:val="16"/>
              <w:szCs w:val="16"/>
            </w:rPr>
          </w:pPr>
        </w:p>
      </w:tc>
      <w:tc>
        <w:tcPr>
          <w:tcW w:w="1805" w:type="dxa"/>
        </w:tcPr>
        <w:p w14:paraId="40E3CD41" w14:textId="77777777" w:rsidR="00E8497D" w:rsidRPr="005E2CF5" w:rsidRDefault="00E8497D">
          <w:pPr>
            <w:pStyle w:val="Footer"/>
            <w:rPr>
              <w:color w:val="1F3864" w:themeColor="accent5" w:themeShade="80"/>
              <w:sz w:val="16"/>
              <w:szCs w:val="16"/>
            </w:rPr>
          </w:pPr>
        </w:p>
      </w:tc>
      <w:tc>
        <w:tcPr>
          <w:tcW w:w="1806" w:type="dxa"/>
        </w:tcPr>
        <w:p w14:paraId="56B612D0" w14:textId="77777777" w:rsidR="00E8497D" w:rsidRPr="005E2CF5" w:rsidRDefault="00E8497D">
          <w:pPr>
            <w:pStyle w:val="Footer"/>
            <w:rPr>
              <w:color w:val="1F3864" w:themeColor="accent5" w:themeShade="80"/>
              <w:sz w:val="16"/>
              <w:szCs w:val="16"/>
            </w:rPr>
          </w:pPr>
        </w:p>
      </w:tc>
    </w:tr>
    <w:tr w:rsidR="00E8497D" w:rsidRPr="005E2CF5" w14:paraId="59D97061" w14:textId="21FC9CD1" w:rsidTr="00F670EB">
      <w:tc>
        <w:tcPr>
          <w:tcW w:w="1805" w:type="dxa"/>
        </w:tcPr>
        <w:p w14:paraId="5888E533" w14:textId="2839C45E"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Contributors:</w:t>
          </w:r>
        </w:p>
      </w:tc>
      <w:tc>
        <w:tcPr>
          <w:tcW w:w="1805" w:type="dxa"/>
        </w:tcPr>
        <w:p w14:paraId="16CDCD0A" w14:textId="0599E5A9" w:rsidR="00E8497D" w:rsidRPr="005E2CF5" w:rsidRDefault="00E8497D" w:rsidP="00F670EB">
          <w:pPr>
            <w:pStyle w:val="Footer"/>
            <w:rPr>
              <w:color w:val="1F3864" w:themeColor="accent5" w:themeShade="80"/>
              <w:sz w:val="16"/>
              <w:szCs w:val="16"/>
            </w:rPr>
          </w:pPr>
        </w:p>
      </w:tc>
      <w:tc>
        <w:tcPr>
          <w:tcW w:w="1805" w:type="dxa"/>
        </w:tcPr>
        <w:p w14:paraId="703FC79B" w14:textId="2FCCB3E2" w:rsidR="00E8497D" w:rsidRPr="005E2CF5" w:rsidRDefault="00E8497D" w:rsidP="00F670EB">
          <w:pPr>
            <w:pStyle w:val="Footer"/>
            <w:rPr>
              <w:color w:val="1F3864" w:themeColor="accent5" w:themeShade="80"/>
              <w:sz w:val="16"/>
              <w:szCs w:val="16"/>
            </w:rPr>
          </w:pPr>
        </w:p>
      </w:tc>
      <w:tc>
        <w:tcPr>
          <w:tcW w:w="1805" w:type="dxa"/>
        </w:tcPr>
        <w:p w14:paraId="5FC43164" w14:textId="77777777" w:rsidR="00E8497D" w:rsidRPr="005E2CF5" w:rsidRDefault="00E8497D" w:rsidP="00F670EB">
          <w:pPr>
            <w:pStyle w:val="Footer"/>
            <w:rPr>
              <w:color w:val="1F3864" w:themeColor="accent5" w:themeShade="80"/>
              <w:sz w:val="16"/>
              <w:szCs w:val="16"/>
            </w:rPr>
          </w:pPr>
        </w:p>
      </w:tc>
      <w:tc>
        <w:tcPr>
          <w:tcW w:w="1806" w:type="dxa"/>
        </w:tcPr>
        <w:p w14:paraId="7318BCF0" w14:textId="77777777" w:rsidR="00E8497D" w:rsidRPr="005E2CF5" w:rsidRDefault="00E8497D" w:rsidP="00F670EB">
          <w:pPr>
            <w:pStyle w:val="Footer"/>
            <w:rPr>
              <w:color w:val="1F3864" w:themeColor="accent5" w:themeShade="80"/>
              <w:sz w:val="16"/>
              <w:szCs w:val="16"/>
            </w:rPr>
          </w:pPr>
        </w:p>
      </w:tc>
    </w:tr>
    <w:tr w:rsidR="00E8497D" w:rsidRPr="005E2CF5" w14:paraId="6FA115CA" w14:textId="17153A2D" w:rsidTr="00F670EB">
      <w:tc>
        <w:tcPr>
          <w:tcW w:w="1805" w:type="dxa"/>
        </w:tcPr>
        <w:p w14:paraId="05B928CF" w14:textId="4B2F0651" w:rsidR="00E8497D" w:rsidRPr="005E2CF5" w:rsidRDefault="00E8497D" w:rsidP="00F670EB">
          <w:pPr>
            <w:pStyle w:val="Footer"/>
            <w:rPr>
              <w:color w:val="1F3864" w:themeColor="accent5" w:themeShade="80"/>
              <w:sz w:val="16"/>
              <w:szCs w:val="16"/>
            </w:rPr>
          </w:pPr>
          <w:proofErr w:type="spellStart"/>
          <w:r w:rsidRPr="005E2CF5">
            <w:rPr>
              <w:color w:val="1F3864" w:themeColor="accent5" w:themeShade="80"/>
              <w:sz w:val="16"/>
              <w:szCs w:val="16"/>
            </w:rPr>
            <w:t>Dominc</w:t>
          </w:r>
          <w:proofErr w:type="spellEnd"/>
          <w:r w:rsidRPr="005E2CF5">
            <w:rPr>
              <w:color w:val="1F3864" w:themeColor="accent5" w:themeShade="80"/>
              <w:sz w:val="16"/>
              <w:szCs w:val="16"/>
            </w:rPr>
            <w:t xml:space="preserve"> van der Wal</w:t>
          </w:r>
        </w:p>
      </w:tc>
      <w:tc>
        <w:tcPr>
          <w:tcW w:w="1805" w:type="dxa"/>
        </w:tcPr>
        <w:p w14:paraId="2B5F526F" w14:textId="638E016C"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 xml:space="preserve">Nicola </w:t>
          </w:r>
          <w:proofErr w:type="spellStart"/>
          <w:r w:rsidRPr="005E2CF5">
            <w:rPr>
              <w:color w:val="1F3864" w:themeColor="accent5" w:themeShade="80"/>
              <w:sz w:val="16"/>
              <w:szCs w:val="16"/>
            </w:rPr>
            <w:t>Margiotta</w:t>
          </w:r>
          <w:proofErr w:type="spellEnd"/>
        </w:p>
      </w:tc>
      <w:tc>
        <w:tcPr>
          <w:tcW w:w="1805" w:type="dxa"/>
        </w:tcPr>
        <w:p w14:paraId="02EA3FE0" w14:textId="3E189EF1"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Ruth Lynch</w:t>
          </w:r>
        </w:p>
      </w:tc>
      <w:tc>
        <w:tcPr>
          <w:tcW w:w="1805" w:type="dxa"/>
        </w:tcPr>
        <w:p w14:paraId="2FB82873" w14:textId="1BA19616"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Joseph Kitchen</w:t>
          </w:r>
        </w:p>
      </w:tc>
      <w:tc>
        <w:tcPr>
          <w:tcW w:w="1806" w:type="dxa"/>
        </w:tcPr>
        <w:p w14:paraId="246594E9" w14:textId="21078018"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Carolyn Boxall</w:t>
          </w:r>
        </w:p>
      </w:tc>
    </w:tr>
    <w:tr w:rsidR="00E8497D" w:rsidRPr="005E2CF5" w14:paraId="7334CA2D" w14:textId="680E69D6" w:rsidTr="00F670EB">
      <w:tc>
        <w:tcPr>
          <w:tcW w:w="1805" w:type="dxa"/>
        </w:tcPr>
        <w:p w14:paraId="11CDE70A" w14:textId="661225CB"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 xml:space="preserve">Tom </w:t>
          </w:r>
          <w:proofErr w:type="spellStart"/>
          <w:r w:rsidRPr="005E2CF5">
            <w:rPr>
              <w:color w:val="1F3864" w:themeColor="accent5" w:themeShade="80"/>
              <w:sz w:val="16"/>
              <w:szCs w:val="16"/>
            </w:rPr>
            <w:t>Bullmore</w:t>
          </w:r>
          <w:proofErr w:type="spellEnd"/>
        </w:p>
      </w:tc>
      <w:tc>
        <w:tcPr>
          <w:tcW w:w="1805" w:type="dxa"/>
        </w:tcPr>
        <w:p w14:paraId="23253065" w14:textId="6D3829D5"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Steven Winder</w:t>
          </w:r>
        </w:p>
      </w:tc>
      <w:tc>
        <w:tcPr>
          <w:tcW w:w="1805" w:type="dxa"/>
        </w:tcPr>
        <w:p w14:paraId="64BE4A49" w14:textId="51964DE1"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Greg Thomas</w:t>
          </w:r>
        </w:p>
      </w:tc>
      <w:tc>
        <w:tcPr>
          <w:tcW w:w="1805" w:type="dxa"/>
        </w:tcPr>
        <w:p w14:paraId="2C813F6C" w14:textId="37C9D1BD"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Ross Howarth</w:t>
          </w:r>
        </w:p>
      </w:tc>
      <w:tc>
        <w:tcPr>
          <w:tcW w:w="1806" w:type="dxa"/>
        </w:tcPr>
        <w:p w14:paraId="0BFF239E" w14:textId="54802244" w:rsidR="00E8497D" w:rsidRPr="005E2CF5" w:rsidRDefault="00E8497D" w:rsidP="00F670EB">
          <w:pPr>
            <w:pStyle w:val="Footer"/>
            <w:rPr>
              <w:color w:val="1F3864" w:themeColor="accent5" w:themeShade="80"/>
              <w:sz w:val="16"/>
              <w:szCs w:val="16"/>
            </w:rPr>
          </w:pPr>
          <w:r w:rsidRPr="005E2CF5">
            <w:rPr>
              <w:color w:val="1F3864" w:themeColor="accent5" w:themeShade="80"/>
              <w:sz w:val="16"/>
              <w:szCs w:val="16"/>
            </w:rPr>
            <w:t>Thomas Bartlett</w:t>
          </w:r>
        </w:p>
      </w:tc>
    </w:tr>
  </w:tbl>
  <w:p w14:paraId="4B3D239F" w14:textId="77777777" w:rsidR="00E8497D" w:rsidRDefault="00E849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9149" w14:textId="77777777" w:rsidR="00E8497D" w:rsidRDefault="00E8497D" w:rsidP="00704BAD">
    <w:pPr>
      <w:spacing w:after="0" w:line="240" w:lineRule="auto"/>
    </w:pP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964"/>
      <w:gridCol w:w="7722"/>
    </w:tblGrid>
    <w:tr w:rsidR="00E8497D" w:rsidRPr="008414B9" w14:paraId="02D53CCF" w14:textId="77777777" w:rsidTr="00704BAD">
      <w:trPr>
        <w:cantSplit/>
        <w:jc w:val="center"/>
      </w:trPr>
      <w:tc>
        <w:tcPr>
          <w:tcW w:w="340" w:type="dxa"/>
          <w:tcBorders>
            <w:top w:val="single" w:sz="12" w:space="0" w:color="auto"/>
          </w:tcBorders>
        </w:tcPr>
        <w:p w14:paraId="60ACAB22" w14:textId="77777777" w:rsidR="00E8497D" w:rsidRPr="008414B9" w:rsidRDefault="00E8497D">
          <w:pPr>
            <w:pStyle w:val="Footer"/>
            <w:rPr>
              <w:sz w:val="4"/>
              <w:szCs w:val="4"/>
            </w:rPr>
          </w:pPr>
        </w:p>
      </w:tc>
      <w:tc>
        <w:tcPr>
          <w:tcW w:w="964" w:type="dxa"/>
          <w:tcBorders>
            <w:top w:val="single" w:sz="12" w:space="0" w:color="auto"/>
          </w:tcBorders>
        </w:tcPr>
        <w:p w14:paraId="5B2E1B28" w14:textId="77777777" w:rsidR="00E8497D" w:rsidRPr="008414B9" w:rsidRDefault="00E8497D">
          <w:pPr>
            <w:pStyle w:val="Footer"/>
            <w:rPr>
              <w:sz w:val="4"/>
              <w:szCs w:val="4"/>
            </w:rPr>
          </w:pPr>
        </w:p>
      </w:tc>
      <w:tc>
        <w:tcPr>
          <w:tcW w:w="0" w:type="auto"/>
        </w:tcPr>
        <w:p w14:paraId="12D4A546" w14:textId="77777777" w:rsidR="00E8497D" w:rsidRPr="008414B9" w:rsidRDefault="00E8497D">
          <w:pPr>
            <w:pStyle w:val="Footer"/>
            <w:rPr>
              <w:sz w:val="4"/>
              <w:szCs w:val="4"/>
            </w:rPr>
          </w:pPr>
        </w:p>
      </w:tc>
    </w:tr>
    <w:tr w:rsidR="00E8497D" w14:paraId="70F9D2DE" w14:textId="77777777" w:rsidTr="00704BAD">
      <w:trPr>
        <w:cantSplit/>
        <w:trHeight w:val="454"/>
        <w:jc w:val="center"/>
      </w:trPr>
      <w:tc>
        <w:tcPr>
          <w:tcW w:w="340" w:type="dxa"/>
          <w:shd w:val="clear" w:color="auto" w:fill="000000" w:themeFill="text1"/>
          <w:tcMar>
            <w:left w:w="57" w:type="dxa"/>
            <w:right w:w="57" w:type="dxa"/>
          </w:tcMar>
        </w:tcPr>
        <w:p w14:paraId="498A8486" w14:textId="5682B003" w:rsidR="00E8497D" w:rsidRPr="00704BAD" w:rsidRDefault="00E8497D" w:rsidP="00704BAD">
          <w:pPr>
            <w:pStyle w:val="Footer"/>
            <w:jc w:val="center"/>
            <w:rPr>
              <w:sz w:val="18"/>
              <w:szCs w:val="18"/>
            </w:rPr>
          </w:pPr>
          <w:r w:rsidRPr="00704BAD">
            <w:rPr>
              <w:color w:val="FFFFFF" w:themeColor="background1"/>
              <w:sz w:val="18"/>
              <w:szCs w:val="18"/>
            </w:rPr>
            <w:fldChar w:fldCharType="begin"/>
          </w:r>
          <w:r w:rsidRPr="00704BAD">
            <w:rPr>
              <w:color w:val="FFFFFF" w:themeColor="background1"/>
              <w:sz w:val="18"/>
              <w:szCs w:val="18"/>
            </w:rPr>
            <w:instrText xml:space="preserve"> PAGE   \* MERGEFORMAT </w:instrText>
          </w:r>
          <w:r w:rsidRPr="00704BAD">
            <w:rPr>
              <w:color w:val="FFFFFF" w:themeColor="background1"/>
              <w:sz w:val="18"/>
              <w:szCs w:val="18"/>
            </w:rPr>
            <w:fldChar w:fldCharType="separate"/>
          </w:r>
          <w:r w:rsidR="009A62BB">
            <w:rPr>
              <w:noProof/>
              <w:color w:val="FFFFFF" w:themeColor="background1"/>
              <w:sz w:val="18"/>
              <w:szCs w:val="18"/>
            </w:rPr>
            <w:t>20</w:t>
          </w:r>
          <w:r w:rsidRPr="00704BAD">
            <w:rPr>
              <w:noProof/>
              <w:color w:val="FFFFFF" w:themeColor="background1"/>
              <w:sz w:val="18"/>
              <w:szCs w:val="18"/>
            </w:rPr>
            <w:fldChar w:fldCharType="end"/>
          </w:r>
        </w:p>
      </w:tc>
      <w:tc>
        <w:tcPr>
          <w:tcW w:w="964" w:type="dxa"/>
        </w:tcPr>
        <w:p w14:paraId="620AF2C7" w14:textId="77777777" w:rsidR="00E8497D" w:rsidRDefault="00E8497D">
          <w:pPr>
            <w:pStyle w:val="Footer"/>
          </w:pPr>
        </w:p>
      </w:tc>
      <w:tc>
        <w:tcPr>
          <w:tcW w:w="0" w:type="auto"/>
        </w:tcPr>
        <w:p w14:paraId="5910B4ED" w14:textId="77777777" w:rsidR="00E8497D" w:rsidRDefault="00E8497D">
          <w:pPr>
            <w:pStyle w:val="Footer"/>
          </w:pPr>
        </w:p>
      </w:tc>
    </w:tr>
  </w:tbl>
  <w:p w14:paraId="695B0521" w14:textId="77777777" w:rsidR="00E8497D" w:rsidRDefault="00E849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5383" w14:textId="77777777" w:rsidR="00E8497D" w:rsidRDefault="00E8497D" w:rsidP="00435B42">
    <w:pPr>
      <w:spacing w:after="0" w:line="240" w:lineRule="auto"/>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7"/>
      <w:gridCol w:w="964"/>
      <w:gridCol w:w="340"/>
    </w:tblGrid>
    <w:tr w:rsidR="00E8497D" w:rsidRPr="00656DD2" w14:paraId="679BB72E" w14:textId="77777777" w:rsidTr="009E0073">
      <w:trPr>
        <w:trHeight w:val="56"/>
        <w:jc w:val="center"/>
      </w:trPr>
      <w:tc>
        <w:tcPr>
          <w:tcW w:w="7747" w:type="dxa"/>
          <w:shd w:val="clear" w:color="auto" w:fill="auto"/>
        </w:tcPr>
        <w:p w14:paraId="3E89F1CE" w14:textId="77777777" w:rsidR="00E8497D" w:rsidRPr="00656DD2" w:rsidRDefault="00E8497D" w:rsidP="00950CD2">
          <w:pPr>
            <w:pStyle w:val="Footer"/>
            <w:jc w:val="center"/>
            <w:rPr>
              <w:sz w:val="4"/>
              <w:szCs w:val="4"/>
            </w:rPr>
          </w:pPr>
        </w:p>
      </w:tc>
      <w:tc>
        <w:tcPr>
          <w:tcW w:w="964" w:type="dxa"/>
          <w:tcBorders>
            <w:top w:val="single" w:sz="12" w:space="0" w:color="1F3864" w:themeColor="accent5" w:themeShade="80"/>
          </w:tcBorders>
          <w:shd w:val="clear" w:color="auto" w:fill="auto"/>
        </w:tcPr>
        <w:p w14:paraId="4D0E5050" w14:textId="77777777" w:rsidR="00E8497D" w:rsidRPr="00656DD2" w:rsidRDefault="00E8497D" w:rsidP="00950CD2">
          <w:pPr>
            <w:pStyle w:val="Footer"/>
            <w:jc w:val="center"/>
            <w:rPr>
              <w:sz w:val="4"/>
              <w:szCs w:val="4"/>
            </w:rPr>
          </w:pPr>
        </w:p>
      </w:tc>
      <w:tc>
        <w:tcPr>
          <w:tcW w:w="340" w:type="dxa"/>
          <w:tcBorders>
            <w:top w:val="single" w:sz="12" w:space="0" w:color="1F3864" w:themeColor="accent5" w:themeShade="80"/>
          </w:tcBorders>
          <w:shd w:val="clear" w:color="auto" w:fill="auto"/>
          <w:tcMar>
            <w:left w:w="57" w:type="dxa"/>
            <w:right w:w="57" w:type="dxa"/>
          </w:tcMar>
        </w:tcPr>
        <w:p w14:paraId="392BFD28" w14:textId="77777777" w:rsidR="00E8497D" w:rsidRPr="00656DD2" w:rsidRDefault="00E8497D" w:rsidP="00950CD2">
          <w:pPr>
            <w:pStyle w:val="Footer"/>
            <w:jc w:val="center"/>
            <w:rPr>
              <w:color w:val="FFFFFF" w:themeColor="background1"/>
              <w:sz w:val="4"/>
              <w:szCs w:val="4"/>
            </w:rPr>
          </w:pPr>
        </w:p>
      </w:tc>
    </w:tr>
    <w:tr w:rsidR="00E8497D" w14:paraId="1F37FC13" w14:textId="77777777" w:rsidTr="009E0073">
      <w:trPr>
        <w:trHeight w:val="454"/>
        <w:jc w:val="center"/>
      </w:trPr>
      <w:tc>
        <w:tcPr>
          <w:tcW w:w="7747" w:type="dxa"/>
        </w:tcPr>
        <w:p w14:paraId="5BCF3CC5" w14:textId="77777777" w:rsidR="00E8497D" w:rsidRDefault="00E8497D" w:rsidP="00950CD2">
          <w:pPr>
            <w:pStyle w:val="Footer"/>
            <w:jc w:val="center"/>
            <w:rPr>
              <w:sz w:val="20"/>
              <w:szCs w:val="20"/>
            </w:rPr>
          </w:pPr>
        </w:p>
      </w:tc>
      <w:tc>
        <w:tcPr>
          <w:tcW w:w="964" w:type="dxa"/>
        </w:tcPr>
        <w:p w14:paraId="385B4256" w14:textId="77777777" w:rsidR="00E8497D" w:rsidRDefault="00E8497D" w:rsidP="00950CD2">
          <w:pPr>
            <w:pStyle w:val="Footer"/>
            <w:jc w:val="center"/>
            <w:rPr>
              <w:sz w:val="20"/>
              <w:szCs w:val="20"/>
            </w:rPr>
          </w:pPr>
        </w:p>
      </w:tc>
      <w:tc>
        <w:tcPr>
          <w:tcW w:w="340" w:type="dxa"/>
          <w:shd w:val="clear" w:color="auto" w:fill="000000" w:themeFill="text1"/>
          <w:tcMar>
            <w:left w:w="57" w:type="dxa"/>
            <w:right w:w="57" w:type="dxa"/>
          </w:tcMar>
        </w:tcPr>
        <w:p w14:paraId="200C9EE2" w14:textId="2431E198" w:rsidR="00E8497D" w:rsidRPr="00280FF0" w:rsidRDefault="00E8497D" w:rsidP="00950CD2">
          <w:pPr>
            <w:pStyle w:val="Footer"/>
            <w:jc w:val="center"/>
            <w:rPr>
              <w:color w:val="FFFFFF" w:themeColor="background1"/>
              <w:sz w:val="20"/>
              <w:szCs w:val="20"/>
            </w:rPr>
          </w:pPr>
          <w:r w:rsidRPr="00280FF0">
            <w:rPr>
              <w:color w:val="FFFFFF" w:themeColor="background1"/>
              <w:sz w:val="20"/>
              <w:szCs w:val="20"/>
            </w:rPr>
            <w:fldChar w:fldCharType="begin"/>
          </w:r>
          <w:r w:rsidRPr="00280FF0">
            <w:rPr>
              <w:color w:val="FFFFFF" w:themeColor="background1"/>
              <w:sz w:val="20"/>
              <w:szCs w:val="20"/>
            </w:rPr>
            <w:instrText xml:space="preserve"> PAGE   \* MERGEFORMAT </w:instrText>
          </w:r>
          <w:r w:rsidRPr="00280FF0">
            <w:rPr>
              <w:color w:val="FFFFFF" w:themeColor="background1"/>
              <w:sz w:val="20"/>
              <w:szCs w:val="20"/>
            </w:rPr>
            <w:fldChar w:fldCharType="separate"/>
          </w:r>
          <w:r w:rsidR="009A62BB">
            <w:rPr>
              <w:noProof/>
              <w:color w:val="FFFFFF" w:themeColor="background1"/>
              <w:sz w:val="20"/>
              <w:szCs w:val="20"/>
            </w:rPr>
            <w:t>3</w:t>
          </w:r>
          <w:r w:rsidRPr="00280FF0">
            <w:rPr>
              <w:noProof/>
              <w:color w:val="FFFFFF" w:themeColor="background1"/>
              <w:sz w:val="20"/>
              <w:szCs w:val="20"/>
            </w:rPr>
            <w:fldChar w:fldCharType="end"/>
          </w:r>
        </w:p>
      </w:tc>
    </w:tr>
  </w:tbl>
  <w:p w14:paraId="7DFA9794" w14:textId="77777777" w:rsidR="00E8497D" w:rsidRPr="00435B42" w:rsidRDefault="00E8497D" w:rsidP="00435B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D58C" w14:textId="77777777" w:rsidR="00E8497D" w:rsidRDefault="00E8497D" w:rsidP="00704BAD">
    <w:pPr>
      <w:spacing w:after="0" w:line="240" w:lineRule="auto"/>
    </w:pP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2"/>
      <w:gridCol w:w="964"/>
      <w:gridCol w:w="340"/>
    </w:tblGrid>
    <w:tr w:rsidR="00E8497D" w:rsidRPr="008414B9" w14:paraId="5C6B4D08" w14:textId="77777777" w:rsidTr="008414B9">
      <w:trPr>
        <w:jc w:val="center"/>
      </w:trPr>
      <w:tc>
        <w:tcPr>
          <w:tcW w:w="0" w:type="auto"/>
        </w:tcPr>
        <w:p w14:paraId="37A2C714" w14:textId="77777777" w:rsidR="00E8497D" w:rsidRPr="008414B9" w:rsidRDefault="00E8497D" w:rsidP="003C6BBE">
          <w:pPr>
            <w:pStyle w:val="Footer"/>
            <w:rPr>
              <w:sz w:val="4"/>
              <w:szCs w:val="4"/>
            </w:rPr>
          </w:pPr>
        </w:p>
      </w:tc>
      <w:tc>
        <w:tcPr>
          <w:tcW w:w="964" w:type="dxa"/>
          <w:tcBorders>
            <w:top w:val="single" w:sz="12" w:space="0" w:color="1F3864" w:themeColor="accent5" w:themeShade="80"/>
          </w:tcBorders>
        </w:tcPr>
        <w:p w14:paraId="7ABC1A96" w14:textId="77777777" w:rsidR="00E8497D" w:rsidRPr="008414B9" w:rsidRDefault="00E8497D" w:rsidP="003C6BBE">
          <w:pPr>
            <w:pStyle w:val="Footer"/>
            <w:rPr>
              <w:sz w:val="4"/>
              <w:szCs w:val="4"/>
            </w:rPr>
          </w:pPr>
        </w:p>
      </w:tc>
      <w:tc>
        <w:tcPr>
          <w:tcW w:w="340" w:type="dxa"/>
          <w:tcBorders>
            <w:top w:val="single" w:sz="12" w:space="0" w:color="1F3864" w:themeColor="accent5" w:themeShade="80"/>
          </w:tcBorders>
        </w:tcPr>
        <w:p w14:paraId="1D54E1E8" w14:textId="77777777" w:rsidR="00E8497D" w:rsidRPr="008414B9" w:rsidRDefault="00E8497D" w:rsidP="003C6BBE">
          <w:pPr>
            <w:pStyle w:val="Footer"/>
            <w:rPr>
              <w:sz w:val="4"/>
              <w:szCs w:val="4"/>
            </w:rPr>
          </w:pPr>
        </w:p>
      </w:tc>
    </w:tr>
    <w:tr w:rsidR="00E8497D" w14:paraId="42E502A3" w14:textId="77777777" w:rsidTr="008414B9">
      <w:trPr>
        <w:trHeight w:val="454"/>
        <w:jc w:val="center"/>
      </w:trPr>
      <w:tc>
        <w:tcPr>
          <w:tcW w:w="0" w:type="auto"/>
        </w:tcPr>
        <w:p w14:paraId="1B771E40" w14:textId="77777777" w:rsidR="00E8497D" w:rsidRDefault="00E8497D" w:rsidP="003C6BBE">
          <w:pPr>
            <w:pStyle w:val="Footer"/>
          </w:pPr>
        </w:p>
      </w:tc>
      <w:tc>
        <w:tcPr>
          <w:tcW w:w="964" w:type="dxa"/>
        </w:tcPr>
        <w:p w14:paraId="43D037C5" w14:textId="77777777" w:rsidR="00E8497D" w:rsidRDefault="00E8497D" w:rsidP="003C6BBE">
          <w:pPr>
            <w:pStyle w:val="Footer"/>
          </w:pPr>
        </w:p>
      </w:tc>
      <w:tc>
        <w:tcPr>
          <w:tcW w:w="340" w:type="dxa"/>
          <w:shd w:val="clear" w:color="auto" w:fill="000000" w:themeFill="text1"/>
          <w:tcMar>
            <w:left w:w="57" w:type="dxa"/>
            <w:right w:w="57" w:type="dxa"/>
          </w:tcMar>
        </w:tcPr>
        <w:p w14:paraId="25F85516" w14:textId="6D244011" w:rsidR="00E8497D" w:rsidRPr="008414B9" w:rsidRDefault="00E8497D" w:rsidP="008414B9">
          <w:pPr>
            <w:pStyle w:val="Footer"/>
            <w:jc w:val="center"/>
            <w:rPr>
              <w:sz w:val="18"/>
              <w:szCs w:val="18"/>
            </w:rPr>
          </w:pPr>
          <w:r w:rsidRPr="008414B9">
            <w:rPr>
              <w:color w:val="FFFFFF" w:themeColor="background1"/>
              <w:sz w:val="18"/>
              <w:szCs w:val="18"/>
              <w:highlight w:val="black"/>
            </w:rPr>
            <w:fldChar w:fldCharType="begin"/>
          </w:r>
          <w:r w:rsidRPr="008414B9">
            <w:rPr>
              <w:color w:val="FFFFFF" w:themeColor="background1"/>
              <w:sz w:val="18"/>
              <w:szCs w:val="18"/>
              <w:highlight w:val="black"/>
            </w:rPr>
            <w:instrText xml:space="preserve"> PAGE   \* MERGEFORMAT </w:instrText>
          </w:r>
          <w:r w:rsidRPr="008414B9">
            <w:rPr>
              <w:color w:val="FFFFFF" w:themeColor="background1"/>
              <w:sz w:val="18"/>
              <w:szCs w:val="18"/>
              <w:highlight w:val="black"/>
            </w:rPr>
            <w:fldChar w:fldCharType="separate"/>
          </w:r>
          <w:r>
            <w:rPr>
              <w:noProof/>
              <w:color w:val="FFFFFF" w:themeColor="background1"/>
              <w:sz w:val="18"/>
              <w:szCs w:val="18"/>
              <w:highlight w:val="black"/>
            </w:rPr>
            <w:t>59</w:t>
          </w:r>
          <w:r w:rsidRPr="008414B9">
            <w:rPr>
              <w:noProof/>
              <w:color w:val="FFFFFF" w:themeColor="background1"/>
              <w:sz w:val="18"/>
              <w:szCs w:val="18"/>
              <w:highlight w:val="black"/>
            </w:rPr>
            <w:fldChar w:fldCharType="end"/>
          </w:r>
        </w:p>
      </w:tc>
    </w:tr>
  </w:tbl>
  <w:p w14:paraId="537A237A" w14:textId="77777777" w:rsidR="00E8497D" w:rsidRPr="003C6BBE" w:rsidRDefault="00E8497D" w:rsidP="003C6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81BD1" w14:textId="77777777" w:rsidR="007A49B2" w:rsidRDefault="007A49B2" w:rsidP="005474F7">
      <w:pPr>
        <w:spacing w:after="0" w:line="240" w:lineRule="auto"/>
      </w:pPr>
      <w:r>
        <w:separator/>
      </w:r>
    </w:p>
  </w:footnote>
  <w:footnote w:type="continuationSeparator" w:id="0">
    <w:p w14:paraId="736DD58E" w14:textId="77777777" w:rsidR="007A49B2" w:rsidRDefault="007A49B2" w:rsidP="005474F7">
      <w:pPr>
        <w:spacing w:after="0" w:line="240" w:lineRule="auto"/>
      </w:pPr>
      <w:r>
        <w:continuationSeparator/>
      </w:r>
    </w:p>
  </w:footnote>
  <w:footnote w:id="1">
    <w:p w14:paraId="276C8D85" w14:textId="2179C312" w:rsidR="00E8497D" w:rsidRDefault="00E8497D">
      <w:pPr>
        <w:pStyle w:val="FootnoteText"/>
      </w:pPr>
      <w:r>
        <w:rPr>
          <w:rStyle w:val="FootnoteReference"/>
        </w:rPr>
        <w:footnoteRef/>
      </w:r>
      <w:r>
        <w:t xml:space="preserve"> [AGO text re Special Counsel to be added here.]</w:t>
      </w:r>
    </w:p>
  </w:footnote>
  <w:footnote w:id="2">
    <w:p w14:paraId="7AF8B444" w14:textId="77777777" w:rsidR="00E8497D" w:rsidRPr="002179B2" w:rsidRDefault="00E8497D" w:rsidP="002179B2">
      <w:pPr>
        <w:pStyle w:val="FootnoteText"/>
      </w:pPr>
      <w:r w:rsidRPr="002179B2">
        <w:rPr>
          <w:rStyle w:val="FootnoteReference"/>
          <w:vertAlign w:val="baseline"/>
        </w:rPr>
        <w:footnoteRef/>
      </w:r>
      <w:r w:rsidRPr="002179B2">
        <w:t xml:space="preserve"> See, for example, rule 37(1) of the Special Immigration Appeals Commission (Procedure) Rules 2003, which defines CLOSED material in the SIAC context.</w:t>
      </w:r>
    </w:p>
  </w:footnote>
  <w:footnote w:id="3">
    <w:p w14:paraId="322887DE"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Article 5(4) provides: “</w:t>
      </w:r>
      <w:r w:rsidRPr="00DC14AF">
        <w:rPr>
          <w:rFonts w:cs="Arial"/>
          <w:i/>
          <w:szCs w:val="16"/>
        </w:rPr>
        <w:t>Everyone who is deprived of his liberty by arrest or detention shall be entitled to take proceedings by which the lawfulness of his detention shall be decided speedily by a court and his release ordered if the detention is not lawful</w:t>
      </w:r>
      <w:r w:rsidRPr="00DC14AF">
        <w:rPr>
          <w:rFonts w:cs="Arial"/>
          <w:szCs w:val="16"/>
        </w:rPr>
        <w:t>.”</w:t>
      </w:r>
    </w:p>
  </w:footnote>
  <w:footnote w:id="4">
    <w:p w14:paraId="57F13088"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i/>
          <w:szCs w:val="16"/>
        </w:rPr>
        <w:t>Chahal v The United Kingdom</w:t>
      </w:r>
      <w:r w:rsidRPr="00DC14AF">
        <w:rPr>
          <w:rFonts w:cs="Arial"/>
          <w:szCs w:val="16"/>
        </w:rPr>
        <w:t xml:space="preserve"> - 22414/93 - Grand Chamber Judgment [1996] ECHR 54 (15 November 1996), </w:t>
      </w:r>
      <w:r w:rsidRPr="00DC14AF">
        <w:rPr>
          <w:rFonts w:cs="Arial"/>
          <w:color w:val="000000"/>
          <w:szCs w:val="16"/>
        </w:rPr>
        <w:t>23 EHRR 413</w:t>
      </w:r>
    </w:p>
  </w:footnote>
  <w:footnote w:id="5">
    <w:p w14:paraId="5ADFA5ED" w14:textId="085679D9"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i/>
          <w:szCs w:val="16"/>
        </w:rPr>
        <w:t>Chahal v The United Kingdom</w:t>
      </w:r>
      <w:r w:rsidRPr="00DC14AF">
        <w:rPr>
          <w:rFonts w:cs="Arial"/>
          <w:szCs w:val="16"/>
        </w:rPr>
        <w:t xml:space="preserve"> at paragraph 130</w:t>
      </w:r>
    </w:p>
  </w:footnote>
  <w:footnote w:id="6">
    <w:p w14:paraId="50ED4ABD" w14:textId="7727F8A4"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Although</w:t>
      </w:r>
      <w:r>
        <w:rPr>
          <w:rFonts w:cs="Arial"/>
          <w:szCs w:val="16"/>
        </w:rPr>
        <w:t>,</w:t>
      </w:r>
      <w:r w:rsidRPr="00DC14AF">
        <w:rPr>
          <w:rFonts w:cs="Arial"/>
          <w:szCs w:val="16"/>
        </w:rPr>
        <w:t xml:space="preserve"> in hindsight, this appears to have been a misconception on the part of the ECtHR.</w:t>
      </w:r>
    </w:p>
  </w:footnote>
  <w:footnote w:id="7">
    <w:p w14:paraId="3A59261A" w14:textId="6FB055C5" w:rsidR="00E8497D" w:rsidRPr="00DC14AF" w:rsidRDefault="00E8497D" w:rsidP="00B10848">
      <w:pPr>
        <w:pStyle w:val="FootnoteText"/>
        <w:rPr>
          <w:rFonts w:cs="Arial"/>
          <w:szCs w:val="16"/>
          <w:highlight w:val="cyan"/>
        </w:rPr>
      </w:pPr>
      <w:r w:rsidRPr="00DC14AF">
        <w:rPr>
          <w:rStyle w:val="FootnoteReference"/>
          <w:rFonts w:cs="Arial"/>
          <w:szCs w:val="16"/>
        </w:rPr>
        <w:footnoteRef/>
      </w:r>
      <w:r w:rsidRPr="00DC14AF">
        <w:rPr>
          <w:rFonts w:cs="Arial"/>
          <w:szCs w:val="16"/>
        </w:rPr>
        <w:t>See for example CPR 82.9, R34</w:t>
      </w:r>
      <w:r>
        <w:rPr>
          <w:rFonts w:cs="Arial"/>
          <w:szCs w:val="16"/>
        </w:rPr>
        <w:t>(1) SIAC Procedure Rules 2003,</w:t>
      </w:r>
      <w:r w:rsidRPr="00DC14AF">
        <w:rPr>
          <w:rFonts w:cs="Arial"/>
          <w:szCs w:val="16"/>
        </w:rPr>
        <w:t xml:space="preserve"> Rule 8 of Order 126 in Northern Ireland</w:t>
      </w:r>
      <w:r>
        <w:rPr>
          <w:rFonts w:cs="Arial"/>
          <w:szCs w:val="16"/>
        </w:rPr>
        <w:t xml:space="preserve"> or </w:t>
      </w:r>
      <w:r w:rsidRPr="003442C9">
        <w:rPr>
          <w:rFonts w:cs="Arial"/>
          <w:szCs w:val="16"/>
        </w:rPr>
        <w:t>Rule 4 of The Employment Tribunals (National Security) Rules of Procedure.</w:t>
      </w:r>
      <w:r w:rsidRPr="00DC14AF">
        <w:rPr>
          <w:rFonts w:cs="Arial"/>
          <w:szCs w:val="16"/>
        </w:rPr>
        <w:t xml:space="preserve"> </w:t>
      </w:r>
    </w:p>
  </w:footnote>
  <w:footnote w:id="8">
    <w:p w14:paraId="09178D70"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[2004] 2 AC 134</w:t>
      </w:r>
    </w:p>
  </w:footnote>
  <w:footnote w:id="9">
    <w:p w14:paraId="6799BAEE" w14:textId="52F2A8D8"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[2010] ICR 1034. The Supreme Court subsequently upheld this element of the decision, quoting paragraphs 30–32 of the Court of Appeal judgment. See further at paragraph </w:t>
      </w:r>
      <w:r w:rsidRPr="00DC14AF">
        <w:rPr>
          <w:rFonts w:cs="Arial"/>
          <w:szCs w:val="16"/>
        </w:rPr>
        <w:fldChar w:fldCharType="begin"/>
      </w:r>
      <w:r w:rsidRPr="00DC14AF">
        <w:rPr>
          <w:rFonts w:cs="Arial"/>
          <w:szCs w:val="16"/>
        </w:rPr>
        <w:instrText xml:space="preserve"> REF _Ref524001799 \r \h  \* MERGEFORMAT </w:instrText>
      </w:r>
      <w:r w:rsidRPr="00DC14AF">
        <w:rPr>
          <w:rFonts w:cs="Arial"/>
          <w:szCs w:val="16"/>
        </w:rPr>
      </w:r>
      <w:r w:rsidRPr="00DC14AF">
        <w:rPr>
          <w:rFonts w:cs="Arial"/>
          <w:szCs w:val="16"/>
        </w:rPr>
        <w:fldChar w:fldCharType="separate"/>
      </w:r>
      <w:r>
        <w:rPr>
          <w:rFonts w:cs="Arial"/>
          <w:szCs w:val="16"/>
        </w:rPr>
        <w:t>41</w:t>
      </w:r>
      <w:r w:rsidRPr="00DC14AF">
        <w:rPr>
          <w:rFonts w:cs="Arial"/>
          <w:szCs w:val="16"/>
        </w:rPr>
        <w:fldChar w:fldCharType="end"/>
      </w:r>
      <w:r w:rsidRPr="00DC14AF">
        <w:rPr>
          <w:rFonts w:cs="Arial"/>
          <w:szCs w:val="16"/>
        </w:rPr>
        <w:t xml:space="preserve"> of this manual.</w:t>
      </w:r>
    </w:p>
  </w:footnote>
  <w:footnote w:id="10">
    <w:p w14:paraId="0FA533FA" w14:textId="7E8A7B41"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See the published policy </w:t>
      </w:r>
      <w:hyperlink r:id="rId1" w:history="1">
        <w:r w:rsidRPr="00DC14AF">
          <w:rPr>
            <w:rStyle w:val="Hyperlink"/>
            <w:rFonts w:cs="Arial"/>
            <w:szCs w:val="16"/>
          </w:rPr>
          <w:t>Government Security Classifications</w:t>
        </w:r>
      </w:hyperlink>
    </w:p>
  </w:footnote>
  <w:footnote w:id="11">
    <w:p w14:paraId="4FC7A66E" w14:textId="77777777" w:rsidR="00E8497D" w:rsidRPr="00DC14AF" w:rsidRDefault="00E8497D" w:rsidP="003B5A3E">
      <w:pPr>
        <w:pStyle w:val="FootnoteText"/>
        <w:rPr>
          <w:rFonts w:cs="Arial"/>
          <w:szCs w:val="16"/>
        </w:rPr>
      </w:pPr>
      <w:r w:rsidRPr="00DC14AF">
        <w:rPr>
          <w:rStyle w:val="FootnoteReference"/>
          <w:rFonts w:cs="Arial"/>
          <w:szCs w:val="16"/>
        </w:rPr>
        <w:footnoteRef/>
      </w:r>
      <w:r w:rsidRPr="00DC14AF">
        <w:rPr>
          <w:rFonts w:cs="Arial"/>
          <w:szCs w:val="16"/>
        </w:rPr>
        <w:t xml:space="preserve"> [2014] 1 WLR 1071, </w:t>
      </w:r>
      <w:r w:rsidRPr="00DC14AF">
        <w:rPr>
          <w:rFonts w:cs="Arial"/>
          <w:color w:val="000000"/>
          <w:szCs w:val="16"/>
          <w:shd w:val="clear" w:color="auto" w:fill="FFFFFF"/>
        </w:rPr>
        <w:t>[2013] 2 All ER 897</w:t>
      </w:r>
    </w:p>
  </w:footnote>
  <w:footnote w:id="12">
    <w:p w14:paraId="3948B509"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[2012] 2 AC 115</w:t>
      </w:r>
    </w:p>
  </w:footnote>
  <w:footnote w:id="13">
    <w:p w14:paraId="683F3CD5" w14:textId="77777777" w:rsidR="00E8497D" w:rsidRPr="00DC14AF" w:rsidRDefault="00E8497D" w:rsidP="00DA6166">
      <w:pPr>
        <w:pStyle w:val="FootnoteText"/>
        <w:rPr>
          <w:rFonts w:cs="Arial"/>
          <w:szCs w:val="16"/>
        </w:rPr>
      </w:pPr>
      <w:r w:rsidRPr="00DC14AF">
        <w:rPr>
          <w:rStyle w:val="FootnoteReference"/>
          <w:rFonts w:cs="Arial"/>
          <w:szCs w:val="16"/>
        </w:rPr>
        <w:footnoteRef/>
      </w:r>
      <w:r w:rsidRPr="00DC14AF">
        <w:rPr>
          <w:rFonts w:cs="Arial"/>
          <w:szCs w:val="16"/>
        </w:rPr>
        <w:t xml:space="preserve"> SIAC decisions of 14</w:t>
      </w:r>
      <w:r w:rsidRPr="00DC14AF">
        <w:rPr>
          <w:rFonts w:cs="Arial"/>
          <w:szCs w:val="16"/>
          <w:vertAlign w:val="superscript"/>
        </w:rPr>
        <w:t>th</w:t>
      </w:r>
      <w:r w:rsidRPr="00DC14AF">
        <w:rPr>
          <w:rFonts w:cs="Arial"/>
          <w:szCs w:val="16"/>
        </w:rPr>
        <w:t xml:space="preserve"> January 2014 and 8</w:t>
      </w:r>
      <w:r w:rsidRPr="00DC14AF">
        <w:rPr>
          <w:rFonts w:cs="Arial"/>
          <w:szCs w:val="16"/>
          <w:vertAlign w:val="superscript"/>
        </w:rPr>
        <w:t>th</w:t>
      </w:r>
      <w:r w:rsidRPr="00DC14AF">
        <w:rPr>
          <w:rFonts w:cs="Arial"/>
          <w:szCs w:val="16"/>
        </w:rPr>
        <w:t xml:space="preserve"> May 2014</w:t>
      </w:r>
    </w:p>
  </w:footnote>
  <w:footnote w:id="14">
    <w:p w14:paraId="3B01A4AF"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HMG response to the Constitutional Affairs Select Committee Report – June 2005 Cm 6596</w:t>
      </w:r>
    </w:p>
  </w:footnote>
  <w:footnote w:id="15">
    <w:p w14:paraId="4917A53D"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Seventh Report, Session 2004-5, 3</w:t>
      </w:r>
      <w:r w:rsidRPr="00DC14AF">
        <w:rPr>
          <w:rFonts w:cs="Arial"/>
          <w:szCs w:val="16"/>
          <w:vertAlign w:val="superscript"/>
        </w:rPr>
        <w:t>rd</w:t>
      </w:r>
      <w:r w:rsidRPr="00DC14AF">
        <w:rPr>
          <w:rFonts w:cs="Arial"/>
          <w:szCs w:val="16"/>
        </w:rPr>
        <w:t xml:space="preserve"> April 2005</w:t>
      </w:r>
    </w:p>
  </w:footnote>
  <w:footnote w:id="16">
    <w:p w14:paraId="2B2B02EF"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[2012] AC 452</w:t>
      </w:r>
    </w:p>
  </w:footnote>
  <w:footnote w:id="17">
    <w:p w14:paraId="2C1C4246"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See, for example, </w:t>
      </w:r>
      <w:r w:rsidRPr="00DC14AF">
        <w:rPr>
          <w:rFonts w:cs="Arial"/>
          <w:i/>
          <w:szCs w:val="16"/>
        </w:rPr>
        <w:t xml:space="preserve">Abu Qatada v Secretary of State for the Home Department </w:t>
      </w:r>
      <w:r w:rsidRPr="00DC14AF">
        <w:rPr>
          <w:rFonts w:cs="Arial"/>
          <w:szCs w:val="16"/>
        </w:rPr>
        <w:t>SC/15/2002, 8</w:t>
      </w:r>
      <w:r w:rsidRPr="00DC14AF">
        <w:rPr>
          <w:rFonts w:cs="Arial"/>
          <w:szCs w:val="16"/>
          <w:vertAlign w:val="superscript"/>
        </w:rPr>
        <w:t>th</w:t>
      </w:r>
      <w:r w:rsidRPr="00DC14AF">
        <w:rPr>
          <w:rFonts w:cs="Arial"/>
          <w:szCs w:val="16"/>
        </w:rPr>
        <w:t xml:space="preserve"> March 2004</w:t>
      </w:r>
      <w:r w:rsidRPr="00DC14AF">
        <w:rPr>
          <w:rFonts w:cs="Arial"/>
          <w:i/>
          <w:szCs w:val="16"/>
        </w:rPr>
        <w:t>.</w:t>
      </w:r>
    </w:p>
  </w:footnote>
  <w:footnote w:id="18">
    <w:p w14:paraId="53273ACA"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Or the Bar of Northern Ireland.</w:t>
      </w:r>
    </w:p>
  </w:footnote>
  <w:footnote w:id="19">
    <w:p w14:paraId="23073C8A" w14:textId="2EFB9AAA"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See the SIAC Procedures Rules 2003 R36(2), also CPR 76.25 (Prevention of Terrorism Act 2005) and CPR 82.11 (Justice and Security Act 2013). </w:t>
      </w:r>
    </w:p>
  </w:footnote>
  <w:footnote w:id="20">
    <w:p w14:paraId="67AA35D9" w14:textId="11306F13" w:rsidR="00E8497D" w:rsidRPr="00DC14AF" w:rsidRDefault="00E8497D" w:rsidP="005474F7">
      <w:pPr>
        <w:pStyle w:val="FootnoteText"/>
        <w:jc w:val="both"/>
        <w:rPr>
          <w:rFonts w:cs="Arial"/>
          <w:szCs w:val="16"/>
        </w:rPr>
      </w:pPr>
      <w:r w:rsidRPr="00DC14AF">
        <w:rPr>
          <w:rStyle w:val="FootnoteReference"/>
          <w:rFonts w:cs="Arial"/>
          <w:szCs w:val="16"/>
        </w:rPr>
        <w:footnoteRef/>
      </w:r>
      <w:r w:rsidRPr="00DC14AF">
        <w:rPr>
          <w:rFonts w:cs="Arial"/>
          <w:szCs w:val="16"/>
        </w:rPr>
        <w:t xml:space="preserve"> Whilst a normal lawyer-client relationship does not exist between a Special Advocate and an Excluded Party, those concerned with the communication process agree that some confidentiality principle akin to LPP must exist to protect certain communications originating from a Special Advocate to those whose interests they represent.</w:t>
      </w:r>
    </w:p>
  </w:footnote>
  <w:footnote w:id="21">
    <w:p w14:paraId="2ADC11A9" w14:textId="5EDC9BB3"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See s6(11) JSA 2013</w:t>
      </w:r>
    </w:p>
  </w:footnote>
  <w:footnote w:id="22">
    <w:p w14:paraId="07E0BD1F"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See rule 38 of the SIAC Procedure Rules, also CPR 76.29 (for TPIMs) and CPR 82.14 (JSA matters). </w:t>
      </w:r>
    </w:p>
  </w:footnote>
  <w:footnote w:id="23">
    <w:p w14:paraId="2FCEF96E" w14:textId="2CB97925" w:rsidR="00E8497D" w:rsidRPr="00DC14AF" w:rsidRDefault="00E8497D">
      <w:pPr>
        <w:pStyle w:val="FootnoteText"/>
        <w:rPr>
          <w:rFonts w:cs="Arial"/>
          <w:szCs w:val="16"/>
        </w:rPr>
      </w:pPr>
      <w:r w:rsidRPr="00DC14AF">
        <w:rPr>
          <w:rStyle w:val="FootnoteReference"/>
          <w:rFonts w:cs="Arial"/>
          <w:szCs w:val="16"/>
        </w:rPr>
        <w:footnoteRef/>
      </w:r>
      <w:r>
        <w:rPr>
          <w:rFonts w:cs="Arial"/>
          <w:szCs w:val="16"/>
        </w:rPr>
        <w:t xml:space="preserve"> A</w:t>
      </w:r>
      <w:r w:rsidRPr="00DC14AF">
        <w:rPr>
          <w:rFonts w:cs="Arial"/>
          <w:szCs w:val="16"/>
        </w:rPr>
        <w:t xml:space="preserve"> duty imposed on SIAC by rule 4(3) of the SIAC Procedure Rules 2003.</w:t>
      </w:r>
    </w:p>
  </w:footnote>
  <w:footnote w:id="24">
    <w:p w14:paraId="53C40855"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Rule 35(b) of the SIAC rules and CPR 80.20(b) &amp; 82.10(b) refer to Special Advocates “adducing evidence”.</w:t>
      </w:r>
    </w:p>
  </w:footnote>
  <w:footnote w:id="25">
    <w:p w14:paraId="228075F4" w14:textId="77777777" w:rsidR="00E8497D" w:rsidRPr="00DC14AF" w:rsidRDefault="00E8497D" w:rsidP="0000383A">
      <w:pPr>
        <w:pStyle w:val="FootnoteText"/>
        <w:rPr>
          <w:rFonts w:cs="Arial"/>
          <w:szCs w:val="16"/>
        </w:rPr>
      </w:pPr>
      <w:r w:rsidRPr="00DC14AF">
        <w:rPr>
          <w:rStyle w:val="FootnoteReference"/>
          <w:rFonts w:cs="Arial"/>
          <w:szCs w:val="16"/>
        </w:rPr>
        <w:footnoteRef/>
      </w:r>
      <w:r w:rsidRPr="00DC14AF">
        <w:rPr>
          <w:rFonts w:cs="Arial"/>
          <w:szCs w:val="16"/>
        </w:rPr>
        <w:t xml:space="preserve"> See paragraph 26 of the SIAC Practice Note of 5 October 2016. It is considered that practice in other forums should mirror this.</w:t>
      </w:r>
    </w:p>
  </w:footnote>
  <w:footnote w:id="26">
    <w:p w14:paraId="3539D9A6" w14:textId="77777777" w:rsidR="00E8497D" w:rsidRPr="00DC14AF" w:rsidRDefault="00E8497D" w:rsidP="0000383A">
      <w:pPr>
        <w:pStyle w:val="FootnoteText"/>
        <w:ind w:left="284" w:hanging="284"/>
        <w:rPr>
          <w:rFonts w:cs="Arial"/>
          <w:szCs w:val="16"/>
        </w:rPr>
      </w:pPr>
      <w:r w:rsidRPr="00DC14AF">
        <w:rPr>
          <w:rStyle w:val="FootnoteReference"/>
          <w:rFonts w:cs="Arial"/>
          <w:szCs w:val="16"/>
        </w:rPr>
        <w:footnoteRef/>
      </w:r>
      <w:r w:rsidRPr="00DC14AF">
        <w:rPr>
          <w:rFonts w:cs="Arial"/>
          <w:szCs w:val="16"/>
        </w:rPr>
        <w:t xml:space="preserve"> See for instance rules 48(3) and 47(5) of the SIAC Procedure Rules 2003 SI 2003/1034</w:t>
      </w:r>
    </w:p>
  </w:footnote>
  <w:footnote w:id="27">
    <w:p w14:paraId="20C0CFFC" w14:textId="21A75D3C" w:rsidR="00E8497D" w:rsidRDefault="00E8497D">
      <w:pPr>
        <w:pStyle w:val="FootnoteText"/>
      </w:pPr>
      <w:r>
        <w:rPr>
          <w:rStyle w:val="FootnoteReference"/>
        </w:rPr>
        <w:footnoteRef/>
      </w:r>
      <w:r>
        <w:t xml:space="preserve"> Hansard HL Deb Vol 739 Col 155 17 July 2012 [</w:t>
      </w:r>
      <w:hyperlink r:id="rId2" w:history="1">
        <w:r w:rsidRPr="00FD71FA">
          <w:rPr>
            <w:rStyle w:val="Hyperlink"/>
          </w:rPr>
          <w:t>Online</w:t>
        </w:r>
      </w:hyperlink>
      <w:r>
        <w:t>] [Accessed 19</w:t>
      </w:r>
      <w:r w:rsidRPr="00FD71FA">
        <w:rPr>
          <w:vertAlign w:val="superscript"/>
        </w:rPr>
        <w:t>th</w:t>
      </w:r>
      <w:r>
        <w:t xml:space="preserve"> March 2019]</w:t>
      </w:r>
      <w:r w:rsidRPr="00FD71FA">
        <w:t xml:space="preserve"> Available from: </w:t>
      </w:r>
      <w:hyperlink r:id="rId3" w:history="1">
        <w:r w:rsidRPr="00DF53A9">
          <w:rPr>
            <w:rStyle w:val="Hyperlink"/>
          </w:rPr>
          <w:t>https://www.parliament.uk/</w:t>
        </w:r>
      </w:hyperlink>
      <w:r>
        <w:t xml:space="preserve"> </w:t>
      </w:r>
    </w:p>
  </w:footnote>
  <w:footnote w:id="28">
    <w:p w14:paraId="075F7E24"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szCs w:val="16"/>
        </w:rPr>
        <w:t>E.g. in the Family Court see the President’s Guidance dated 26</w:t>
      </w:r>
      <w:r w:rsidRPr="00DC14AF">
        <w:rPr>
          <w:rFonts w:cs="Arial"/>
          <w:szCs w:val="16"/>
          <w:vertAlign w:val="superscript"/>
        </w:rPr>
        <w:t>th</w:t>
      </w:r>
      <w:r w:rsidRPr="00DC14AF">
        <w:rPr>
          <w:rFonts w:cs="Arial"/>
          <w:szCs w:val="16"/>
        </w:rPr>
        <w:t xml:space="preserve"> March 2015, </w:t>
      </w:r>
      <w:r w:rsidRPr="00DC14AF">
        <w:rPr>
          <w:rFonts w:cs="Arial"/>
          <w:i/>
          <w:szCs w:val="16"/>
        </w:rPr>
        <w:t xml:space="preserve">The Role of the Attorney General in Appointing Advocates to the Court or Special Advocates in Family Cases.  </w:t>
      </w:r>
      <w:r w:rsidRPr="00DC14AF">
        <w:rPr>
          <w:rFonts w:cs="Arial"/>
          <w:szCs w:val="16"/>
        </w:rPr>
        <w:t>This states that the Attorney General will not fund a Special Advocate and that the paying party should be identified before an appointment is requested.</w:t>
      </w:r>
    </w:p>
  </w:footnote>
  <w:footnote w:id="29">
    <w:p w14:paraId="7576CD78"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[2018] 1 WLR 163</w:t>
      </w:r>
    </w:p>
  </w:footnote>
  <w:footnote w:id="30">
    <w:p w14:paraId="69B55CBE"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[2010] 2 AC 269</w:t>
      </w:r>
    </w:p>
  </w:footnote>
  <w:footnote w:id="31">
    <w:p w14:paraId="6DB3D171"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color w:val="000000"/>
          <w:szCs w:val="16"/>
        </w:rPr>
        <w:t>26 BHRC 1, (2009) 49 EHRR 29, [2009] ECHR 301</w:t>
      </w:r>
    </w:p>
  </w:footnote>
  <w:footnote w:id="32">
    <w:p w14:paraId="2676D5E3"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color w:val="000000"/>
          <w:szCs w:val="16"/>
        </w:rPr>
        <w:t>EU:</w:t>
      </w:r>
      <w:r w:rsidRPr="00DC14AF">
        <w:rPr>
          <w:rFonts w:cs="Arial"/>
          <w:color w:val="000000"/>
          <w:szCs w:val="16"/>
        </w:rPr>
        <w:t>C:2013:363, [2013] QB 1136</w:t>
      </w:r>
    </w:p>
  </w:footnote>
  <w:footnote w:id="33">
    <w:p w14:paraId="37F8266E"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[2014] QB 820</w:t>
      </w:r>
    </w:p>
  </w:footnote>
  <w:footnote w:id="34">
    <w:p w14:paraId="45E70FF2"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[2005] 2 AC 68, para 155</w:t>
      </w:r>
    </w:p>
  </w:footnote>
  <w:footnote w:id="35">
    <w:p w14:paraId="4C5B836A"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color w:val="000000"/>
          <w:szCs w:val="16"/>
        </w:rPr>
        <w:t>[2012] QB 91</w:t>
      </w:r>
    </w:p>
  </w:footnote>
  <w:footnote w:id="36">
    <w:p w14:paraId="6DCD64CD"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color w:val="000000"/>
          <w:szCs w:val="16"/>
        </w:rPr>
        <w:t>[2015] 1 WLR 4799</w:t>
      </w:r>
    </w:p>
  </w:footnote>
  <w:footnote w:id="37">
    <w:p w14:paraId="7BA110DE"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[2011] ICR 938</w:t>
      </w:r>
    </w:p>
  </w:footnote>
  <w:footnote w:id="38">
    <w:p w14:paraId="6D11135A" w14:textId="77777777" w:rsidR="00E8497D" w:rsidRPr="00DC14AF" w:rsidRDefault="00E8497D" w:rsidP="000C3AA8">
      <w:pPr>
        <w:pStyle w:val="FootnoteText"/>
        <w:rPr>
          <w:rFonts w:cs="Arial"/>
          <w:szCs w:val="16"/>
        </w:rPr>
      </w:pPr>
      <w:r w:rsidRPr="00DC14AF">
        <w:rPr>
          <w:rStyle w:val="FootnoteReference"/>
          <w:rFonts w:cs="Arial"/>
          <w:szCs w:val="16"/>
        </w:rPr>
        <w:footnoteRef/>
      </w:r>
      <w:r w:rsidRPr="00DC14AF">
        <w:rPr>
          <w:rFonts w:cs="Arial"/>
          <w:szCs w:val="16"/>
        </w:rPr>
        <w:t xml:space="preserve"> [2016] QB </w:t>
      </w:r>
      <w:r w:rsidRPr="00DC14AF">
        <w:rPr>
          <w:rFonts w:cs="Arial"/>
          <w:szCs w:val="16"/>
        </w:rPr>
        <w:t>595 , [2015] ICR 1179</w:t>
      </w:r>
    </w:p>
  </w:footnote>
  <w:footnote w:id="39">
    <w:p w14:paraId="43204387"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[2012] 1 AC 531</w:t>
      </w:r>
    </w:p>
  </w:footnote>
  <w:footnote w:id="40">
    <w:p w14:paraId="47CB782C" w14:textId="6D6ECFF6" w:rsidR="00E8497D" w:rsidRPr="00DC14AF" w:rsidRDefault="00E8497D" w:rsidP="00DA2A7F">
      <w:pPr>
        <w:pStyle w:val="FootnoteText"/>
        <w:rPr>
          <w:rFonts w:cs="Arial"/>
          <w:szCs w:val="16"/>
        </w:rPr>
      </w:pPr>
      <w:r w:rsidRPr="00DC14AF">
        <w:rPr>
          <w:rStyle w:val="FootnoteReference"/>
          <w:rFonts w:cs="Arial"/>
          <w:szCs w:val="16"/>
        </w:rPr>
        <w:footnoteRef/>
      </w:r>
      <w:r w:rsidRPr="00DC14AF">
        <w:rPr>
          <w:rFonts w:cs="Arial"/>
          <w:szCs w:val="16"/>
        </w:rPr>
        <w:t xml:space="preserve"> This manual is not intended to provide a detailed summary of PII.  PII is a legal principle whereby a court order can be made in civil or criminal proceedings allowing one party to refrain from disclosing evidence to the other party or parties where disclosure would be damaging to the public interest. Therefore, in contrast to CMPs, if the court issues a PII order then that material is neither disclosed nor considered by the court when it determines the underlying matter.  See paras </w:t>
      </w:r>
      <w:r w:rsidRPr="00DC14AF">
        <w:rPr>
          <w:rFonts w:cs="Arial"/>
          <w:szCs w:val="16"/>
        </w:rPr>
        <w:fldChar w:fldCharType="begin"/>
      </w:r>
      <w:r w:rsidRPr="00DC14AF">
        <w:rPr>
          <w:rFonts w:cs="Arial"/>
          <w:szCs w:val="16"/>
        </w:rPr>
        <w:instrText xml:space="preserve"> REF _Ref524003804 \r \h  \* MERGEFORMAT </w:instrText>
      </w:r>
      <w:r w:rsidRPr="00DC14AF">
        <w:rPr>
          <w:rFonts w:cs="Arial"/>
          <w:szCs w:val="16"/>
        </w:rPr>
      </w:r>
      <w:r w:rsidRPr="00DC14AF">
        <w:rPr>
          <w:rFonts w:cs="Arial"/>
          <w:szCs w:val="16"/>
        </w:rPr>
        <w:fldChar w:fldCharType="separate"/>
      </w:r>
      <w:r>
        <w:rPr>
          <w:rFonts w:cs="Arial"/>
          <w:szCs w:val="16"/>
        </w:rPr>
        <w:t>134</w:t>
      </w:r>
      <w:r w:rsidRPr="00DC14AF">
        <w:rPr>
          <w:rFonts w:cs="Arial"/>
          <w:szCs w:val="16"/>
        </w:rPr>
        <w:fldChar w:fldCharType="end"/>
      </w:r>
      <w:r w:rsidRPr="00DC14AF">
        <w:rPr>
          <w:rFonts w:cs="Arial"/>
          <w:szCs w:val="16"/>
        </w:rPr>
        <w:t>-</w:t>
      </w:r>
      <w:r w:rsidRPr="00DC14AF">
        <w:rPr>
          <w:rFonts w:cs="Arial"/>
          <w:szCs w:val="16"/>
        </w:rPr>
        <w:fldChar w:fldCharType="begin"/>
      </w:r>
      <w:r w:rsidRPr="00DC14AF">
        <w:rPr>
          <w:rFonts w:cs="Arial"/>
          <w:szCs w:val="16"/>
        </w:rPr>
        <w:instrText xml:space="preserve"> REF _Ref524003806 \r \h  \* MERGEFORMAT </w:instrText>
      </w:r>
      <w:r w:rsidRPr="00DC14AF">
        <w:rPr>
          <w:rFonts w:cs="Arial"/>
          <w:szCs w:val="16"/>
        </w:rPr>
      </w:r>
      <w:r w:rsidRPr="00DC14AF">
        <w:rPr>
          <w:rFonts w:cs="Arial"/>
          <w:szCs w:val="16"/>
        </w:rPr>
        <w:fldChar w:fldCharType="separate"/>
      </w:r>
      <w:r>
        <w:rPr>
          <w:rFonts w:cs="Arial"/>
          <w:szCs w:val="16"/>
        </w:rPr>
        <w:t>135</w:t>
      </w:r>
      <w:r w:rsidRPr="00DC14AF">
        <w:rPr>
          <w:rFonts w:cs="Arial"/>
          <w:szCs w:val="16"/>
        </w:rPr>
        <w:fldChar w:fldCharType="end"/>
      </w:r>
      <w:r w:rsidRPr="00DC14AF">
        <w:rPr>
          <w:rFonts w:cs="Arial"/>
          <w:szCs w:val="16"/>
        </w:rPr>
        <w:t xml:space="preserve"> and </w:t>
      </w:r>
      <w:r w:rsidRPr="00DC14AF">
        <w:rPr>
          <w:rFonts w:cs="Arial"/>
          <w:szCs w:val="16"/>
        </w:rPr>
        <w:fldChar w:fldCharType="begin"/>
      </w:r>
      <w:r w:rsidRPr="00DC14AF">
        <w:rPr>
          <w:rFonts w:cs="Arial"/>
          <w:szCs w:val="16"/>
        </w:rPr>
        <w:instrText xml:space="preserve"> REF _Ref524003892 \r \h  \* MERGEFORMAT </w:instrText>
      </w:r>
      <w:r w:rsidRPr="00DC14AF">
        <w:rPr>
          <w:rFonts w:cs="Arial"/>
          <w:szCs w:val="16"/>
        </w:rPr>
      </w:r>
      <w:r w:rsidRPr="00DC14AF">
        <w:rPr>
          <w:rFonts w:cs="Arial"/>
          <w:szCs w:val="16"/>
        </w:rPr>
        <w:fldChar w:fldCharType="separate"/>
      </w:r>
      <w:r>
        <w:rPr>
          <w:rFonts w:cs="Arial"/>
          <w:szCs w:val="16"/>
        </w:rPr>
        <w:t>152</w:t>
      </w:r>
      <w:r w:rsidRPr="00DC14AF">
        <w:rPr>
          <w:rFonts w:cs="Arial"/>
          <w:szCs w:val="16"/>
        </w:rPr>
        <w:fldChar w:fldCharType="end"/>
      </w:r>
      <w:r w:rsidRPr="00DC14AF">
        <w:rPr>
          <w:rFonts w:cs="Arial"/>
          <w:szCs w:val="16"/>
        </w:rPr>
        <w:t>-</w:t>
      </w:r>
      <w:r w:rsidRPr="00DC14AF">
        <w:rPr>
          <w:rFonts w:cs="Arial"/>
          <w:szCs w:val="16"/>
        </w:rPr>
        <w:fldChar w:fldCharType="begin"/>
      </w:r>
      <w:r w:rsidRPr="00DC14AF">
        <w:rPr>
          <w:rFonts w:cs="Arial"/>
          <w:szCs w:val="16"/>
        </w:rPr>
        <w:instrText xml:space="preserve"> REF _Ref524003893 \r \h  \* MERGEFORMAT </w:instrText>
      </w:r>
      <w:r w:rsidRPr="00DC14AF">
        <w:rPr>
          <w:rFonts w:cs="Arial"/>
          <w:szCs w:val="16"/>
        </w:rPr>
      </w:r>
      <w:r w:rsidRPr="00DC14AF">
        <w:rPr>
          <w:rFonts w:cs="Arial"/>
          <w:szCs w:val="16"/>
        </w:rPr>
        <w:fldChar w:fldCharType="separate"/>
      </w:r>
      <w:r>
        <w:rPr>
          <w:rFonts w:cs="Arial"/>
          <w:szCs w:val="16"/>
        </w:rPr>
        <w:t>154</w:t>
      </w:r>
      <w:r w:rsidRPr="00DC14AF">
        <w:rPr>
          <w:rFonts w:cs="Arial"/>
          <w:szCs w:val="16"/>
        </w:rPr>
        <w:fldChar w:fldCharType="end"/>
      </w:r>
      <w:r w:rsidRPr="00DC14AF">
        <w:rPr>
          <w:rFonts w:cs="Arial"/>
          <w:szCs w:val="16"/>
        </w:rPr>
        <w:t xml:space="preserve"> for further information in respect of PII in the context of CMPs.</w:t>
      </w:r>
    </w:p>
  </w:footnote>
  <w:footnote w:id="41">
    <w:p w14:paraId="63CDF990"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See Lord Dyson at [69]</w:t>
      </w:r>
    </w:p>
  </w:footnote>
  <w:footnote w:id="42">
    <w:p w14:paraId="6FEBF163" w14:textId="77777777" w:rsidR="00E8497D" w:rsidRPr="00DC14AF" w:rsidRDefault="00E8497D" w:rsidP="00BC2C4C">
      <w:pPr>
        <w:pStyle w:val="FootnoteText"/>
        <w:rPr>
          <w:rFonts w:cs="Arial"/>
          <w:szCs w:val="16"/>
        </w:rPr>
      </w:pPr>
      <w:r w:rsidRPr="00DC14AF">
        <w:rPr>
          <w:rStyle w:val="FootnoteReference"/>
          <w:rFonts w:cs="Arial"/>
          <w:szCs w:val="16"/>
        </w:rPr>
        <w:footnoteRef/>
      </w:r>
      <w:r w:rsidRPr="00DC14AF">
        <w:rPr>
          <w:rFonts w:cs="Arial"/>
          <w:szCs w:val="16"/>
        </w:rPr>
        <w:t xml:space="preserve"> See the judgment of Richards LJ at [47-48] in </w:t>
      </w:r>
      <w:r w:rsidRPr="00DC14AF">
        <w:rPr>
          <w:rFonts w:cs="Arial"/>
          <w:i/>
          <w:szCs w:val="16"/>
        </w:rPr>
        <w:t>M</w:t>
      </w:r>
      <w:r w:rsidRPr="00DC14AF">
        <w:rPr>
          <w:rFonts w:cs="Arial"/>
          <w:i/>
          <w:szCs w:val="16"/>
          <w:vertAlign w:val="superscript"/>
        </w:rPr>
        <w:t>c</w:t>
      </w:r>
      <w:r w:rsidRPr="00DC14AF">
        <w:rPr>
          <w:rFonts w:cs="Arial"/>
          <w:i/>
          <w:szCs w:val="16"/>
        </w:rPr>
        <w:t>Gartland v SSHD</w:t>
      </w:r>
      <w:r w:rsidRPr="00DC14AF">
        <w:rPr>
          <w:rFonts w:cs="Arial"/>
          <w:szCs w:val="16"/>
        </w:rPr>
        <w:t xml:space="preserve"> [2015] EWCA Civ 686</w:t>
      </w:r>
    </w:p>
  </w:footnote>
  <w:footnote w:id="43">
    <w:p w14:paraId="49984845"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[2016] 3 All ER 837</w:t>
      </w:r>
    </w:p>
  </w:footnote>
  <w:footnote w:id="44">
    <w:p w14:paraId="721948B8"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[2016] A.C.D. 5</w:t>
      </w:r>
    </w:p>
  </w:footnote>
  <w:footnote w:id="45">
    <w:p w14:paraId="4F07A9E3"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[2014] 1 WLR 4240</w:t>
      </w:r>
    </w:p>
  </w:footnote>
  <w:footnote w:id="46">
    <w:p w14:paraId="740D4ACB"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[2016] A.C.D. 74</w:t>
      </w:r>
    </w:p>
  </w:footnote>
  <w:footnote w:id="47">
    <w:p w14:paraId="3CFB4C13"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[2016] 3 C.M.L.R. 37</w:t>
      </w:r>
    </w:p>
  </w:footnote>
  <w:footnote w:id="48">
    <w:p w14:paraId="0FA25856"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[2014] QB 112</w:t>
      </w:r>
    </w:p>
  </w:footnote>
  <w:footnote w:id="49">
    <w:p w14:paraId="62239024"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[2016] 3 C.M.L.R. 42</w:t>
      </w:r>
    </w:p>
  </w:footnote>
  <w:footnote w:id="50">
    <w:p w14:paraId="095D9810"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i/>
          <w:szCs w:val="16"/>
        </w:rPr>
        <w:t>R(XH and AI) v SSHD</w:t>
      </w:r>
      <w:r w:rsidRPr="00DC14AF">
        <w:rPr>
          <w:rFonts w:cs="Arial"/>
          <w:szCs w:val="16"/>
        </w:rPr>
        <w:t xml:space="preserve"> </w:t>
      </w:r>
      <w:r w:rsidRPr="00DC14AF">
        <w:rPr>
          <w:rFonts w:cs="Arial"/>
          <w:bCs/>
          <w:szCs w:val="16"/>
        </w:rPr>
        <w:t xml:space="preserve">[2016] EWHC 1898 (Admin), [2016] ACD 117 and in the Court of Appeal at [2017] EWCA </w:t>
      </w:r>
      <w:r w:rsidRPr="00DC14AF">
        <w:rPr>
          <w:rFonts w:cs="Arial"/>
          <w:bCs/>
          <w:szCs w:val="16"/>
        </w:rPr>
        <w:t>Civ 41, [2018] QB 355.</w:t>
      </w:r>
    </w:p>
  </w:footnote>
  <w:footnote w:id="51">
    <w:p w14:paraId="669F4F43"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[2016] ACD 114</w:t>
      </w:r>
    </w:p>
  </w:footnote>
  <w:footnote w:id="52">
    <w:p w14:paraId="08B0B90D"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Section 3 of the Nationality, Immigration and Asylum Act 2002</w:t>
      </w:r>
    </w:p>
  </w:footnote>
  <w:footnote w:id="53">
    <w:p w14:paraId="7EB7D6ED"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Section 7 the 1997 Act.</w:t>
      </w:r>
    </w:p>
  </w:footnote>
  <w:footnote w:id="54">
    <w:p w14:paraId="6DBD2C91"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Section 3 of and Schedule 3 to the 1997 Act.</w:t>
      </w:r>
    </w:p>
  </w:footnote>
  <w:footnote w:id="55">
    <w:p w14:paraId="0D63BB3A"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[2010] 2 WLR 1012</w:t>
      </w:r>
    </w:p>
  </w:footnote>
  <w:footnote w:id="56">
    <w:p w14:paraId="46125FFC"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See Laws LJ at paragraph 112</w:t>
      </w:r>
    </w:p>
  </w:footnote>
  <w:footnote w:id="57">
    <w:p w14:paraId="49F91E10" w14:textId="7FE5AB4E"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See Laws LJ at paragraphs 82 and 83</w:t>
      </w:r>
    </w:p>
  </w:footnote>
  <w:footnote w:id="58">
    <w:p w14:paraId="75032BA5"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w:t>
      </w:r>
      <w:r w:rsidRPr="00DC14AF">
        <w:rPr>
          <w:rFonts w:cs="Arial"/>
          <w:i/>
          <w:szCs w:val="16"/>
        </w:rPr>
        <w:t>Al Jedda v Secretary of State for the Home Department</w:t>
      </w:r>
      <w:r w:rsidRPr="00DC14AF">
        <w:rPr>
          <w:rFonts w:cs="Arial"/>
          <w:szCs w:val="16"/>
        </w:rPr>
        <w:t xml:space="preserve"> SC/66/2008 at [7].</w:t>
      </w:r>
    </w:p>
  </w:footnote>
  <w:footnote w:id="59">
    <w:p w14:paraId="15AE3EFF"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See s40(4) British Nationality Act 1981 which requires statelessness to be considered by the SSHD in making the decision.</w:t>
      </w:r>
    </w:p>
  </w:footnote>
  <w:footnote w:id="60">
    <w:p w14:paraId="58B37F66"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as inserted by section 15 of the JSA 2013</w:t>
      </w:r>
    </w:p>
  </w:footnote>
  <w:footnote w:id="61">
    <w:p w14:paraId="31C3F407" w14:textId="4DFC51A3"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w:t>
      </w:r>
      <w:hyperlink r:id="rId4" w:history="1">
        <w:r w:rsidRPr="00D573E3">
          <w:rPr>
            <w:rStyle w:val="Hyperlink"/>
            <w:rFonts w:cs="Arial"/>
            <w:szCs w:val="16"/>
          </w:rPr>
          <w:t>https://www.gov.uk/government/publications/good-character-nationality-policy-guidance</w:t>
        </w:r>
      </w:hyperlink>
      <w:r>
        <w:rPr>
          <w:rFonts w:cs="Arial"/>
          <w:szCs w:val="16"/>
        </w:rPr>
        <w:t xml:space="preserve"> </w:t>
      </w:r>
    </w:p>
  </w:footnote>
  <w:footnote w:id="62">
    <w:p w14:paraId="792B3FD2" w14:textId="77777777" w:rsidR="00E8497D" w:rsidRPr="00DC14AF" w:rsidRDefault="00E8497D" w:rsidP="005474F7">
      <w:pPr>
        <w:pStyle w:val="FootnoteText"/>
        <w:rPr>
          <w:rFonts w:cs="Arial"/>
          <w:szCs w:val="16"/>
        </w:rPr>
      </w:pPr>
      <w:r w:rsidRPr="00DC14AF">
        <w:rPr>
          <w:rStyle w:val="FootnoteReference"/>
          <w:rFonts w:cs="Arial"/>
          <w:szCs w:val="16"/>
        </w:rPr>
        <w:footnoteRef/>
      </w:r>
      <w:r w:rsidRPr="00DC14AF">
        <w:rPr>
          <w:rFonts w:cs="Arial"/>
          <w:szCs w:val="16"/>
        </w:rPr>
        <w:t xml:space="preserve"> See President’s Guidance 26 March 2015 - </w:t>
      </w:r>
      <w:r w:rsidRPr="00DC14AF">
        <w:rPr>
          <w:rFonts w:cs="Arial"/>
          <w:i/>
          <w:szCs w:val="16"/>
        </w:rPr>
        <w:t>The Role of the Attorney General in Appointing Advocates to the Court or Special Advocates in Family Cases</w:t>
      </w:r>
      <w:r w:rsidRPr="00DC14AF">
        <w:rPr>
          <w:rFonts w:cs="Arial"/>
          <w:szCs w:val="16"/>
        </w:rPr>
        <w:t>.</w:t>
      </w:r>
    </w:p>
  </w:footnote>
  <w:footnote w:id="63">
    <w:p w14:paraId="0B3C5E58"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[2005] QB 410</w:t>
      </w:r>
    </w:p>
  </w:footnote>
  <w:footnote w:id="64">
    <w:p w14:paraId="25FBFD9C" w14:textId="77777777" w:rsidR="00E8497D" w:rsidRPr="00DC14AF" w:rsidRDefault="00E8497D">
      <w:pPr>
        <w:pStyle w:val="FootnoteText"/>
        <w:rPr>
          <w:rFonts w:cs="Arial"/>
          <w:szCs w:val="16"/>
        </w:rPr>
      </w:pPr>
      <w:r w:rsidRPr="00DC14AF">
        <w:rPr>
          <w:rStyle w:val="FootnoteReference"/>
          <w:rFonts w:cs="Arial"/>
          <w:szCs w:val="16"/>
        </w:rPr>
        <w:footnoteRef/>
      </w:r>
      <w:r w:rsidRPr="00DC14AF">
        <w:rPr>
          <w:rFonts w:cs="Arial"/>
          <w:szCs w:val="16"/>
        </w:rPr>
        <w:t xml:space="preserve"> [2005] 2 AC 738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6C02" w14:textId="77777777" w:rsidR="00E8497D" w:rsidRDefault="00E8497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D09A" w14:textId="77777777" w:rsidR="00E8497D" w:rsidRPr="00316350" w:rsidRDefault="00E8497D" w:rsidP="00316350">
    <w:pPr>
      <w:pStyle w:val="Manualpageheader"/>
      <w:rPr>
        <w:b/>
      </w:rPr>
    </w:pPr>
    <w:r>
      <w:rPr>
        <w:b/>
        <w:sz w:val="24"/>
      </w:rPr>
      <w:fldChar w:fldCharType="begin"/>
    </w:r>
    <w:r>
      <w:instrText xml:space="preserve"> REF  Glossary  \* MERGEFORMAT </w:instrText>
    </w:r>
    <w:r>
      <w:rPr>
        <w:b/>
        <w:sz w:val="24"/>
      </w:rPr>
      <w:fldChar w:fldCharType="separate"/>
    </w:r>
    <w:r w:rsidRPr="00DB405E">
      <w:t>Glossary</w:t>
    </w:r>
  </w:p>
  <w:p w14:paraId="10CB4CE9" w14:textId="77777777" w:rsidR="00E8497D" w:rsidRPr="008878A4" w:rsidRDefault="00E8497D" w:rsidP="008878A4">
    <w:pPr>
      <w:pStyle w:val="Header"/>
      <w:jc w:val="right"/>
      <w:rPr>
        <w:caps/>
        <w:color w:val="2F5496" w:themeColor="accent5" w:themeShade="BF"/>
      </w:rPr>
    </w:pPr>
    <w:r>
      <w:rPr>
        <w:cap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BC26" w14:textId="77777777" w:rsidR="00E8497D" w:rsidRPr="00DB405E" w:rsidRDefault="00E8497D" w:rsidP="00316350">
    <w:pPr>
      <w:pStyle w:val="Manualpageheader"/>
    </w:pPr>
    <w:r w:rsidRPr="0043459C">
      <w:fldChar w:fldCharType="begin"/>
    </w:r>
    <w:r w:rsidRPr="0043459C">
      <w:instrText xml:space="preserve"> REF  Glossary  \* MERGEFORMAT </w:instrText>
    </w:r>
    <w:r w:rsidRPr="0043459C">
      <w:fldChar w:fldCharType="separate"/>
    </w:r>
    <w:r w:rsidRPr="00DB405E">
      <w:t>Glossary</w:t>
    </w:r>
  </w:p>
  <w:p w14:paraId="2FBC9E7E" w14:textId="22DACE1A" w:rsidR="00E8497D" w:rsidRPr="0043459C" w:rsidRDefault="00E8497D" w:rsidP="0043459C">
    <w:pPr>
      <w:pStyle w:val="Manualpageheader"/>
    </w:pPr>
    <w:r w:rsidRPr="0043459C">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6EFC" w14:textId="572FE2C9" w:rsidR="00E8497D" w:rsidRPr="0043459C" w:rsidRDefault="00000000" w:rsidP="0043459C">
    <w:pPr>
      <w:pStyle w:val="Manualpageheader"/>
      <w:jc w:val="left"/>
    </w:pPr>
    <w:fldSimple w:instr=" REF  Part2 ">
      <w:r w:rsidR="00E8497D" w:rsidRPr="0014084D">
        <w:t xml:space="preserve">A </w:t>
      </w:r>
      <w:r w:rsidR="00E8497D">
        <w:t>Brief</w:t>
      </w:r>
      <w:r w:rsidR="00E8497D" w:rsidRPr="0014084D">
        <w:t xml:space="preserve"> </w:t>
      </w:r>
      <w:r w:rsidR="00E8497D">
        <w:t>History and Overview</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E17E" w14:textId="07F069AE" w:rsidR="00E8497D" w:rsidRDefault="00000000" w:rsidP="002C0050">
    <w:pPr>
      <w:pStyle w:val="Manualpageheader"/>
    </w:pPr>
    <w:fldSimple w:instr=" REF  Part2  \* MERGEFORMAT ">
      <w:r w:rsidR="00E8497D" w:rsidRPr="0014084D">
        <w:t xml:space="preserve">A </w:t>
      </w:r>
      <w:r w:rsidR="00E8497D">
        <w:t>Brief</w:t>
      </w:r>
      <w:r w:rsidR="00E8497D" w:rsidRPr="0014084D">
        <w:t xml:space="preserve"> </w:t>
      </w:r>
      <w:r w:rsidR="00E8497D">
        <w:t>History and Overview</w:t>
      </w:r>
    </w:fldSimple>
  </w:p>
  <w:p w14:paraId="233383C7" w14:textId="77777777" w:rsidR="00E8497D" w:rsidRPr="00213848" w:rsidRDefault="00E8497D" w:rsidP="00545036">
    <w:pPr>
      <w:spacing w:after="0" w:line="240" w:lineRule="auto"/>
    </w:pPr>
  </w:p>
  <w:p w14:paraId="4644EF2B" w14:textId="77777777" w:rsidR="00E8497D" w:rsidRPr="00545036" w:rsidRDefault="00E8497D" w:rsidP="0054503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AB44" w14:textId="5A29939A" w:rsidR="00E8497D" w:rsidRDefault="00000000" w:rsidP="002C0050">
    <w:pPr>
      <w:pStyle w:val="Manualpageheader"/>
    </w:pPr>
    <w:fldSimple w:instr=" REF  Part2  \* MERGEFORMAT ">
      <w:r w:rsidR="00E8497D" w:rsidRPr="0014084D">
        <w:t xml:space="preserve">A </w:t>
      </w:r>
      <w:r w:rsidR="00E8497D">
        <w:t>Brief</w:t>
      </w:r>
      <w:r w:rsidR="00E8497D" w:rsidRPr="0014084D">
        <w:t xml:space="preserve"> </w:t>
      </w:r>
      <w:r w:rsidR="00E8497D">
        <w:t>History and Overview</w:t>
      </w:r>
    </w:fldSimple>
  </w:p>
  <w:p w14:paraId="55565021" w14:textId="77777777" w:rsidR="00E8497D" w:rsidRPr="00213848" w:rsidRDefault="00E8497D" w:rsidP="00213848">
    <w:pPr>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6DBD" w14:textId="667CB7D7" w:rsidR="00E8497D" w:rsidRPr="00213848" w:rsidRDefault="00000000" w:rsidP="0043459C">
    <w:pPr>
      <w:pStyle w:val="Manualpageheader"/>
      <w:jc w:val="left"/>
    </w:pPr>
    <w:fldSimple w:instr=" REF  Part3  \* MERGEFORMAT ">
      <w:r w:rsidR="00E8497D">
        <w:t xml:space="preserve">Special Advocates and </w:t>
      </w:r>
      <w:r w:rsidR="00E8497D" w:rsidRPr="00E71929">
        <w:t>CLOSED</w:t>
      </w:r>
      <w:r w:rsidR="00E8497D">
        <w:t xml:space="preserve"> material</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43AF" w14:textId="6897FB59" w:rsidR="00E8497D" w:rsidRPr="00213848" w:rsidRDefault="00000000" w:rsidP="002C0050">
    <w:pPr>
      <w:pStyle w:val="Manualpageheader"/>
    </w:pPr>
    <w:fldSimple w:instr=" REF  Part3  \* MERGEFORMAT ">
      <w:r w:rsidR="00E8497D">
        <w:t xml:space="preserve">Special Advocates and </w:t>
      </w:r>
      <w:r w:rsidR="00E8497D" w:rsidRPr="00E71929">
        <w:t>CLOSED</w:t>
      </w:r>
      <w:r w:rsidR="00E8497D">
        <w:t xml:space="preserve"> material</w:t>
      </w:r>
    </w:fldSimple>
  </w:p>
  <w:p w14:paraId="19B9AE59" w14:textId="77777777" w:rsidR="00E8497D" w:rsidRPr="009C1FE6" w:rsidRDefault="00E8497D" w:rsidP="009C1FE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D0A1" w14:textId="6261C4A4" w:rsidR="00E8497D" w:rsidRPr="00213848" w:rsidRDefault="00000000" w:rsidP="002C0050">
    <w:pPr>
      <w:pStyle w:val="Manualpageheader"/>
    </w:pPr>
    <w:fldSimple w:instr=" REF  Part3  \* MERGEFORMAT ">
      <w:r w:rsidR="00E8497D">
        <w:t xml:space="preserve">Special Advocates and </w:t>
      </w:r>
      <w:r w:rsidR="00E8497D" w:rsidRPr="00E71929">
        <w:t>CLOSED</w:t>
      </w:r>
      <w:r w:rsidR="00E8497D">
        <w:t xml:space="preserve"> material</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9F49" w14:textId="5F00909B" w:rsidR="00E8497D" w:rsidRPr="009C1FE6" w:rsidRDefault="00000000" w:rsidP="0043459C">
    <w:pPr>
      <w:pStyle w:val="Manualpageheader"/>
      <w:jc w:val="left"/>
    </w:pPr>
    <w:fldSimple w:instr=" REF  Part4  \* MERGEFORMAT ">
      <w:r w:rsidR="00E8497D">
        <w:t>The Typical Format of CLOSED proceedings</w:t>
      </w:r>
    </w:fldSimple>
  </w:p>
  <w:p w14:paraId="71EAAABA" w14:textId="77777777" w:rsidR="00E8497D" w:rsidRPr="009C1FE6" w:rsidRDefault="00E8497D" w:rsidP="0043459C">
    <w:pPr>
      <w:pStyle w:val="Header"/>
    </w:pPr>
  </w:p>
  <w:p w14:paraId="62EC358F" w14:textId="77777777" w:rsidR="00E8497D" w:rsidRPr="00526A53" w:rsidRDefault="00E8497D" w:rsidP="00526A5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B138" w14:textId="4E95C0CE" w:rsidR="00E8497D" w:rsidRPr="009C1FE6" w:rsidRDefault="00000000" w:rsidP="002C0050">
    <w:pPr>
      <w:pStyle w:val="Manualpageheader"/>
    </w:pPr>
    <w:fldSimple w:instr=" REF  Part4  \* MERGEFORMAT ">
      <w:r w:rsidR="00E8497D">
        <w:t>The Typical Format of CLOSED proceedings</w:t>
      </w:r>
    </w:fldSimple>
  </w:p>
  <w:p w14:paraId="4FB36275" w14:textId="5ECE8FCE" w:rsidR="00E8497D" w:rsidRPr="009C1FE6" w:rsidRDefault="00E8497D" w:rsidP="009C1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36B4" w14:textId="77777777" w:rsidR="00E8497D" w:rsidRDefault="00E8497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F020" w14:textId="3EE6DF6C" w:rsidR="00E8497D" w:rsidRPr="009C1FE6" w:rsidRDefault="00000000" w:rsidP="002C0050">
    <w:pPr>
      <w:pStyle w:val="Manualpageheader"/>
    </w:pPr>
    <w:fldSimple w:instr=" REF  Part4  \* MERGEFORMAT ">
      <w:r w:rsidR="00E8497D">
        <w:t>The Typical Format of CLOSED proceedings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BD38" w14:textId="6D44EE1C" w:rsidR="00E8497D" w:rsidRPr="009C1FE6" w:rsidRDefault="00000000" w:rsidP="0043459C">
    <w:pPr>
      <w:pStyle w:val="Manualpageheader"/>
      <w:jc w:val="left"/>
    </w:pPr>
    <w:fldSimple w:instr=" REF  Part5  \* MERGEFORMAT ">
      <w:r w:rsidR="00E8497D">
        <w:t xml:space="preserve">Disclosure </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B2F1" w14:textId="2501262E" w:rsidR="00E8497D" w:rsidRPr="009C1FE6" w:rsidRDefault="00000000" w:rsidP="002C0050">
    <w:pPr>
      <w:pStyle w:val="Manualpageheader"/>
    </w:pPr>
    <w:fldSimple w:instr=" REF  Part5  \* MERGEFORMAT ">
      <w:r w:rsidR="00E8497D">
        <w:t xml:space="preserve">Disclosure </w:t>
      </w:r>
    </w:fldSimple>
  </w:p>
  <w:p w14:paraId="5D4ABFDF" w14:textId="4BDB735E" w:rsidR="00E8497D" w:rsidRPr="009C1FE6" w:rsidRDefault="00E8497D" w:rsidP="009C1FE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EEBF" w14:textId="4CA041E4" w:rsidR="00E8497D" w:rsidRPr="009C1FE6" w:rsidRDefault="00000000" w:rsidP="002C0050">
    <w:pPr>
      <w:pStyle w:val="Manualpageheader"/>
    </w:pPr>
    <w:fldSimple w:instr=" REF  Part5  \* MERGEFORMAT ">
      <w:r w:rsidR="00E8497D">
        <w:t xml:space="preserve">Disclosure </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DD67" w14:textId="6602C780" w:rsidR="00E8497D" w:rsidRPr="009C1FE6" w:rsidRDefault="00000000" w:rsidP="0043459C">
    <w:pPr>
      <w:pStyle w:val="Manualpageheader"/>
      <w:jc w:val="left"/>
    </w:pPr>
    <w:fldSimple w:instr=" REF  Part6  \* MERGEFORMAT ">
      <w:r w:rsidR="00E8497D" w:rsidRPr="0014084D">
        <w:t>Proceedings under the JSA 2013</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C9C1" w14:textId="468FCEA4" w:rsidR="00E8497D" w:rsidRPr="009C1FE6" w:rsidRDefault="00000000" w:rsidP="002C0050">
    <w:pPr>
      <w:pStyle w:val="Manualpageheader"/>
    </w:pPr>
    <w:fldSimple w:instr=" REF  Part6  \* MERGEFORMAT ">
      <w:r w:rsidR="00E8497D" w:rsidRPr="0014084D">
        <w:t>Proceedings under the JSA 2013</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56DE1" w14:textId="336A4F9F" w:rsidR="00E8497D" w:rsidRPr="00FC620D" w:rsidRDefault="00000000" w:rsidP="00FC620D">
    <w:pPr>
      <w:pStyle w:val="Manualpageheader"/>
    </w:pPr>
    <w:fldSimple w:instr=" REF  Part6  \* MERGEFORMAT ">
      <w:r w:rsidR="00E8497D" w:rsidRPr="0014084D">
        <w:t>Proceedings under the JSA 2013</w:t>
      </w:r>
    </w:fldSimple>
  </w:p>
  <w:p w14:paraId="7449CFB9" w14:textId="765F85B8" w:rsidR="00E8497D" w:rsidRDefault="00E8497D" w:rsidP="00FC620D">
    <w:pPr>
      <w:pStyle w:val="Manualpageheader"/>
      <w:pBdr>
        <w:bottom w:val="none" w:sz="0" w:space="0" w:color="auto"/>
      </w:pBdr>
    </w:pPr>
  </w:p>
  <w:p w14:paraId="4999E7F1" w14:textId="77777777" w:rsidR="00E8497D" w:rsidRPr="009C1FE6" w:rsidRDefault="00E8497D" w:rsidP="00FC620D">
    <w:pPr>
      <w:pStyle w:val="Manualpageheader"/>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3D29" w14:textId="78FED71A" w:rsidR="00E8497D" w:rsidRPr="009C1FE6" w:rsidRDefault="00000000" w:rsidP="0043459C">
    <w:pPr>
      <w:pStyle w:val="Manualpageheader"/>
      <w:jc w:val="left"/>
    </w:pPr>
    <w:fldSimple w:instr=" REF  Part7  \* MERGEFORMAT ">
      <w:r w:rsidR="00E8497D" w:rsidRPr="0014084D">
        <w:t>Proceedings before SIAC</w:t>
      </w:r>
    </w:fldSimple>
  </w:p>
  <w:p w14:paraId="13C833A6" w14:textId="77777777" w:rsidR="00E8497D" w:rsidRPr="009C1FE6" w:rsidRDefault="00E8497D" w:rsidP="0043459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29E0" w14:textId="74575BFA" w:rsidR="00E8497D" w:rsidRPr="009C1FE6" w:rsidRDefault="00000000" w:rsidP="002C0050">
    <w:pPr>
      <w:pStyle w:val="Manualpageheader"/>
    </w:pPr>
    <w:fldSimple w:instr=" REF  Part7  \* MERGEFORMAT ">
      <w:r w:rsidR="00E8497D" w:rsidRPr="0014084D">
        <w:t>Proceedings before SIAC</w:t>
      </w:r>
    </w:fldSimple>
  </w:p>
  <w:p w14:paraId="5B0FA406" w14:textId="714C22C7" w:rsidR="00E8497D" w:rsidRPr="009C1FE6" w:rsidRDefault="00E8497D" w:rsidP="009C1FE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08EA" w14:textId="342A2AE1" w:rsidR="00E8497D" w:rsidRPr="009C1FE6" w:rsidRDefault="00000000" w:rsidP="002C0050">
    <w:pPr>
      <w:pStyle w:val="Manualpageheader"/>
    </w:pPr>
    <w:fldSimple w:instr=" REF  Part7  \* MERGEFORMAT ">
      <w:r w:rsidR="00E8497D" w:rsidRPr="0014084D">
        <w:t>Proceedings before SIAC</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C28E" w14:textId="77777777" w:rsidR="00E8497D" w:rsidRDefault="00E8497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35D7" w14:textId="6861FCA9" w:rsidR="00E8497D" w:rsidRPr="009C1FE6" w:rsidRDefault="00000000" w:rsidP="0043459C">
    <w:pPr>
      <w:pStyle w:val="Manualpageheader"/>
      <w:jc w:val="left"/>
    </w:pPr>
    <w:fldSimple w:instr=" REF  Part8  \* MERGEFORMAT ">
      <w:r w:rsidR="00E8497D" w:rsidRPr="0014084D">
        <w:t>The use of special advocates in other jurisdictions and contexts</w:t>
      </w:r>
    </w:fldSimple>
  </w:p>
  <w:p w14:paraId="47A73C90" w14:textId="77777777" w:rsidR="00E8497D" w:rsidRDefault="00E8497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EC08" w14:textId="178E2415" w:rsidR="00E8497D" w:rsidRPr="009C1FE6" w:rsidRDefault="00000000" w:rsidP="002C0050">
    <w:pPr>
      <w:pStyle w:val="Manualpageheader"/>
    </w:pPr>
    <w:fldSimple w:instr=" REF  Part8  \* MERGEFORMAT ">
      <w:r w:rsidR="00E8497D" w:rsidRPr="0014084D">
        <w:t>The use of special advocates in other jurisdictions and contexts</w:t>
      </w:r>
    </w:fldSimple>
  </w:p>
  <w:p w14:paraId="7D85F874" w14:textId="6B3C1A89" w:rsidR="00E8497D" w:rsidRPr="009C1FE6" w:rsidRDefault="00E8497D" w:rsidP="009C1FE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A86C" w14:textId="646EB525" w:rsidR="00E8497D" w:rsidRPr="009C1FE6" w:rsidRDefault="00000000" w:rsidP="002C0050">
    <w:pPr>
      <w:pStyle w:val="Manualpageheader"/>
    </w:pPr>
    <w:fldSimple w:instr=" REF  Part8  \* MERGEFORMAT ">
      <w:r w:rsidR="00E8497D" w:rsidRPr="0014084D">
        <w:t>The use of special advocates in other jurisdictions and contexts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29B6" w14:textId="714AE019" w:rsidR="00E8497D" w:rsidRPr="009C1FE6" w:rsidRDefault="00E8497D" w:rsidP="0043459C">
    <w:pPr>
      <w:pStyle w:val="Manualpageheader"/>
    </w:pPr>
    <w:r>
      <w:t>Contact details</w:t>
    </w:r>
  </w:p>
  <w:p w14:paraId="1064E6FD" w14:textId="77777777" w:rsidR="00E8497D" w:rsidRDefault="00E8497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33F7" w14:textId="35171195" w:rsidR="00E8497D" w:rsidRPr="009C1FE6" w:rsidRDefault="00E8497D" w:rsidP="002C0050">
    <w:pPr>
      <w:pStyle w:val="Manualpageheader"/>
    </w:pPr>
    <w:r>
      <w:t>Contact details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F9BF" w14:textId="77777777" w:rsidR="00E8497D" w:rsidRDefault="00E849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F72C" w14:textId="08194A0E" w:rsidR="00E8497D" w:rsidRPr="009E0073" w:rsidRDefault="00E8497D" w:rsidP="009E00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81B1" w14:textId="77777777" w:rsidR="00E8497D" w:rsidRPr="00526A53" w:rsidRDefault="00E8497D" w:rsidP="00526A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44AA" w14:textId="459B923E" w:rsidR="00E8497D" w:rsidRDefault="00000000" w:rsidP="0043459C">
    <w:pPr>
      <w:pStyle w:val="Manualpageheader"/>
      <w:jc w:val="left"/>
    </w:pPr>
    <w:fldSimple w:instr=" REF  Part1 ">
      <w:r w:rsidR="00E8497D">
        <w:t>Introduction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6F34" w14:textId="77777777" w:rsidR="00E8497D" w:rsidRPr="00526A53" w:rsidRDefault="00E8497D" w:rsidP="00526A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A1BA" w14:textId="77777777" w:rsidR="00E8497D" w:rsidRPr="00316350" w:rsidRDefault="00E8497D" w:rsidP="00316350">
    <w:pPr>
      <w:pStyle w:val="Manualpageheader"/>
      <w:jc w:val="left"/>
      <w:rPr>
        <w:b/>
      </w:rPr>
    </w:pPr>
    <w:r>
      <w:rPr>
        <w:b/>
        <w:sz w:val="24"/>
      </w:rPr>
      <w:fldChar w:fldCharType="begin"/>
    </w:r>
    <w:r>
      <w:instrText xml:space="preserve"> REF  Glossary  \* MERGEFORMAT </w:instrText>
    </w:r>
    <w:r>
      <w:rPr>
        <w:b/>
        <w:sz w:val="24"/>
      </w:rPr>
      <w:fldChar w:fldCharType="separate"/>
    </w:r>
    <w:r w:rsidRPr="00DB405E">
      <w:t>Glossary</w:t>
    </w:r>
  </w:p>
  <w:p w14:paraId="1B19E369" w14:textId="77777777" w:rsidR="00E8497D" w:rsidRPr="008878A4" w:rsidRDefault="00E8497D" w:rsidP="0043459C">
    <w:pPr>
      <w:pStyle w:val="Header"/>
      <w:jc w:val="right"/>
      <w:rPr>
        <w:caps/>
        <w:color w:val="2F5496" w:themeColor="accent5" w:themeShade="BF"/>
      </w:rPr>
    </w:pPr>
    <w:r>
      <w:rPr>
        <w:caps/>
      </w:rPr>
      <w:fldChar w:fldCharType="end"/>
    </w:r>
  </w:p>
  <w:p w14:paraId="50F55FCE" w14:textId="77777777" w:rsidR="00E8497D" w:rsidRPr="0043459C" w:rsidRDefault="00E8497D" w:rsidP="00434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798"/>
    <w:multiLevelType w:val="hybridMultilevel"/>
    <w:tmpl w:val="CBC83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8D1E5C"/>
    <w:multiLevelType w:val="hybridMultilevel"/>
    <w:tmpl w:val="051AF914"/>
    <w:lvl w:ilvl="0" w:tplc="DF3A63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E1D2436"/>
    <w:multiLevelType w:val="hybridMultilevel"/>
    <w:tmpl w:val="A0B26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62B5F61"/>
    <w:multiLevelType w:val="hybridMultilevel"/>
    <w:tmpl w:val="3BA6A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DE0C08"/>
    <w:multiLevelType w:val="hybridMultilevel"/>
    <w:tmpl w:val="70D4F7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B64210A"/>
    <w:multiLevelType w:val="hybridMultilevel"/>
    <w:tmpl w:val="6EDA254A"/>
    <w:lvl w:ilvl="0" w:tplc="08090001">
      <w:start w:val="1"/>
      <w:numFmt w:val="bullet"/>
      <w:lvlText w:val=""/>
      <w:lvlJc w:val="left"/>
      <w:pPr>
        <w:ind w:left="-205" w:hanging="360"/>
      </w:pPr>
      <w:rPr>
        <w:rFonts w:ascii="Symbol" w:hAnsi="Symbol" w:hint="default"/>
      </w:rPr>
    </w:lvl>
    <w:lvl w:ilvl="1" w:tplc="08090003" w:tentative="1">
      <w:start w:val="1"/>
      <w:numFmt w:val="bullet"/>
      <w:lvlText w:val="o"/>
      <w:lvlJc w:val="left"/>
      <w:pPr>
        <w:ind w:left="515" w:hanging="360"/>
      </w:pPr>
      <w:rPr>
        <w:rFonts w:ascii="Courier New" w:hAnsi="Courier New" w:cs="Courier New" w:hint="default"/>
      </w:rPr>
    </w:lvl>
    <w:lvl w:ilvl="2" w:tplc="08090005" w:tentative="1">
      <w:start w:val="1"/>
      <w:numFmt w:val="bullet"/>
      <w:lvlText w:val=""/>
      <w:lvlJc w:val="left"/>
      <w:pPr>
        <w:ind w:left="1235" w:hanging="360"/>
      </w:pPr>
      <w:rPr>
        <w:rFonts w:ascii="Wingdings" w:hAnsi="Wingdings" w:hint="default"/>
      </w:rPr>
    </w:lvl>
    <w:lvl w:ilvl="3" w:tplc="08090001" w:tentative="1">
      <w:start w:val="1"/>
      <w:numFmt w:val="bullet"/>
      <w:lvlText w:val=""/>
      <w:lvlJc w:val="left"/>
      <w:pPr>
        <w:ind w:left="1955" w:hanging="360"/>
      </w:pPr>
      <w:rPr>
        <w:rFonts w:ascii="Symbol" w:hAnsi="Symbol" w:hint="default"/>
      </w:rPr>
    </w:lvl>
    <w:lvl w:ilvl="4" w:tplc="08090003" w:tentative="1">
      <w:start w:val="1"/>
      <w:numFmt w:val="bullet"/>
      <w:lvlText w:val="o"/>
      <w:lvlJc w:val="left"/>
      <w:pPr>
        <w:ind w:left="2675" w:hanging="360"/>
      </w:pPr>
      <w:rPr>
        <w:rFonts w:ascii="Courier New" w:hAnsi="Courier New" w:cs="Courier New" w:hint="default"/>
      </w:rPr>
    </w:lvl>
    <w:lvl w:ilvl="5" w:tplc="08090005" w:tentative="1">
      <w:start w:val="1"/>
      <w:numFmt w:val="bullet"/>
      <w:lvlText w:val=""/>
      <w:lvlJc w:val="left"/>
      <w:pPr>
        <w:ind w:left="3395" w:hanging="360"/>
      </w:pPr>
      <w:rPr>
        <w:rFonts w:ascii="Wingdings" w:hAnsi="Wingdings" w:hint="default"/>
      </w:rPr>
    </w:lvl>
    <w:lvl w:ilvl="6" w:tplc="08090001" w:tentative="1">
      <w:start w:val="1"/>
      <w:numFmt w:val="bullet"/>
      <w:lvlText w:val=""/>
      <w:lvlJc w:val="left"/>
      <w:pPr>
        <w:ind w:left="4115" w:hanging="360"/>
      </w:pPr>
      <w:rPr>
        <w:rFonts w:ascii="Symbol" w:hAnsi="Symbol" w:hint="default"/>
      </w:rPr>
    </w:lvl>
    <w:lvl w:ilvl="7" w:tplc="08090003" w:tentative="1">
      <w:start w:val="1"/>
      <w:numFmt w:val="bullet"/>
      <w:lvlText w:val="o"/>
      <w:lvlJc w:val="left"/>
      <w:pPr>
        <w:ind w:left="4835" w:hanging="360"/>
      </w:pPr>
      <w:rPr>
        <w:rFonts w:ascii="Courier New" w:hAnsi="Courier New" w:cs="Courier New" w:hint="default"/>
      </w:rPr>
    </w:lvl>
    <w:lvl w:ilvl="8" w:tplc="08090005" w:tentative="1">
      <w:start w:val="1"/>
      <w:numFmt w:val="bullet"/>
      <w:lvlText w:val=""/>
      <w:lvlJc w:val="left"/>
      <w:pPr>
        <w:ind w:left="5555" w:hanging="360"/>
      </w:pPr>
      <w:rPr>
        <w:rFonts w:ascii="Wingdings" w:hAnsi="Wingdings" w:hint="default"/>
      </w:rPr>
    </w:lvl>
  </w:abstractNum>
  <w:abstractNum w:abstractNumId="6" w15:restartNumberingAfterBreak="0">
    <w:nsid w:val="4AAF51B4"/>
    <w:multiLevelType w:val="hybridMultilevel"/>
    <w:tmpl w:val="4FD64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BFB28FF"/>
    <w:multiLevelType w:val="hybridMultilevel"/>
    <w:tmpl w:val="784459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672AB5"/>
    <w:multiLevelType w:val="hybridMultilevel"/>
    <w:tmpl w:val="2544FD6C"/>
    <w:lvl w:ilvl="0" w:tplc="78049C68">
      <w:start w:val="1"/>
      <w:numFmt w:val="decimal"/>
      <w:lvlText w:val="%1"/>
      <w:lvlJc w:val="left"/>
      <w:pPr>
        <w:tabs>
          <w:tab w:val="num" w:pos="720"/>
        </w:tabs>
        <w:ind w:left="720" w:hanging="360"/>
      </w:pPr>
      <w:rPr>
        <w:rFonts w:hint="default"/>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52D15F1D"/>
    <w:multiLevelType w:val="multilevel"/>
    <w:tmpl w:val="FAC63416"/>
    <w:lvl w:ilvl="0">
      <w:start w:val="1"/>
      <w:numFmt w:val="decimal"/>
      <w:pStyle w:val="OPENmanualpara"/>
      <w:lvlText w:val="%1)"/>
      <w:lvlJc w:val="left"/>
      <w:pPr>
        <w:ind w:left="360"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7B63AE7"/>
    <w:multiLevelType w:val="hybridMultilevel"/>
    <w:tmpl w:val="35D0D70E"/>
    <w:lvl w:ilvl="0" w:tplc="1304D1C6">
      <w:start w:val="10"/>
      <w:numFmt w:val="bullet"/>
      <w:lvlText w:val="-"/>
      <w:lvlJc w:val="left"/>
      <w:pPr>
        <w:ind w:left="1352" w:hanging="360"/>
      </w:pPr>
      <w:rPr>
        <w:rFonts w:ascii="Arial" w:eastAsia="Times New Roman" w:hAnsi="Arial" w:cs="Arial" w:hint="default"/>
        <w:b/>
      </w:rPr>
    </w:lvl>
    <w:lvl w:ilvl="1" w:tplc="08090003">
      <w:start w:val="1"/>
      <w:numFmt w:val="bullet"/>
      <w:lvlText w:val="o"/>
      <w:lvlJc w:val="left"/>
      <w:pPr>
        <w:ind w:left="2072" w:hanging="360"/>
      </w:pPr>
      <w:rPr>
        <w:rFonts w:ascii="Courier New" w:hAnsi="Courier New" w:cs="Courier New" w:hint="default"/>
      </w:rPr>
    </w:lvl>
    <w:lvl w:ilvl="2" w:tplc="08090005">
      <w:start w:val="1"/>
      <w:numFmt w:val="bullet"/>
      <w:lvlText w:val=""/>
      <w:lvlJc w:val="left"/>
      <w:pPr>
        <w:ind w:left="2792" w:hanging="360"/>
      </w:pPr>
      <w:rPr>
        <w:rFonts w:ascii="Wingdings" w:hAnsi="Wingdings" w:hint="default"/>
      </w:rPr>
    </w:lvl>
    <w:lvl w:ilvl="3" w:tplc="08090001">
      <w:start w:val="1"/>
      <w:numFmt w:val="bullet"/>
      <w:lvlText w:val=""/>
      <w:lvlJc w:val="left"/>
      <w:pPr>
        <w:ind w:left="3512" w:hanging="360"/>
      </w:pPr>
      <w:rPr>
        <w:rFonts w:ascii="Symbol" w:hAnsi="Symbol" w:hint="default"/>
      </w:rPr>
    </w:lvl>
    <w:lvl w:ilvl="4" w:tplc="08090003">
      <w:start w:val="1"/>
      <w:numFmt w:val="bullet"/>
      <w:lvlText w:val="o"/>
      <w:lvlJc w:val="left"/>
      <w:pPr>
        <w:ind w:left="4232" w:hanging="360"/>
      </w:pPr>
      <w:rPr>
        <w:rFonts w:ascii="Courier New" w:hAnsi="Courier New" w:cs="Courier New" w:hint="default"/>
      </w:rPr>
    </w:lvl>
    <w:lvl w:ilvl="5" w:tplc="08090005">
      <w:start w:val="1"/>
      <w:numFmt w:val="bullet"/>
      <w:lvlText w:val=""/>
      <w:lvlJc w:val="left"/>
      <w:pPr>
        <w:ind w:left="4952" w:hanging="360"/>
      </w:pPr>
      <w:rPr>
        <w:rFonts w:ascii="Wingdings" w:hAnsi="Wingdings" w:hint="default"/>
      </w:rPr>
    </w:lvl>
    <w:lvl w:ilvl="6" w:tplc="08090001">
      <w:start w:val="1"/>
      <w:numFmt w:val="bullet"/>
      <w:lvlText w:val=""/>
      <w:lvlJc w:val="left"/>
      <w:pPr>
        <w:ind w:left="5672" w:hanging="360"/>
      </w:pPr>
      <w:rPr>
        <w:rFonts w:ascii="Symbol" w:hAnsi="Symbol" w:hint="default"/>
      </w:rPr>
    </w:lvl>
    <w:lvl w:ilvl="7" w:tplc="08090003">
      <w:start w:val="1"/>
      <w:numFmt w:val="bullet"/>
      <w:lvlText w:val="o"/>
      <w:lvlJc w:val="left"/>
      <w:pPr>
        <w:ind w:left="6392" w:hanging="360"/>
      </w:pPr>
      <w:rPr>
        <w:rFonts w:ascii="Courier New" w:hAnsi="Courier New" w:cs="Courier New" w:hint="default"/>
      </w:rPr>
    </w:lvl>
    <w:lvl w:ilvl="8" w:tplc="08090005">
      <w:start w:val="1"/>
      <w:numFmt w:val="bullet"/>
      <w:lvlText w:val=""/>
      <w:lvlJc w:val="left"/>
      <w:pPr>
        <w:ind w:left="7112" w:hanging="360"/>
      </w:pPr>
      <w:rPr>
        <w:rFonts w:ascii="Wingdings" w:hAnsi="Wingdings" w:hint="default"/>
      </w:rPr>
    </w:lvl>
  </w:abstractNum>
  <w:abstractNum w:abstractNumId="11" w15:restartNumberingAfterBreak="0">
    <w:nsid w:val="58574711"/>
    <w:multiLevelType w:val="hybridMultilevel"/>
    <w:tmpl w:val="E962E0C4"/>
    <w:lvl w:ilvl="0" w:tplc="1EEA3872">
      <w:start w:val="3"/>
      <w:numFmt w:val="bullet"/>
      <w:lvlText w:val="-"/>
      <w:lvlJc w:val="left"/>
      <w:pPr>
        <w:ind w:left="1069" w:hanging="360"/>
      </w:pPr>
      <w:rPr>
        <w:rFonts w:ascii="Arial" w:eastAsia="Times New Roman" w:hAnsi="Arial" w:cs="Aria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12" w15:restartNumberingAfterBreak="0">
    <w:nsid w:val="6D0945AC"/>
    <w:multiLevelType w:val="hybridMultilevel"/>
    <w:tmpl w:val="C6821198"/>
    <w:lvl w:ilvl="0" w:tplc="025A9F22">
      <w:start w:val="1"/>
      <w:numFmt w:val="decimal"/>
      <w:lvlText w:val="%1."/>
      <w:lvlJc w:val="left"/>
      <w:pPr>
        <w:tabs>
          <w:tab w:val="num" w:pos="360"/>
        </w:tabs>
        <w:ind w:left="360" w:hanging="360"/>
      </w:pPr>
      <w:rPr>
        <w:rFonts w:hint="default"/>
      </w:rPr>
    </w:lvl>
    <w:lvl w:ilvl="1" w:tplc="704A4098">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15:restartNumberingAfterBreak="0">
    <w:nsid w:val="701B1D17"/>
    <w:multiLevelType w:val="hybridMultilevel"/>
    <w:tmpl w:val="A1A00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5D70B9F"/>
    <w:multiLevelType w:val="multilevel"/>
    <w:tmpl w:val="4D52C604"/>
    <w:lvl w:ilvl="0">
      <w:start w:val="1"/>
      <w:numFmt w:val="decimal"/>
      <w:pStyle w:val="ParaLevel1"/>
      <w:lvlText w:val="%1."/>
      <w:lvlJc w:val="left"/>
      <w:pPr>
        <w:tabs>
          <w:tab w:val="num" w:pos="720"/>
        </w:tabs>
        <w:ind w:left="720" w:hanging="720"/>
      </w:pPr>
      <w:rPr>
        <w:b w:val="0"/>
        <w:i w:val="0"/>
        <w:strike w:val="0"/>
        <w:dstrike w:val="0"/>
        <w:u w:val="none"/>
        <w:effect w:val="none"/>
      </w:rPr>
    </w:lvl>
    <w:lvl w:ilvl="1">
      <w:start w:val="1"/>
      <w:numFmt w:val="lowerRoman"/>
      <w:pStyle w:val="ParaLevel2"/>
      <w:lvlText w:val="%2)"/>
      <w:lvlJc w:val="left"/>
      <w:pPr>
        <w:tabs>
          <w:tab w:val="num" w:pos="1418"/>
        </w:tabs>
        <w:ind w:left="1418" w:hanging="709"/>
      </w:pPr>
      <w:rPr>
        <w:b w:val="0"/>
        <w:i w:val="0"/>
      </w:rPr>
    </w:lvl>
    <w:lvl w:ilvl="2">
      <w:start w:val="1"/>
      <w:numFmt w:val="lowerLetter"/>
      <w:pStyle w:val="ParaLevel3"/>
      <w:lvlText w:val="%3)"/>
      <w:lvlJc w:val="left"/>
      <w:pPr>
        <w:tabs>
          <w:tab w:val="num" w:pos="2127"/>
        </w:tabs>
        <w:ind w:left="2127" w:hanging="709"/>
      </w:pPr>
    </w:lvl>
    <w:lvl w:ilvl="3">
      <w:start w:val="1"/>
      <w:numFmt w:val="lowerRoman"/>
      <w:pStyle w:val="ParaLevel4"/>
      <w:lvlText w:val="%4)"/>
      <w:lvlJc w:val="left"/>
      <w:pPr>
        <w:tabs>
          <w:tab w:val="num" w:pos="3207"/>
        </w:tabs>
        <w:ind w:left="2836" w:hanging="709"/>
      </w:pPr>
    </w:lvl>
    <w:lvl w:ilvl="4">
      <w:start w:val="1"/>
      <w:numFmt w:val="lowerLetter"/>
      <w:pStyle w:val="ParaLevel5"/>
      <w:lvlText w:val="(%5)"/>
      <w:lvlJc w:val="left"/>
      <w:pPr>
        <w:tabs>
          <w:tab w:val="num" w:pos="3545"/>
        </w:tabs>
        <w:ind w:left="3545" w:hanging="709"/>
      </w:pPr>
    </w:lvl>
    <w:lvl w:ilvl="5">
      <w:start w:val="1"/>
      <w:numFmt w:val="lowerRoman"/>
      <w:pStyle w:val="ParaLevel6"/>
      <w:lvlText w:val="(%6)"/>
      <w:lvlJc w:val="left"/>
      <w:pPr>
        <w:tabs>
          <w:tab w:val="num" w:pos="4625"/>
        </w:tabs>
        <w:ind w:left="4254" w:hanging="709"/>
      </w:pPr>
    </w:lvl>
    <w:lvl w:ilvl="6">
      <w:start w:val="1"/>
      <w:numFmt w:val="lowerLetter"/>
      <w:pStyle w:val="ParaLevel7"/>
      <w:lvlText w:val="(%7)"/>
      <w:lvlJc w:val="left"/>
      <w:pPr>
        <w:tabs>
          <w:tab w:val="num" w:pos="4963"/>
        </w:tabs>
        <w:ind w:left="4963" w:hanging="709"/>
      </w:pPr>
    </w:lvl>
    <w:lvl w:ilvl="7">
      <w:start w:val="1"/>
      <w:numFmt w:val="lowerRoman"/>
      <w:pStyle w:val="ParaLevel8"/>
      <w:lvlText w:val="(%8)"/>
      <w:lvlJc w:val="left"/>
      <w:pPr>
        <w:tabs>
          <w:tab w:val="num" w:pos="6043"/>
        </w:tabs>
        <w:ind w:left="5672" w:hanging="709"/>
      </w:pPr>
    </w:lvl>
    <w:lvl w:ilvl="8">
      <w:start w:val="1"/>
      <w:numFmt w:val="lowerLetter"/>
      <w:pStyle w:val="ParaLevel9"/>
      <w:lvlText w:val="(%9)"/>
      <w:lvlJc w:val="left"/>
      <w:pPr>
        <w:tabs>
          <w:tab w:val="num" w:pos="6381"/>
        </w:tabs>
        <w:ind w:left="6381" w:hanging="709"/>
      </w:pPr>
    </w:lvl>
  </w:abstractNum>
  <w:abstractNum w:abstractNumId="15" w15:restartNumberingAfterBreak="0">
    <w:nsid w:val="76B126E0"/>
    <w:multiLevelType w:val="hybridMultilevel"/>
    <w:tmpl w:val="2BBC1950"/>
    <w:lvl w:ilvl="0" w:tplc="37320690">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num w:numId="1" w16cid:durableId="1754356544">
    <w:abstractNumId w:val="14"/>
  </w:num>
  <w:num w:numId="2" w16cid:durableId="13243167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36571">
    <w:abstractNumId w:val="9"/>
  </w:num>
  <w:num w:numId="4" w16cid:durableId="11012970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0672498">
    <w:abstractNumId w:val="9"/>
    <w:lvlOverride w:ilvl="0">
      <w:lvl w:ilvl="0">
        <w:start w:val="1"/>
        <w:numFmt w:val="decimal"/>
        <w:pStyle w:val="OPENmanualpara"/>
        <w:lvlText w:val="%1."/>
        <w:lvlJc w:val="left"/>
        <w:pPr>
          <w:ind w:left="567" w:hanging="567"/>
        </w:pPr>
        <w:rPr>
          <w:rFonts w:hint="default"/>
          <w:b w:val="0"/>
          <w:i w:val="0"/>
        </w:rPr>
      </w:lvl>
    </w:lvlOverride>
    <w:lvlOverride w:ilvl="1">
      <w:lvl w:ilvl="1">
        <w:start w:val="1"/>
        <w:numFmt w:val="lowerLetter"/>
        <w:lvlText w:val="%2."/>
        <w:lvlJc w:val="left"/>
        <w:pPr>
          <w:ind w:left="851" w:hanging="284"/>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decimal"/>
        <w:lvlText w:val="%4."/>
        <w:lvlJc w:val="left"/>
        <w:pPr>
          <w:ind w:left="1701" w:hanging="425"/>
        </w:pPr>
        <w:rPr>
          <w:rFonts w:hint="default"/>
        </w:rPr>
      </w:lvl>
    </w:lvlOverride>
    <w:lvlOverride w:ilvl="4">
      <w:lvl w:ilvl="4">
        <w:start w:val="1"/>
        <w:numFmt w:val="lowerLetter"/>
        <w:lvlText w:val="%5."/>
        <w:lvlJc w:val="left"/>
        <w:pPr>
          <w:ind w:left="2126" w:hanging="425"/>
        </w:pPr>
        <w:rPr>
          <w:rFonts w:hint="default"/>
        </w:rPr>
      </w:lvl>
    </w:lvlOverride>
    <w:lvlOverride w:ilvl="5">
      <w:lvl w:ilvl="5">
        <w:start w:val="1"/>
        <w:numFmt w:val="lowerRoman"/>
        <w:lvlText w:val="%6."/>
        <w:lvlJc w:val="left"/>
        <w:pPr>
          <w:ind w:left="2552" w:hanging="426"/>
        </w:pPr>
        <w:rPr>
          <w:rFonts w:hint="default"/>
        </w:rPr>
      </w:lvl>
    </w:lvlOverride>
    <w:lvlOverride w:ilvl="6">
      <w:lvl w:ilvl="6">
        <w:start w:val="1"/>
        <w:numFmt w:val="decimal"/>
        <w:lvlText w:val="%7."/>
        <w:lvlJc w:val="left"/>
        <w:pPr>
          <w:ind w:left="2977" w:hanging="425"/>
        </w:pPr>
        <w:rPr>
          <w:rFonts w:hint="default"/>
        </w:rPr>
      </w:lvl>
    </w:lvlOverride>
    <w:lvlOverride w:ilvl="7">
      <w:lvl w:ilvl="7">
        <w:start w:val="1"/>
        <w:numFmt w:val="lowerLetter"/>
        <w:lvlText w:val="%8."/>
        <w:lvlJc w:val="left"/>
        <w:pPr>
          <w:ind w:left="3402" w:hanging="425"/>
        </w:pPr>
        <w:rPr>
          <w:rFonts w:hint="default"/>
        </w:rPr>
      </w:lvl>
    </w:lvlOverride>
    <w:lvlOverride w:ilvl="8">
      <w:lvl w:ilvl="8">
        <w:start w:val="1"/>
        <w:numFmt w:val="lowerRoman"/>
        <w:lvlText w:val="%9."/>
        <w:lvlJc w:val="left"/>
        <w:pPr>
          <w:ind w:left="3827" w:hanging="425"/>
        </w:pPr>
        <w:rPr>
          <w:rFonts w:hint="default"/>
        </w:rPr>
      </w:lvl>
    </w:lvlOverride>
  </w:num>
  <w:num w:numId="6" w16cid:durableId="584725573">
    <w:abstractNumId w:val="13"/>
  </w:num>
  <w:num w:numId="7" w16cid:durableId="362026121">
    <w:abstractNumId w:val="13"/>
  </w:num>
  <w:num w:numId="8" w16cid:durableId="2089226596">
    <w:abstractNumId w:val="10"/>
  </w:num>
  <w:num w:numId="9" w16cid:durableId="692615127">
    <w:abstractNumId w:val="10"/>
  </w:num>
  <w:num w:numId="10" w16cid:durableId="787168341">
    <w:abstractNumId w:val="2"/>
  </w:num>
  <w:num w:numId="11" w16cid:durableId="2129664745">
    <w:abstractNumId w:val="2"/>
  </w:num>
  <w:num w:numId="12" w16cid:durableId="346174433">
    <w:abstractNumId w:val="11"/>
  </w:num>
  <w:num w:numId="13" w16cid:durableId="812604601">
    <w:abstractNumId w:val="11"/>
  </w:num>
  <w:num w:numId="14" w16cid:durableId="236406648">
    <w:abstractNumId w:val="15"/>
  </w:num>
  <w:num w:numId="15" w16cid:durableId="12947962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44094689">
    <w:abstractNumId w:val="7"/>
  </w:num>
  <w:num w:numId="17" w16cid:durableId="514148828">
    <w:abstractNumId w:val="9"/>
  </w:num>
  <w:num w:numId="18" w16cid:durableId="1799689547">
    <w:abstractNumId w:val="9"/>
  </w:num>
  <w:num w:numId="19" w16cid:durableId="1683165876">
    <w:abstractNumId w:val="9"/>
  </w:num>
  <w:num w:numId="20" w16cid:durableId="1363170778">
    <w:abstractNumId w:val="9"/>
  </w:num>
  <w:num w:numId="21" w16cid:durableId="2116247877">
    <w:abstractNumId w:val="9"/>
  </w:num>
  <w:num w:numId="22" w16cid:durableId="366026977">
    <w:abstractNumId w:val="6"/>
  </w:num>
  <w:num w:numId="23" w16cid:durableId="105660660">
    <w:abstractNumId w:val="9"/>
  </w:num>
  <w:num w:numId="24" w16cid:durableId="857354324">
    <w:abstractNumId w:val="3"/>
  </w:num>
  <w:num w:numId="25" w16cid:durableId="1396735850">
    <w:abstractNumId w:val="9"/>
  </w:num>
  <w:num w:numId="26" w16cid:durableId="555312768">
    <w:abstractNumId w:val="9"/>
  </w:num>
  <w:num w:numId="27" w16cid:durableId="1775127533">
    <w:abstractNumId w:val="5"/>
  </w:num>
  <w:num w:numId="28" w16cid:durableId="725375795">
    <w:abstractNumId w:val="8"/>
  </w:num>
  <w:num w:numId="29" w16cid:durableId="1190140498">
    <w:abstractNumId w:val="1"/>
  </w:num>
  <w:num w:numId="30" w16cid:durableId="1140003295">
    <w:abstractNumId w:val="12"/>
  </w:num>
  <w:num w:numId="31" w16cid:durableId="987325957">
    <w:abstractNumId w:val="0"/>
  </w:num>
  <w:num w:numId="32" w16cid:durableId="3488739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4F7"/>
    <w:rsid w:val="00002A1B"/>
    <w:rsid w:val="0000383A"/>
    <w:rsid w:val="0000443D"/>
    <w:rsid w:val="00006070"/>
    <w:rsid w:val="000067DC"/>
    <w:rsid w:val="000070B3"/>
    <w:rsid w:val="00013456"/>
    <w:rsid w:val="00021C6E"/>
    <w:rsid w:val="000234E1"/>
    <w:rsid w:val="00023943"/>
    <w:rsid w:val="0002397B"/>
    <w:rsid w:val="000240C2"/>
    <w:rsid w:val="0002483D"/>
    <w:rsid w:val="00040E67"/>
    <w:rsid w:val="00045EDB"/>
    <w:rsid w:val="000476A8"/>
    <w:rsid w:val="00062628"/>
    <w:rsid w:val="000633CF"/>
    <w:rsid w:val="00064997"/>
    <w:rsid w:val="00065CD3"/>
    <w:rsid w:val="00070439"/>
    <w:rsid w:val="00071E09"/>
    <w:rsid w:val="00071F9F"/>
    <w:rsid w:val="00076F4C"/>
    <w:rsid w:val="000844D1"/>
    <w:rsid w:val="00085677"/>
    <w:rsid w:val="000920C7"/>
    <w:rsid w:val="000975DE"/>
    <w:rsid w:val="000A0680"/>
    <w:rsid w:val="000A3370"/>
    <w:rsid w:val="000A3765"/>
    <w:rsid w:val="000A7B67"/>
    <w:rsid w:val="000B027C"/>
    <w:rsid w:val="000B0616"/>
    <w:rsid w:val="000B0B88"/>
    <w:rsid w:val="000B1BB3"/>
    <w:rsid w:val="000B4FF8"/>
    <w:rsid w:val="000B6ED3"/>
    <w:rsid w:val="000C2074"/>
    <w:rsid w:val="000C3AA8"/>
    <w:rsid w:val="000C5BC9"/>
    <w:rsid w:val="000D5A3A"/>
    <w:rsid w:val="000D6799"/>
    <w:rsid w:val="000D6956"/>
    <w:rsid w:val="000D78CD"/>
    <w:rsid w:val="000E3029"/>
    <w:rsid w:val="000E3CF1"/>
    <w:rsid w:val="000E48B7"/>
    <w:rsid w:val="000F2DEC"/>
    <w:rsid w:val="000F71AD"/>
    <w:rsid w:val="00101CC0"/>
    <w:rsid w:val="001023BF"/>
    <w:rsid w:val="0010598E"/>
    <w:rsid w:val="00106EAC"/>
    <w:rsid w:val="001075F6"/>
    <w:rsid w:val="0011103D"/>
    <w:rsid w:val="0011104D"/>
    <w:rsid w:val="001119F7"/>
    <w:rsid w:val="00117739"/>
    <w:rsid w:val="001179EC"/>
    <w:rsid w:val="001256A1"/>
    <w:rsid w:val="001264D1"/>
    <w:rsid w:val="0014084D"/>
    <w:rsid w:val="00144B0F"/>
    <w:rsid w:val="0014588D"/>
    <w:rsid w:val="00152A74"/>
    <w:rsid w:val="00153570"/>
    <w:rsid w:val="00154B90"/>
    <w:rsid w:val="00155406"/>
    <w:rsid w:val="00161AE1"/>
    <w:rsid w:val="00161F93"/>
    <w:rsid w:val="00162E5E"/>
    <w:rsid w:val="00165A95"/>
    <w:rsid w:val="00165EE5"/>
    <w:rsid w:val="001663C3"/>
    <w:rsid w:val="00166AF1"/>
    <w:rsid w:val="001729D1"/>
    <w:rsid w:val="00172F47"/>
    <w:rsid w:val="00173E8F"/>
    <w:rsid w:val="001761C0"/>
    <w:rsid w:val="00177446"/>
    <w:rsid w:val="001846DB"/>
    <w:rsid w:val="00185361"/>
    <w:rsid w:val="00186160"/>
    <w:rsid w:val="00186588"/>
    <w:rsid w:val="00187997"/>
    <w:rsid w:val="0019271D"/>
    <w:rsid w:val="001957F7"/>
    <w:rsid w:val="00195F43"/>
    <w:rsid w:val="00197813"/>
    <w:rsid w:val="001A60BE"/>
    <w:rsid w:val="001A6906"/>
    <w:rsid w:val="001B0AC2"/>
    <w:rsid w:val="001B2154"/>
    <w:rsid w:val="001B2673"/>
    <w:rsid w:val="001D35E7"/>
    <w:rsid w:val="001D3767"/>
    <w:rsid w:val="001E07DA"/>
    <w:rsid w:val="001E14F1"/>
    <w:rsid w:val="001F12C1"/>
    <w:rsid w:val="001F3261"/>
    <w:rsid w:val="001F651A"/>
    <w:rsid w:val="001F6D0E"/>
    <w:rsid w:val="002015CD"/>
    <w:rsid w:val="00207754"/>
    <w:rsid w:val="002115EE"/>
    <w:rsid w:val="00211AA4"/>
    <w:rsid w:val="00213848"/>
    <w:rsid w:val="002179B2"/>
    <w:rsid w:val="0022082D"/>
    <w:rsid w:val="002228DD"/>
    <w:rsid w:val="00225111"/>
    <w:rsid w:val="002254C1"/>
    <w:rsid w:val="00227A4E"/>
    <w:rsid w:val="00230CDB"/>
    <w:rsid w:val="00237564"/>
    <w:rsid w:val="00240BA7"/>
    <w:rsid w:val="0024596F"/>
    <w:rsid w:val="002467F5"/>
    <w:rsid w:val="00250FE5"/>
    <w:rsid w:val="00255C8E"/>
    <w:rsid w:val="002615C8"/>
    <w:rsid w:val="00262BEA"/>
    <w:rsid w:val="00265C96"/>
    <w:rsid w:val="0027035C"/>
    <w:rsid w:val="00274D44"/>
    <w:rsid w:val="00275738"/>
    <w:rsid w:val="00275A5E"/>
    <w:rsid w:val="00277101"/>
    <w:rsid w:val="00277538"/>
    <w:rsid w:val="00280FF0"/>
    <w:rsid w:val="00295AF4"/>
    <w:rsid w:val="002A2120"/>
    <w:rsid w:val="002A47E8"/>
    <w:rsid w:val="002A60C9"/>
    <w:rsid w:val="002C0050"/>
    <w:rsid w:val="002C0971"/>
    <w:rsid w:val="002C2532"/>
    <w:rsid w:val="002C3B31"/>
    <w:rsid w:val="002D0766"/>
    <w:rsid w:val="002D495A"/>
    <w:rsid w:val="002D5DF5"/>
    <w:rsid w:val="002D66B6"/>
    <w:rsid w:val="002D74C9"/>
    <w:rsid w:val="002D75F4"/>
    <w:rsid w:val="002D7CFD"/>
    <w:rsid w:val="002D7D52"/>
    <w:rsid w:val="002E6362"/>
    <w:rsid w:val="002E6EC1"/>
    <w:rsid w:val="002E7DDE"/>
    <w:rsid w:val="002F3F6E"/>
    <w:rsid w:val="002F5982"/>
    <w:rsid w:val="002F6D4F"/>
    <w:rsid w:val="003022E7"/>
    <w:rsid w:val="00315006"/>
    <w:rsid w:val="00316350"/>
    <w:rsid w:val="00330B01"/>
    <w:rsid w:val="00331C6B"/>
    <w:rsid w:val="00333F71"/>
    <w:rsid w:val="00340D21"/>
    <w:rsid w:val="00342062"/>
    <w:rsid w:val="00342DF7"/>
    <w:rsid w:val="003442C9"/>
    <w:rsid w:val="00344F11"/>
    <w:rsid w:val="0034589C"/>
    <w:rsid w:val="00354322"/>
    <w:rsid w:val="0035534A"/>
    <w:rsid w:val="00356F5E"/>
    <w:rsid w:val="00364407"/>
    <w:rsid w:val="00366D3C"/>
    <w:rsid w:val="0036756A"/>
    <w:rsid w:val="00387C7E"/>
    <w:rsid w:val="00391B05"/>
    <w:rsid w:val="003966DA"/>
    <w:rsid w:val="003A0A72"/>
    <w:rsid w:val="003B5A3E"/>
    <w:rsid w:val="003B775F"/>
    <w:rsid w:val="003C6BBE"/>
    <w:rsid w:val="003D49D3"/>
    <w:rsid w:val="003D6D3C"/>
    <w:rsid w:val="003E075E"/>
    <w:rsid w:val="003E1E72"/>
    <w:rsid w:val="003E2E7B"/>
    <w:rsid w:val="003E38AF"/>
    <w:rsid w:val="003E52D9"/>
    <w:rsid w:val="003E5779"/>
    <w:rsid w:val="003F0CE3"/>
    <w:rsid w:val="003F242E"/>
    <w:rsid w:val="003F4A46"/>
    <w:rsid w:val="0041146C"/>
    <w:rsid w:val="00412584"/>
    <w:rsid w:val="00413C4D"/>
    <w:rsid w:val="00415B21"/>
    <w:rsid w:val="004203A9"/>
    <w:rsid w:val="004219AE"/>
    <w:rsid w:val="00427DF4"/>
    <w:rsid w:val="00430F0B"/>
    <w:rsid w:val="00432D83"/>
    <w:rsid w:val="0043459C"/>
    <w:rsid w:val="00434B26"/>
    <w:rsid w:val="00435B42"/>
    <w:rsid w:val="00436BD1"/>
    <w:rsid w:val="0043710B"/>
    <w:rsid w:val="00443444"/>
    <w:rsid w:val="004520FC"/>
    <w:rsid w:val="004523A4"/>
    <w:rsid w:val="00452DA0"/>
    <w:rsid w:val="00453959"/>
    <w:rsid w:val="00454DC2"/>
    <w:rsid w:val="00455D19"/>
    <w:rsid w:val="00456214"/>
    <w:rsid w:val="00460E63"/>
    <w:rsid w:val="00463CC9"/>
    <w:rsid w:val="004664A0"/>
    <w:rsid w:val="00467BC1"/>
    <w:rsid w:val="00471EC4"/>
    <w:rsid w:val="004732A6"/>
    <w:rsid w:val="00480E1F"/>
    <w:rsid w:val="00486371"/>
    <w:rsid w:val="00487305"/>
    <w:rsid w:val="00492E0F"/>
    <w:rsid w:val="0049601F"/>
    <w:rsid w:val="004A23DE"/>
    <w:rsid w:val="004A249F"/>
    <w:rsid w:val="004A678C"/>
    <w:rsid w:val="004B2B44"/>
    <w:rsid w:val="004B5E37"/>
    <w:rsid w:val="004C06A6"/>
    <w:rsid w:val="004C36AD"/>
    <w:rsid w:val="004C5110"/>
    <w:rsid w:val="004C637F"/>
    <w:rsid w:val="004D77DB"/>
    <w:rsid w:val="004E76EE"/>
    <w:rsid w:val="004F18BE"/>
    <w:rsid w:val="004F4D4C"/>
    <w:rsid w:val="004F5BFD"/>
    <w:rsid w:val="004F6212"/>
    <w:rsid w:val="004F7587"/>
    <w:rsid w:val="0050328E"/>
    <w:rsid w:val="00504BBD"/>
    <w:rsid w:val="005065F0"/>
    <w:rsid w:val="00506900"/>
    <w:rsid w:val="00507765"/>
    <w:rsid w:val="00507E54"/>
    <w:rsid w:val="0051053A"/>
    <w:rsid w:val="00522576"/>
    <w:rsid w:val="0052520B"/>
    <w:rsid w:val="00526A53"/>
    <w:rsid w:val="00527727"/>
    <w:rsid w:val="00527BB9"/>
    <w:rsid w:val="00530045"/>
    <w:rsid w:val="005314F1"/>
    <w:rsid w:val="005343DA"/>
    <w:rsid w:val="00534C39"/>
    <w:rsid w:val="00536438"/>
    <w:rsid w:val="00540EB1"/>
    <w:rsid w:val="0054232F"/>
    <w:rsid w:val="00545036"/>
    <w:rsid w:val="00546094"/>
    <w:rsid w:val="00546B5A"/>
    <w:rsid w:val="005471ED"/>
    <w:rsid w:val="005474F7"/>
    <w:rsid w:val="00550124"/>
    <w:rsid w:val="00555ABD"/>
    <w:rsid w:val="00556113"/>
    <w:rsid w:val="00557015"/>
    <w:rsid w:val="00557933"/>
    <w:rsid w:val="00563A94"/>
    <w:rsid w:val="00563C61"/>
    <w:rsid w:val="00582936"/>
    <w:rsid w:val="0058355B"/>
    <w:rsid w:val="00583DAC"/>
    <w:rsid w:val="00584D09"/>
    <w:rsid w:val="00585DB3"/>
    <w:rsid w:val="005922D1"/>
    <w:rsid w:val="00592353"/>
    <w:rsid w:val="005935CC"/>
    <w:rsid w:val="005A094B"/>
    <w:rsid w:val="005B064E"/>
    <w:rsid w:val="005B2BBB"/>
    <w:rsid w:val="005C0645"/>
    <w:rsid w:val="005D3D65"/>
    <w:rsid w:val="005E0CF7"/>
    <w:rsid w:val="005E2588"/>
    <w:rsid w:val="005E2CF5"/>
    <w:rsid w:val="005E4ECD"/>
    <w:rsid w:val="005E54A0"/>
    <w:rsid w:val="005E68F7"/>
    <w:rsid w:val="005F2E52"/>
    <w:rsid w:val="005F5CD0"/>
    <w:rsid w:val="005F645B"/>
    <w:rsid w:val="005F7603"/>
    <w:rsid w:val="00601740"/>
    <w:rsid w:val="00601C27"/>
    <w:rsid w:val="00604365"/>
    <w:rsid w:val="00611D1F"/>
    <w:rsid w:val="00612BF2"/>
    <w:rsid w:val="00612BFE"/>
    <w:rsid w:val="0061532A"/>
    <w:rsid w:val="006174A8"/>
    <w:rsid w:val="0062575A"/>
    <w:rsid w:val="006302FC"/>
    <w:rsid w:val="006400C0"/>
    <w:rsid w:val="006436B9"/>
    <w:rsid w:val="0064727A"/>
    <w:rsid w:val="00651723"/>
    <w:rsid w:val="00654E1E"/>
    <w:rsid w:val="00654F7A"/>
    <w:rsid w:val="00656DD2"/>
    <w:rsid w:val="0065714A"/>
    <w:rsid w:val="00663AE4"/>
    <w:rsid w:val="00667DBF"/>
    <w:rsid w:val="00674FF8"/>
    <w:rsid w:val="00675292"/>
    <w:rsid w:val="00682656"/>
    <w:rsid w:val="0068388D"/>
    <w:rsid w:val="006844D5"/>
    <w:rsid w:val="006927E2"/>
    <w:rsid w:val="006935F0"/>
    <w:rsid w:val="006A3182"/>
    <w:rsid w:val="006B2B77"/>
    <w:rsid w:val="006B4858"/>
    <w:rsid w:val="006B6442"/>
    <w:rsid w:val="006B7D22"/>
    <w:rsid w:val="006C0807"/>
    <w:rsid w:val="006C3DDA"/>
    <w:rsid w:val="006C6971"/>
    <w:rsid w:val="006D0576"/>
    <w:rsid w:val="006D2DD8"/>
    <w:rsid w:val="006D4B91"/>
    <w:rsid w:val="006D5A16"/>
    <w:rsid w:val="006D6D62"/>
    <w:rsid w:val="006E1713"/>
    <w:rsid w:val="006E5D48"/>
    <w:rsid w:val="006F7443"/>
    <w:rsid w:val="00700CD6"/>
    <w:rsid w:val="00704BAD"/>
    <w:rsid w:val="0070582C"/>
    <w:rsid w:val="00706182"/>
    <w:rsid w:val="00707E5D"/>
    <w:rsid w:val="00710943"/>
    <w:rsid w:val="0071259B"/>
    <w:rsid w:val="007163CD"/>
    <w:rsid w:val="00716FB8"/>
    <w:rsid w:val="007215F2"/>
    <w:rsid w:val="00724D46"/>
    <w:rsid w:val="00727C3D"/>
    <w:rsid w:val="00732F3D"/>
    <w:rsid w:val="00745F54"/>
    <w:rsid w:val="00746BDA"/>
    <w:rsid w:val="00750C92"/>
    <w:rsid w:val="0075347B"/>
    <w:rsid w:val="00756156"/>
    <w:rsid w:val="00762A99"/>
    <w:rsid w:val="0076452A"/>
    <w:rsid w:val="007666A3"/>
    <w:rsid w:val="007802D6"/>
    <w:rsid w:val="00784AFD"/>
    <w:rsid w:val="007934E6"/>
    <w:rsid w:val="00793861"/>
    <w:rsid w:val="0079491A"/>
    <w:rsid w:val="00794B72"/>
    <w:rsid w:val="00795782"/>
    <w:rsid w:val="00795EA1"/>
    <w:rsid w:val="007A460B"/>
    <w:rsid w:val="007A49B2"/>
    <w:rsid w:val="007B593A"/>
    <w:rsid w:val="007C2500"/>
    <w:rsid w:val="007C408C"/>
    <w:rsid w:val="007C4C16"/>
    <w:rsid w:val="007C66F8"/>
    <w:rsid w:val="007D2428"/>
    <w:rsid w:val="007E1D7E"/>
    <w:rsid w:val="007E23BD"/>
    <w:rsid w:val="007F4359"/>
    <w:rsid w:val="007F646C"/>
    <w:rsid w:val="008122B8"/>
    <w:rsid w:val="008414B9"/>
    <w:rsid w:val="00842B65"/>
    <w:rsid w:val="0084703F"/>
    <w:rsid w:val="00863047"/>
    <w:rsid w:val="00864368"/>
    <w:rsid w:val="00867A29"/>
    <w:rsid w:val="00872BB9"/>
    <w:rsid w:val="00875186"/>
    <w:rsid w:val="0087586D"/>
    <w:rsid w:val="008804CD"/>
    <w:rsid w:val="008878A4"/>
    <w:rsid w:val="0089064F"/>
    <w:rsid w:val="00892A68"/>
    <w:rsid w:val="0089726A"/>
    <w:rsid w:val="008A0416"/>
    <w:rsid w:val="008A0A38"/>
    <w:rsid w:val="008A23A7"/>
    <w:rsid w:val="008A3CF6"/>
    <w:rsid w:val="008A5802"/>
    <w:rsid w:val="008A5A1C"/>
    <w:rsid w:val="008B6848"/>
    <w:rsid w:val="008B7A7B"/>
    <w:rsid w:val="008D0E9E"/>
    <w:rsid w:val="008D2A16"/>
    <w:rsid w:val="008D42F9"/>
    <w:rsid w:val="008D48BE"/>
    <w:rsid w:val="008E19A4"/>
    <w:rsid w:val="008E49C5"/>
    <w:rsid w:val="008F101A"/>
    <w:rsid w:val="00903EFD"/>
    <w:rsid w:val="009057EC"/>
    <w:rsid w:val="00905E89"/>
    <w:rsid w:val="009126C4"/>
    <w:rsid w:val="009159D4"/>
    <w:rsid w:val="0092612D"/>
    <w:rsid w:val="0092638C"/>
    <w:rsid w:val="009267E1"/>
    <w:rsid w:val="00942D38"/>
    <w:rsid w:val="009454EE"/>
    <w:rsid w:val="009476BC"/>
    <w:rsid w:val="009477B3"/>
    <w:rsid w:val="00950B0A"/>
    <w:rsid w:val="00950CD2"/>
    <w:rsid w:val="009602E5"/>
    <w:rsid w:val="0096424E"/>
    <w:rsid w:val="00965371"/>
    <w:rsid w:val="00966432"/>
    <w:rsid w:val="0097580C"/>
    <w:rsid w:val="0097761D"/>
    <w:rsid w:val="009879E8"/>
    <w:rsid w:val="009928E3"/>
    <w:rsid w:val="00993DAF"/>
    <w:rsid w:val="009A2A86"/>
    <w:rsid w:val="009A395F"/>
    <w:rsid w:val="009A400F"/>
    <w:rsid w:val="009A62BB"/>
    <w:rsid w:val="009A69AC"/>
    <w:rsid w:val="009A6ECE"/>
    <w:rsid w:val="009B30DA"/>
    <w:rsid w:val="009B343C"/>
    <w:rsid w:val="009B588D"/>
    <w:rsid w:val="009C14FA"/>
    <w:rsid w:val="009C1FE6"/>
    <w:rsid w:val="009C5E24"/>
    <w:rsid w:val="009D089B"/>
    <w:rsid w:val="009E0073"/>
    <w:rsid w:val="009E184F"/>
    <w:rsid w:val="009E431B"/>
    <w:rsid w:val="009E77E6"/>
    <w:rsid w:val="009F09E8"/>
    <w:rsid w:val="009F2139"/>
    <w:rsid w:val="009F49A7"/>
    <w:rsid w:val="009F5FC2"/>
    <w:rsid w:val="00A00C57"/>
    <w:rsid w:val="00A07FFA"/>
    <w:rsid w:val="00A13A39"/>
    <w:rsid w:val="00A148DC"/>
    <w:rsid w:val="00A16DD2"/>
    <w:rsid w:val="00A35CD1"/>
    <w:rsid w:val="00A44EFF"/>
    <w:rsid w:val="00A45636"/>
    <w:rsid w:val="00A50078"/>
    <w:rsid w:val="00A626F5"/>
    <w:rsid w:val="00A72ACE"/>
    <w:rsid w:val="00A7405B"/>
    <w:rsid w:val="00A74DB2"/>
    <w:rsid w:val="00A76E5E"/>
    <w:rsid w:val="00A919FA"/>
    <w:rsid w:val="00A971A8"/>
    <w:rsid w:val="00AA13A7"/>
    <w:rsid w:val="00AA1A37"/>
    <w:rsid w:val="00AA3887"/>
    <w:rsid w:val="00AA51DF"/>
    <w:rsid w:val="00AA5250"/>
    <w:rsid w:val="00AC20A0"/>
    <w:rsid w:val="00AC2C62"/>
    <w:rsid w:val="00AD0192"/>
    <w:rsid w:val="00AD180A"/>
    <w:rsid w:val="00AD471B"/>
    <w:rsid w:val="00AD5E27"/>
    <w:rsid w:val="00AD631A"/>
    <w:rsid w:val="00AE3D38"/>
    <w:rsid w:val="00AE5D7F"/>
    <w:rsid w:val="00AE5E04"/>
    <w:rsid w:val="00AE77F3"/>
    <w:rsid w:val="00AF1D1D"/>
    <w:rsid w:val="00AF2F62"/>
    <w:rsid w:val="00AF3514"/>
    <w:rsid w:val="00AF4192"/>
    <w:rsid w:val="00B0026F"/>
    <w:rsid w:val="00B00E8B"/>
    <w:rsid w:val="00B0507F"/>
    <w:rsid w:val="00B06DF2"/>
    <w:rsid w:val="00B10848"/>
    <w:rsid w:val="00B11069"/>
    <w:rsid w:val="00B129B3"/>
    <w:rsid w:val="00B1485C"/>
    <w:rsid w:val="00B14E43"/>
    <w:rsid w:val="00B16B5B"/>
    <w:rsid w:val="00B16C14"/>
    <w:rsid w:val="00B2095A"/>
    <w:rsid w:val="00B23B1F"/>
    <w:rsid w:val="00B275B5"/>
    <w:rsid w:val="00B305FC"/>
    <w:rsid w:val="00B339AE"/>
    <w:rsid w:val="00B4217A"/>
    <w:rsid w:val="00B4382A"/>
    <w:rsid w:val="00B449E1"/>
    <w:rsid w:val="00B456AC"/>
    <w:rsid w:val="00B47B20"/>
    <w:rsid w:val="00B51C50"/>
    <w:rsid w:val="00B55CD4"/>
    <w:rsid w:val="00B56D67"/>
    <w:rsid w:val="00B66378"/>
    <w:rsid w:val="00B72CA8"/>
    <w:rsid w:val="00B73673"/>
    <w:rsid w:val="00B80294"/>
    <w:rsid w:val="00B8714D"/>
    <w:rsid w:val="00B919C2"/>
    <w:rsid w:val="00B942B5"/>
    <w:rsid w:val="00B94406"/>
    <w:rsid w:val="00BA01CD"/>
    <w:rsid w:val="00BA4DE4"/>
    <w:rsid w:val="00BB1D55"/>
    <w:rsid w:val="00BB2880"/>
    <w:rsid w:val="00BB2EAB"/>
    <w:rsid w:val="00BB3F04"/>
    <w:rsid w:val="00BC0004"/>
    <w:rsid w:val="00BC23D4"/>
    <w:rsid w:val="00BC2C4C"/>
    <w:rsid w:val="00BC3320"/>
    <w:rsid w:val="00BC37DE"/>
    <w:rsid w:val="00BD0B36"/>
    <w:rsid w:val="00BD1565"/>
    <w:rsid w:val="00BD1D0E"/>
    <w:rsid w:val="00BD2756"/>
    <w:rsid w:val="00BE162D"/>
    <w:rsid w:val="00BE1746"/>
    <w:rsid w:val="00BE1AFA"/>
    <w:rsid w:val="00BE2B41"/>
    <w:rsid w:val="00BE70C5"/>
    <w:rsid w:val="00BE7230"/>
    <w:rsid w:val="00BF164D"/>
    <w:rsid w:val="00BF2CAD"/>
    <w:rsid w:val="00BF324C"/>
    <w:rsid w:val="00BF3EE9"/>
    <w:rsid w:val="00C02915"/>
    <w:rsid w:val="00C03060"/>
    <w:rsid w:val="00C03163"/>
    <w:rsid w:val="00C05787"/>
    <w:rsid w:val="00C113F2"/>
    <w:rsid w:val="00C11BF4"/>
    <w:rsid w:val="00C13E08"/>
    <w:rsid w:val="00C14671"/>
    <w:rsid w:val="00C15196"/>
    <w:rsid w:val="00C15A88"/>
    <w:rsid w:val="00C15ECA"/>
    <w:rsid w:val="00C25425"/>
    <w:rsid w:val="00C376A8"/>
    <w:rsid w:val="00C37EB2"/>
    <w:rsid w:val="00C42125"/>
    <w:rsid w:val="00C46E89"/>
    <w:rsid w:val="00C6091E"/>
    <w:rsid w:val="00C6229B"/>
    <w:rsid w:val="00C65024"/>
    <w:rsid w:val="00C7640F"/>
    <w:rsid w:val="00C76427"/>
    <w:rsid w:val="00C805B1"/>
    <w:rsid w:val="00C868E6"/>
    <w:rsid w:val="00CA7E8B"/>
    <w:rsid w:val="00CB0DD5"/>
    <w:rsid w:val="00CB4540"/>
    <w:rsid w:val="00CC15A2"/>
    <w:rsid w:val="00CC386A"/>
    <w:rsid w:val="00CC3930"/>
    <w:rsid w:val="00CC56FF"/>
    <w:rsid w:val="00CD1468"/>
    <w:rsid w:val="00CD193C"/>
    <w:rsid w:val="00CD2CD3"/>
    <w:rsid w:val="00CD3C43"/>
    <w:rsid w:val="00CE4F45"/>
    <w:rsid w:val="00CE57BB"/>
    <w:rsid w:val="00CE6F96"/>
    <w:rsid w:val="00CF1A51"/>
    <w:rsid w:val="00D040A2"/>
    <w:rsid w:val="00D16825"/>
    <w:rsid w:val="00D169DF"/>
    <w:rsid w:val="00D20DDF"/>
    <w:rsid w:val="00D22DF1"/>
    <w:rsid w:val="00D2508F"/>
    <w:rsid w:val="00D25F7D"/>
    <w:rsid w:val="00D271BF"/>
    <w:rsid w:val="00D37D3E"/>
    <w:rsid w:val="00D37FB6"/>
    <w:rsid w:val="00D4098B"/>
    <w:rsid w:val="00D46FEE"/>
    <w:rsid w:val="00D5078F"/>
    <w:rsid w:val="00D52355"/>
    <w:rsid w:val="00D57FF5"/>
    <w:rsid w:val="00D637A1"/>
    <w:rsid w:val="00D67F3E"/>
    <w:rsid w:val="00D73876"/>
    <w:rsid w:val="00D7508F"/>
    <w:rsid w:val="00D81912"/>
    <w:rsid w:val="00D870BE"/>
    <w:rsid w:val="00D93626"/>
    <w:rsid w:val="00D9752B"/>
    <w:rsid w:val="00D97ABE"/>
    <w:rsid w:val="00DA2A7F"/>
    <w:rsid w:val="00DA3066"/>
    <w:rsid w:val="00DA469D"/>
    <w:rsid w:val="00DA6166"/>
    <w:rsid w:val="00DA6540"/>
    <w:rsid w:val="00DB0FD8"/>
    <w:rsid w:val="00DB405E"/>
    <w:rsid w:val="00DB42C6"/>
    <w:rsid w:val="00DC14AF"/>
    <w:rsid w:val="00DC2E46"/>
    <w:rsid w:val="00DD1F32"/>
    <w:rsid w:val="00DD4FA5"/>
    <w:rsid w:val="00DD56F9"/>
    <w:rsid w:val="00DE0AC5"/>
    <w:rsid w:val="00DE24E4"/>
    <w:rsid w:val="00DF2452"/>
    <w:rsid w:val="00DF3CB9"/>
    <w:rsid w:val="00DF4407"/>
    <w:rsid w:val="00DF6558"/>
    <w:rsid w:val="00DF747A"/>
    <w:rsid w:val="00E002E5"/>
    <w:rsid w:val="00E02372"/>
    <w:rsid w:val="00E0687B"/>
    <w:rsid w:val="00E10E83"/>
    <w:rsid w:val="00E13136"/>
    <w:rsid w:val="00E13364"/>
    <w:rsid w:val="00E22D2D"/>
    <w:rsid w:val="00E249D3"/>
    <w:rsid w:val="00E27770"/>
    <w:rsid w:val="00E30B6B"/>
    <w:rsid w:val="00E345AD"/>
    <w:rsid w:val="00E36198"/>
    <w:rsid w:val="00E36760"/>
    <w:rsid w:val="00E428F0"/>
    <w:rsid w:val="00E55851"/>
    <w:rsid w:val="00E609ED"/>
    <w:rsid w:val="00E64FD1"/>
    <w:rsid w:val="00E66BEF"/>
    <w:rsid w:val="00E67715"/>
    <w:rsid w:val="00E70BFC"/>
    <w:rsid w:val="00E74F6A"/>
    <w:rsid w:val="00E77B18"/>
    <w:rsid w:val="00E77C89"/>
    <w:rsid w:val="00E8341C"/>
    <w:rsid w:val="00E8497D"/>
    <w:rsid w:val="00E90222"/>
    <w:rsid w:val="00E9629F"/>
    <w:rsid w:val="00E970C5"/>
    <w:rsid w:val="00EA12D0"/>
    <w:rsid w:val="00EA1E0D"/>
    <w:rsid w:val="00EA2D62"/>
    <w:rsid w:val="00EA7DBE"/>
    <w:rsid w:val="00EB567A"/>
    <w:rsid w:val="00EC1DDA"/>
    <w:rsid w:val="00EC25DD"/>
    <w:rsid w:val="00EC4265"/>
    <w:rsid w:val="00EC507D"/>
    <w:rsid w:val="00EC69F4"/>
    <w:rsid w:val="00EC778C"/>
    <w:rsid w:val="00ED093F"/>
    <w:rsid w:val="00ED36DA"/>
    <w:rsid w:val="00ED67B1"/>
    <w:rsid w:val="00ED6F00"/>
    <w:rsid w:val="00EE0F59"/>
    <w:rsid w:val="00EE1706"/>
    <w:rsid w:val="00EE5CBB"/>
    <w:rsid w:val="00EE7451"/>
    <w:rsid w:val="00EE7CDD"/>
    <w:rsid w:val="00EE7F63"/>
    <w:rsid w:val="00EF072C"/>
    <w:rsid w:val="00EF1AC7"/>
    <w:rsid w:val="00EF51C2"/>
    <w:rsid w:val="00EF66A4"/>
    <w:rsid w:val="00F000C8"/>
    <w:rsid w:val="00F008F4"/>
    <w:rsid w:val="00F02492"/>
    <w:rsid w:val="00F07333"/>
    <w:rsid w:val="00F106D4"/>
    <w:rsid w:val="00F11E4C"/>
    <w:rsid w:val="00F120C7"/>
    <w:rsid w:val="00F13FF0"/>
    <w:rsid w:val="00F143B3"/>
    <w:rsid w:val="00F14D79"/>
    <w:rsid w:val="00F152FA"/>
    <w:rsid w:val="00F2518E"/>
    <w:rsid w:val="00F316C3"/>
    <w:rsid w:val="00F3313A"/>
    <w:rsid w:val="00F372B5"/>
    <w:rsid w:val="00F407B2"/>
    <w:rsid w:val="00F41811"/>
    <w:rsid w:val="00F41CD8"/>
    <w:rsid w:val="00F44357"/>
    <w:rsid w:val="00F47FE2"/>
    <w:rsid w:val="00F545CE"/>
    <w:rsid w:val="00F559CD"/>
    <w:rsid w:val="00F6116E"/>
    <w:rsid w:val="00F670EB"/>
    <w:rsid w:val="00F746E7"/>
    <w:rsid w:val="00F81443"/>
    <w:rsid w:val="00F91276"/>
    <w:rsid w:val="00F94D25"/>
    <w:rsid w:val="00F953F3"/>
    <w:rsid w:val="00FA37A4"/>
    <w:rsid w:val="00FB377F"/>
    <w:rsid w:val="00FC09D9"/>
    <w:rsid w:val="00FC33A5"/>
    <w:rsid w:val="00FC620D"/>
    <w:rsid w:val="00FC6C66"/>
    <w:rsid w:val="00FD07A8"/>
    <w:rsid w:val="00FD39CF"/>
    <w:rsid w:val="00FD71FA"/>
    <w:rsid w:val="00FE32D3"/>
    <w:rsid w:val="00FE6048"/>
    <w:rsid w:val="00FE72B3"/>
    <w:rsid w:val="00FF2623"/>
    <w:rsid w:val="00FF2C6F"/>
    <w:rsid w:val="00FF4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922D6"/>
  <w15:chartTrackingRefBased/>
  <w15:docId w15:val="{83DB5317-58EB-4A4C-93AB-554981EC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9B2"/>
    <w:pPr>
      <w:spacing w:after="200" w:line="276" w:lineRule="auto"/>
    </w:pPr>
    <w:rPr>
      <w:sz w:val="22"/>
      <w:szCs w:val="22"/>
      <w:lang w:eastAsia="en-US"/>
    </w:rPr>
  </w:style>
  <w:style w:type="paragraph" w:styleId="Heading1">
    <w:name w:val="heading 1"/>
    <w:basedOn w:val="ListParagraph"/>
    <w:next w:val="Normal"/>
    <w:link w:val="Heading1Char"/>
    <w:qFormat/>
    <w:rsid w:val="002C2532"/>
    <w:pPr>
      <w:spacing w:before="120" w:after="120" w:line="360" w:lineRule="auto"/>
      <w:ind w:left="0"/>
      <w:jc w:val="center"/>
      <w:outlineLvl w:val="0"/>
    </w:pPr>
    <w:rPr>
      <w:rFonts w:cs="Arial"/>
      <w:b/>
      <w:bCs/>
      <w:caps/>
      <w:color w:val="1F3864" w:themeColor="accent5" w:themeShade="80"/>
      <w:sz w:val="28"/>
    </w:rPr>
  </w:style>
  <w:style w:type="paragraph" w:styleId="Heading2">
    <w:name w:val="heading 2"/>
    <w:basedOn w:val="Normal"/>
    <w:next w:val="Normal"/>
    <w:link w:val="Heading2Char"/>
    <w:unhideWhenUsed/>
    <w:qFormat/>
    <w:rsid w:val="002C2532"/>
    <w:pPr>
      <w:keepNext/>
      <w:keepLines/>
      <w:spacing w:before="240" w:after="240" w:line="360" w:lineRule="auto"/>
      <w:jc w:val="both"/>
      <w:outlineLvl w:val="1"/>
    </w:pPr>
    <w:rPr>
      <w:rFonts w:ascii="Arial" w:eastAsia="Times New Roman" w:hAnsi="Arial" w:cs="Arial"/>
      <w:b/>
      <w:bCs/>
      <w:color w:val="2F5496" w:themeColor="accent5" w:themeShade="BF"/>
      <w:sz w:val="24"/>
      <w:szCs w:val="24"/>
    </w:rPr>
  </w:style>
  <w:style w:type="paragraph" w:styleId="Heading3">
    <w:name w:val="heading 3"/>
    <w:basedOn w:val="Normal"/>
    <w:next w:val="Normal"/>
    <w:link w:val="Heading3Char"/>
    <w:unhideWhenUsed/>
    <w:qFormat/>
    <w:rsid w:val="0065714A"/>
    <w:pPr>
      <w:keepNext/>
      <w:keepLines/>
      <w:spacing w:before="240" w:after="240" w:line="480" w:lineRule="auto"/>
      <w:jc w:val="both"/>
      <w:outlineLvl w:val="2"/>
    </w:pPr>
    <w:rPr>
      <w:rFonts w:ascii="Arial" w:eastAsia="Times New Roman" w:hAnsi="Arial" w:cs="Arial"/>
      <w:bCs/>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2532"/>
    <w:rPr>
      <w:rFonts w:ascii="Arial" w:eastAsia="Times New Roman" w:hAnsi="Arial" w:cs="Arial"/>
      <w:b/>
      <w:bCs/>
      <w:caps/>
      <w:color w:val="1F3864" w:themeColor="accent5" w:themeShade="80"/>
      <w:sz w:val="28"/>
      <w:szCs w:val="24"/>
      <w:lang w:eastAsia="en-US"/>
    </w:rPr>
  </w:style>
  <w:style w:type="character" w:customStyle="1" w:styleId="Heading2Char">
    <w:name w:val="Heading 2 Char"/>
    <w:link w:val="Heading2"/>
    <w:rsid w:val="002C2532"/>
    <w:rPr>
      <w:rFonts w:ascii="Arial" w:eastAsia="Times New Roman" w:hAnsi="Arial" w:cs="Arial"/>
      <w:b/>
      <w:bCs/>
      <w:color w:val="2F5496" w:themeColor="accent5" w:themeShade="BF"/>
      <w:sz w:val="24"/>
      <w:szCs w:val="24"/>
      <w:lang w:eastAsia="en-US"/>
    </w:rPr>
  </w:style>
  <w:style w:type="character" w:customStyle="1" w:styleId="Heading3Char">
    <w:name w:val="Heading 3 Char"/>
    <w:link w:val="Heading3"/>
    <w:rsid w:val="0065714A"/>
    <w:rPr>
      <w:rFonts w:ascii="Arial" w:eastAsia="Times New Roman" w:hAnsi="Arial" w:cs="Arial"/>
      <w:bCs/>
      <w:color w:val="2F5496" w:themeColor="accent5" w:themeShade="BF"/>
      <w:sz w:val="24"/>
      <w:szCs w:val="24"/>
      <w:lang w:eastAsia="en-US"/>
    </w:rPr>
  </w:style>
  <w:style w:type="character" w:styleId="Hyperlink">
    <w:name w:val="Hyperlink"/>
    <w:uiPriority w:val="99"/>
    <w:unhideWhenUsed/>
    <w:rsid w:val="005474F7"/>
    <w:rPr>
      <w:color w:val="0000FF"/>
      <w:u w:val="single"/>
    </w:rPr>
  </w:style>
  <w:style w:type="character" w:styleId="FollowedHyperlink">
    <w:name w:val="FollowedHyperlink"/>
    <w:semiHidden/>
    <w:unhideWhenUsed/>
    <w:rsid w:val="005474F7"/>
    <w:rPr>
      <w:color w:val="800080"/>
      <w:u w:val="single"/>
    </w:rPr>
  </w:style>
  <w:style w:type="paragraph" w:styleId="ListParagraph">
    <w:name w:val="List Paragraph"/>
    <w:basedOn w:val="Normal"/>
    <w:uiPriority w:val="34"/>
    <w:rsid w:val="005474F7"/>
    <w:pPr>
      <w:spacing w:after="0" w:line="240" w:lineRule="auto"/>
      <w:ind w:left="720"/>
      <w:contextualSpacing/>
    </w:pPr>
    <w:rPr>
      <w:rFonts w:ascii="Arial" w:eastAsia="Times New Roman" w:hAnsi="Arial"/>
      <w:szCs w:val="24"/>
    </w:rPr>
  </w:style>
  <w:style w:type="paragraph" w:styleId="HTMLPreformatted">
    <w:name w:val="HTML Preformatted"/>
    <w:basedOn w:val="Normal"/>
    <w:link w:val="HTMLPreformattedChar"/>
    <w:uiPriority w:val="99"/>
    <w:semiHidden/>
    <w:unhideWhenUsed/>
    <w:rsid w:val="00547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semiHidden/>
    <w:rsid w:val="005474F7"/>
    <w:rPr>
      <w:rFonts w:ascii="Courier New" w:eastAsia="Times New Roman" w:hAnsi="Courier New" w:cs="Courier New"/>
    </w:rPr>
  </w:style>
  <w:style w:type="paragraph" w:styleId="NormalWeb">
    <w:name w:val="Normal (Web)"/>
    <w:basedOn w:val="Normal"/>
    <w:uiPriority w:val="99"/>
    <w:semiHidden/>
    <w:unhideWhenUsed/>
    <w:rsid w:val="005474F7"/>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D25F7D"/>
    <w:pPr>
      <w:spacing w:before="120" w:after="120" w:line="240" w:lineRule="auto"/>
    </w:pPr>
    <w:rPr>
      <w:rFonts w:ascii="Arial" w:eastAsia="Times New Roman" w:hAnsi="Arial"/>
      <w:b/>
      <w:szCs w:val="24"/>
    </w:rPr>
  </w:style>
  <w:style w:type="paragraph" w:styleId="TOC2">
    <w:name w:val="toc 2"/>
    <w:basedOn w:val="Normal"/>
    <w:next w:val="Normal"/>
    <w:autoRedefine/>
    <w:uiPriority w:val="39"/>
    <w:unhideWhenUsed/>
    <w:rsid w:val="00993DAF"/>
    <w:pPr>
      <w:tabs>
        <w:tab w:val="right" w:leader="dot" w:pos="9016"/>
      </w:tabs>
      <w:spacing w:after="100" w:line="240" w:lineRule="auto"/>
      <w:ind w:left="220"/>
    </w:pPr>
    <w:rPr>
      <w:rFonts w:ascii="Arial" w:eastAsia="Times New Roman" w:hAnsi="Arial"/>
      <w:noProof/>
      <w:szCs w:val="24"/>
    </w:rPr>
  </w:style>
  <w:style w:type="paragraph" w:styleId="TOC3">
    <w:name w:val="toc 3"/>
    <w:basedOn w:val="Normal"/>
    <w:next w:val="Normal"/>
    <w:autoRedefine/>
    <w:uiPriority w:val="39"/>
    <w:unhideWhenUsed/>
    <w:rsid w:val="005474F7"/>
    <w:pPr>
      <w:spacing w:after="100" w:line="240" w:lineRule="auto"/>
      <w:ind w:left="440"/>
    </w:pPr>
    <w:rPr>
      <w:rFonts w:ascii="Arial" w:eastAsia="Times New Roman" w:hAnsi="Arial"/>
      <w:szCs w:val="24"/>
    </w:rPr>
  </w:style>
  <w:style w:type="paragraph" w:styleId="FootnoteText">
    <w:name w:val="footnote text"/>
    <w:basedOn w:val="Normal"/>
    <w:link w:val="FootnoteTextChar"/>
    <w:uiPriority w:val="99"/>
    <w:qFormat/>
    <w:rsid w:val="002179B2"/>
    <w:pPr>
      <w:spacing w:after="0" w:line="240" w:lineRule="auto"/>
    </w:pPr>
    <w:rPr>
      <w:rFonts w:ascii="Arial" w:eastAsia="Times New Roman" w:hAnsi="Arial"/>
      <w:sz w:val="16"/>
      <w:szCs w:val="20"/>
    </w:rPr>
  </w:style>
  <w:style w:type="character" w:customStyle="1" w:styleId="FootnoteTextChar">
    <w:name w:val="Footnote Text Char"/>
    <w:link w:val="FootnoteText"/>
    <w:uiPriority w:val="99"/>
    <w:rsid w:val="002179B2"/>
    <w:rPr>
      <w:rFonts w:ascii="Arial" w:eastAsia="Times New Roman" w:hAnsi="Arial"/>
      <w:sz w:val="16"/>
      <w:lang w:eastAsia="en-US"/>
    </w:rPr>
  </w:style>
  <w:style w:type="paragraph" w:styleId="CommentText">
    <w:name w:val="annotation text"/>
    <w:basedOn w:val="Normal"/>
    <w:link w:val="CommentTextChar"/>
    <w:uiPriority w:val="99"/>
    <w:semiHidden/>
    <w:unhideWhenUsed/>
    <w:rsid w:val="005474F7"/>
    <w:pPr>
      <w:spacing w:after="0" w:line="240" w:lineRule="auto"/>
    </w:pPr>
    <w:rPr>
      <w:rFonts w:ascii="Arial" w:eastAsia="Times New Roman" w:hAnsi="Arial"/>
      <w:sz w:val="20"/>
      <w:szCs w:val="20"/>
    </w:rPr>
  </w:style>
  <w:style w:type="character" w:customStyle="1" w:styleId="CommentTextChar">
    <w:name w:val="Comment Text Char"/>
    <w:link w:val="CommentText"/>
    <w:uiPriority w:val="99"/>
    <w:semiHidden/>
    <w:rsid w:val="005474F7"/>
    <w:rPr>
      <w:rFonts w:ascii="Arial" w:eastAsia="Times New Roman" w:hAnsi="Arial"/>
      <w:lang w:eastAsia="en-US"/>
    </w:rPr>
  </w:style>
  <w:style w:type="paragraph" w:styleId="Header">
    <w:name w:val="header"/>
    <w:basedOn w:val="Normal"/>
    <w:link w:val="HeaderChar"/>
    <w:unhideWhenUsed/>
    <w:rsid w:val="005474F7"/>
    <w:pPr>
      <w:tabs>
        <w:tab w:val="center" w:pos="4153"/>
        <w:tab w:val="right" w:pos="8306"/>
      </w:tabs>
      <w:spacing w:after="0" w:line="240" w:lineRule="auto"/>
    </w:pPr>
    <w:rPr>
      <w:rFonts w:ascii="Arial" w:eastAsia="Times New Roman" w:hAnsi="Arial"/>
      <w:szCs w:val="24"/>
    </w:rPr>
  </w:style>
  <w:style w:type="character" w:customStyle="1" w:styleId="HeaderChar">
    <w:name w:val="Header Char"/>
    <w:link w:val="Header"/>
    <w:uiPriority w:val="99"/>
    <w:rsid w:val="005474F7"/>
    <w:rPr>
      <w:rFonts w:ascii="Arial" w:eastAsia="Times New Roman" w:hAnsi="Arial"/>
      <w:sz w:val="22"/>
      <w:szCs w:val="24"/>
      <w:lang w:eastAsia="en-US"/>
    </w:rPr>
  </w:style>
  <w:style w:type="paragraph" w:styleId="Footer">
    <w:name w:val="footer"/>
    <w:basedOn w:val="Normal"/>
    <w:link w:val="FooterChar"/>
    <w:uiPriority w:val="99"/>
    <w:unhideWhenUsed/>
    <w:rsid w:val="005474F7"/>
    <w:pPr>
      <w:tabs>
        <w:tab w:val="center" w:pos="4513"/>
        <w:tab w:val="right" w:pos="9026"/>
      </w:tabs>
      <w:spacing w:after="0" w:line="240" w:lineRule="auto"/>
    </w:pPr>
    <w:rPr>
      <w:rFonts w:ascii="Arial" w:eastAsia="Times New Roman" w:hAnsi="Arial"/>
      <w:szCs w:val="24"/>
    </w:rPr>
  </w:style>
  <w:style w:type="character" w:customStyle="1" w:styleId="FooterChar">
    <w:name w:val="Footer Char"/>
    <w:link w:val="Footer"/>
    <w:uiPriority w:val="99"/>
    <w:rsid w:val="005474F7"/>
    <w:rPr>
      <w:rFonts w:ascii="Arial" w:eastAsia="Times New Roman" w:hAnsi="Arial"/>
      <w:sz w:val="22"/>
      <w:szCs w:val="24"/>
      <w:lang w:eastAsia="en-US"/>
    </w:rPr>
  </w:style>
  <w:style w:type="paragraph" w:styleId="BodyText">
    <w:name w:val="Body Text"/>
    <w:basedOn w:val="Normal"/>
    <w:link w:val="BodyTextChar"/>
    <w:uiPriority w:val="99"/>
    <w:unhideWhenUsed/>
    <w:rsid w:val="005474F7"/>
    <w:pPr>
      <w:spacing w:after="0" w:line="240" w:lineRule="auto"/>
      <w:jc w:val="center"/>
    </w:pPr>
    <w:rPr>
      <w:rFonts w:ascii="Arial" w:eastAsia="Times New Roman" w:hAnsi="Arial"/>
      <w:b/>
      <w:bCs/>
      <w:smallCaps/>
      <w:sz w:val="32"/>
      <w:szCs w:val="24"/>
    </w:rPr>
  </w:style>
  <w:style w:type="character" w:customStyle="1" w:styleId="BodyTextChar">
    <w:name w:val="Body Text Char"/>
    <w:link w:val="BodyText"/>
    <w:uiPriority w:val="99"/>
    <w:rsid w:val="005474F7"/>
    <w:rPr>
      <w:rFonts w:ascii="Arial" w:eastAsia="Times New Roman" w:hAnsi="Arial"/>
      <w:b/>
      <w:bCs/>
      <w:smallCaps/>
      <w:sz w:val="32"/>
      <w:szCs w:val="24"/>
      <w:lang w:eastAsia="en-US"/>
    </w:rPr>
  </w:style>
  <w:style w:type="paragraph" w:styleId="BodyTextIndent">
    <w:name w:val="Body Text Indent"/>
    <w:basedOn w:val="Normal"/>
    <w:link w:val="BodyTextIndentChar"/>
    <w:uiPriority w:val="99"/>
    <w:semiHidden/>
    <w:unhideWhenUsed/>
    <w:rsid w:val="005474F7"/>
    <w:pPr>
      <w:spacing w:after="120" w:line="240" w:lineRule="auto"/>
      <w:ind w:left="283"/>
    </w:pPr>
    <w:rPr>
      <w:rFonts w:ascii="Arial" w:eastAsia="Times New Roman" w:hAnsi="Arial"/>
      <w:szCs w:val="24"/>
    </w:rPr>
  </w:style>
  <w:style w:type="character" w:customStyle="1" w:styleId="BodyTextIndentChar">
    <w:name w:val="Body Text Indent Char"/>
    <w:link w:val="BodyTextIndent"/>
    <w:uiPriority w:val="99"/>
    <w:semiHidden/>
    <w:rsid w:val="005474F7"/>
    <w:rPr>
      <w:rFonts w:ascii="Arial" w:eastAsia="Times New Roman" w:hAnsi="Arial"/>
      <w:sz w:val="22"/>
      <w:szCs w:val="24"/>
      <w:lang w:eastAsia="en-US"/>
    </w:rPr>
  </w:style>
  <w:style w:type="paragraph" w:styleId="CommentSubject">
    <w:name w:val="annotation subject"/>
    <w:basedOn w:val="CommentText"/>
    <w:next w:val="CommentText"/>
    <w:link w:val="CommentSubjectChar"/>
    <w:uiPriority w:val="99"/>
    <w:semiHidden/>
    <w:unhideWhenUsed/>
    <w:rsid w:val="005474F7"/>
    <w:rPr>
      <w:b/>
      <w:bCs/>
    </w:rPr>
  </w:style>
  <w:style w:type="character" w:customStyle="1" w:styleId="CommentSubjectChar">
    <w:name w:val="Comment Subject Char"/>
    <w:link w:val="CommentSubject"/>
    <w:uiPriority w:val="99"/>
    <w:semiHidden/>
    <w:rsid w:val="005474F7"/>
    <w:rPr>
      <w:rFonts w:ascii="Arial" w:eastAsia="Times New Roman" w:hAnsi="Arial"/>
      <w:b/>
      <w:bCs/>
      <w:lang w:eastAsia="en-US"/>
    </w:rPr>
  </w:style>
  <w:style w:type="paragraph" w:styleId="BalloonText">
    <w:name w:val="Balloon Text"/>
    <w:basedOn w:val="Normal"/>
    <w:link w:val="BalloonTextChar"/>
    <w:uiPriority w:val="99"/>
    <w:semiHidden/>
    <w:unhideWhenUsed/>
    <w:rsid w:val="005474F7"/>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5474F7"/>
    <w:rPr>
      <w:rFonts w:ascii="Tahoma" w:eastAsia="Times New Roman" w:hAnsi="Tahoma" w:cs="Tahoma"/>
      <w:sz w:val="16"/>
      <w:szCs w:val="16"/>
      <w:lang w:eastAsia="en-US"/>
    </w:rPr>
  </w:style>
  <w:style w:type="paragraph" w:styleId="NoSpacing">
    <w:name w:val="No Spacing"/>
    <w:uiPriority w:val="1"/>
    <w:rsid w:val="005474F7"/>
    <w:rPr>
      <w:rFonts w:ascii="Arial" w:eastAsia="Times New Roman" w:hAnsi="Arial"/>
      <w:sz w:val="22"/>
      <w:szCs w:val="24"/>
      <w:lang w:eastAsia="en-US"/>
    </w:rPr>
  </w:style>
  <w:style w:type="paragraph" w:styleId="Revision">
    <w:name w:val="Revision"/>
    <w:uiPriority w:val="99"/>
    <w:semiHidden/>
    <w:rsid w:val="005474F7"/>
    <w:rPr>
      <w:rFonts w:ascii="Arial" w:eastAsia="Times New Roman" w:hAnsi="Arial"/>
      <w:sz w:val="22"/>
      <w:szCs w:val="24"/>
      <w:lang w:eastAsia="en-US"/>
    </w:rPr>
  </w:style>
  <w:style w:type="paragraph" w:customStyle="1" w:styleId="ParaLevel1">
    <w:name w:val="ParaLevel1"/>
    <w:basedOn w:val="Normal"/>
    <w:uiPriority w:val="99"/>
    <w:rsid w:val="005474F7"/>
    <w:pPr>
      <w:numPr>
        <w:numId w:val="1"/>
      </w:numPr>
      <w:suppressAutoHyphens/>
      <w:spacing w:before="240" w:after="240" w:line="480" w:lineRule="auto"/>
      <w:jc w:val="both"/>
      <w:outlineLvl w:val="0"/>
    </w:pPr>
    <w:rPr>
      <w:rFonts w:ascii="Times New Roman" w:eastAsia="Times New Roman" w:hAnsi="Times New Roman"/>
      <w:sz w:val="24"/>
      <w:szCs w:val="20"/>
    </w:rPr>
  </w:style>
  <w:style w:type="paragraph" w:styleId="Quote">
    <w:name w:val="Quote"/>
    <w:basedOn w:val="BodyText"/>
    <w:next w:val="ParaLevel1"/>
    <w:link w:val="QuoteChar"/>
    <w:uiPriority w:val="99"/>
    <w:qFormat/>
    <w:rsid w:val="009267E1"/>
    <w:pPr>
      <w:spacing w:line="360" w:lineRule="auto"/>
      <w:ind w:left="1021" w:right="454"/>
      <w:jc w:val="both"/>
    </w:pPr>
    <w:rPr>
      <w:rFonts w:cs="Arial"/>
      <w:b w:val="0"/>
      <w:i/>
      <w:smallCaps w:val="0"/>
      <w:sz w:val="24"/>
    </w:rPr>
  </w:style>
  <w:style w:type="character" w:customStyle="1" w:styleId="QuoteChar">
    <w:name w:val="Quote Char"/>
    <w:link w:val="Quote"/>
    <w:uiPriority w:val="99"/>
    <w:rsid w:val="009267E1"/>
    <w:rPr>
      <w:rFonts w:ascii="Arial" w:eastAsia="Times New Roman" w:hAnsi="Arial" w:cs="Arial"/>
      <w:bCs/>
      <w:i/>
      <w:sz w:val="24"/>
      <w:szCs w:val="24"/>
      <w:lang w:eastAsia="en-US"/>
    </w:rPr>
  </w:style>
  <w:style w:type="paragraph" w:styleId="TOCHeading">
    <w:name w:val="TOC Heading"/>
    <w:basedOn w:val="Heading1"/>
    <w:next w:val="Normal"/>
    <w:uiPriority w:val="39"/>
    <w:semiHidden/>
    <w:unhideWhenUsed/>
    <w:qFormat/>
    <w:rsid w:val="005474F7"/>
    <w:pPr>
      <w:spacing w:line="276" w:lineRule="auto"/>
      <w:outlineLvl w:val="9"/>
    </w:pPr>
    <w:rPr>
      <w:lang w:val="en-US" w:eastAsia="ja-JP"/>
    </w:rPr>
  </w:style>
  <w:style w:type="paragraph" w:customStyle="1" w:styleId="loose">
    <w:name w:val="loose"/>
    <w:basedOn w:val="Normal"/>
    <w:uiPriority w:val="99"/>
    <w:rsid w:val="005474F7"/>
    <w:pPr>
      <w:spacing w:before="210" w:after="0" w:line="240" w:lineRule="auto"/>
    </w:pPr>
    <w:rPr>
      <w:rFonts w:ascii="Times New Roman" w:eastAsia="Times New Roman" w:hAnsi="Times New Roman"/>
      <w:sz w:val="24"/>
      <w:szCs w:val="24"/>
      <w:lang w:eastAsia="en-GB"/>
    </w:rPr>
  </w:style>
  <w:style w:type="paragraph" w:customStyle="1" w:styleId="Default">
    <w:name w:val="Default"/>
    <w:basedOn w:val="Normal"/>
    <w:uiPriority w:val="99"/>
    <w:rsid w:val="005474F7"/>
    <w:pPr>
      <w:autoSpaceDE w:val="0"/>
      <w:autoSpaceDN w:val="0"/>
      <w:spacing w:after="0" w:line="240" w:lineRule="auto"/>
    </w:pPr>
    <w:rPr>
      <w:rFonts w:ascii="Arial Black" w:hAnsi="Arial Black"/>
      <w:color w:val="000000"/>
      <w:sz w:val="24"/>
      <w:szCs w:val="24"/>
      <w:lang w:eastAsia="en-GB"/>
    </w:rPr>
  </w:style>
  <w:style w:type="paragraph" w:customStyle="1" w:styleId="leglongtitle1">
    <w:name w:val="leglongtitle1"/>
    <w:basedOn w:val="Normal"/>
    <w:uiPriority w:val="99"/>
    <w:rsid w:val="005474F7"/>
    <w:pPr>
      <w:shd w:val="clear" w:color="auto" w:fill="FFFFFF"/>
      <w:spacing w:before="240" w:after="0" w:line="360" w:lineRule="atLeast"/>
      <w:jc w:val="both"/>
    </w:pPr>
    <w:rPr>
      <w:rFonts w:ascii="Times New Roman" w:eastAsia="Times New Roman" w:hAnsi="Times New Roman"/>
      <w:color w:val="000000"/>
      <w:sz w:val="19"/>
      <w:szCs w:val="19"/>
      <w:lang w:eastAsia="en-GB"/>
    </w:rPr>
  </w:style>
  <w:style w:type="paragraph" w:customStyle="1" w:styleId="indent11">
    <w:name w:val="indent11"/>
    <w:basedOn w:val="Normal"/>
    <w:uiPriority w:val="99"/>
    <w:rsid w:val="005474F7"/>
    <w:pPr>
      <w:spacing w:after="0" w:line="240" w:lineRule="auto"/>
    </w:pPr>
    <w:rPr>
      <w:rFonts w:ascii="Times New Roman" w:eastAsia="Times New Roman" w:hAnsi="Times New Roman"/>
      <w:sz w:val="24"/>
      <w:szCs w:val="24"/>
      <w:lang w:eastAsia="en-GB"/>
    </w:rPr>
  </w:style>
  <w:style w:type="paragraph" w:customStyle="1" w:styleId="ParaLevel2">
    <w:name w:val="ParaLevel2"/>
    <w:basedOn w:val="Normal"/>
    <w:uiPriority w:val="99"/>
    <w:rsid w:val="005474F7"/>
    <w:pPr>
      <w:numPr>
        <w:ilvl w:val="1"/>
        <w:numId w:val="1"/>
      </w:numPr>
      <w:suppressAutoHyphens/>
      <w:spacing w:before="240" w:after="240" w:line="480" w:lineRule="auto"/>
      <w:jc w:val="both"/>
      <w:outlineLvl w:val="1"/>
    </w:pPr>
    <w:rPr>
      <w:rFonts w:ascii="Times New Roman" w:eastAsia="Times New Roman" w:hAnsi="Times New Roman"/>
      <w:sz w:val="24"/>
      <w:szCs w:val="20"/>
    </w:rPr>
  </w:style>
  <w:style w:type="paragraph" w:customStyle="1" w:styleId="ParaLevel3">
    <w:name w:val="ParaLevel3"/>
    <w:basedOn w:val="Normal"/>
    <w:uiPriority w:val="99"/>
    <w:rsid w:val="005474F7"/>
    <w:pPr>
      <w:numPr>
        <w:ilvl w:val="2"/>
        <w:numId w:val="1"/>
      </w:numPr>
      <w:suppressAutoHyphens/>
      <w:spacing w:before="240" w:after="240" w:line="480" w:lineRule="auto"/>
      <w:jc w:val="both"/>
      <w:outlineLvl w:val="2"/>
    </w:pPr>
    <w:rPr>
      <w:rFonts w:ascii="Times New Roman" w:eastAsia="Times New Roman" w:hAnsi="Times New Roman"/>
      <w:sz w:val="24"/>
      <w:szCs w:val="20"/>
    </w:rPr>
  </w:style>
  <w:style w:type="paragraph" w:customStyle="1" w:styleId="ParaLevel4">
    <w:name w:val="ParaLevel4"/>
    <w:basedOn w:val="Normal"/>
    <w:uiPriority w:val="99"/>
    <w:rsid w:val="005474F7"/>
    <w:pPr>
      <w:numPr>
        <w:ilvl w:val="3"/>
        <w:numId w:val="1"/>
      </w:numPr>
      <w:tabs>
        <w:tab w:val="num" w:pos="2836"/>
      </w:tabs>
      <w:suppressAutoHyphens/>
      <w:spacing w:before="240" w:after="240" w:line="480" w:lineRule="auto"/>
      <w:jc w:val="both"/>
      <w:outlineLvl w:val="3"/>
    </w:pPr>
    <w:rPr>
      <w:rFonts w:ascii="Times New Roman" w:eastAsia="Times New Roman" w:hAnsi="Times New Roman"/>
      <w:sz w:val="24"/>
      <w:szCs w:val="20"/>
    </w:rPr>
  </w:style>
  <w:style w:type="paragraph" w:customStyle="1" w:styleId="ParaLevel5">
    <w:name w:val="ParaLevel5"/>
    <w:basedOn w:val="Normal"/>
    <w:uiPriority w:val="99"/>
    <w:rsid w:val="005474F7"/>
    <w:pPr>
      <w:numPr>
        <w:ilvl w:val="4"/>
        <w:numId w:val="1"/>
      </w:numPr>
      <w:suppressAutoHyphens/>
      <w:spacing w:before="240" w:after="240" w:line="480" w:lineRule="auto"/>
      <w:jc w:val="both"/>
      <w:outlineLvl w:val="4"/>
    </w:pPr>
    <w:rPr>
      <w:rFonts w:ascii="Times New Roman" w:eastAsia="Times New Roman" w:hAnsi="Times New Roman"/>
      <w:sz w:val="24"/>
      <w:szCs w:val="20"/>
    </w:rPr>
  </w:style>
  <w:style w:type="paragraph" w:customStyle="1" w:styleId="ParaLevel6">
    <w:name w:val="ParaLevel6"/>
    <w:basedOn w:val="Normal"/>
    <w:uiPriority w:val="99"/>
    <w:rsid w:val="005474F7"/>
    <w:pPr>
      <w:numPr>
        <w:ilvl w:val="5"/>
        <w:numId w:val="1"/>
      </w:numPr>
      <w:tabs>
        <w:tab w:val="num" w:pos="4254"/>
      </w:tabs>
      <w:suppressAutoHyphens/>
      <w:spacing w:before="240" w:after="240" w:line="480" w:lineRule="auto"/>
      <w:jc w:val="both"/>
      <w:outlineLvl w:val="5"/>
    </w:pPr>
    <w:rPr>
      <w:rFonts w:ascii="Times New Roman" w:eastAsia="Times New Roman" w:hAnsi="Times New Roman"/>
      <w:sz w:val="24"/>
      <w:szCs w:val="20"/>
    </w:rPr>
  </w:style>
  <w:style w:type="paragraph" w:customStyle="1" w:styleId="ParaLevel7">
    <w:name w:val="ParaLevel7"/>
    <w:basedOn w:val="Normal"/>
    <w:uiPriority w:val="99"/>
    <w:rsid w:val="005474F7"/>
    <w:pPr>
      <w:numPr>
        <w:ilvl w:val="6"/>
        <w:numId w:val="1"/>
      </w:numPr>
      <w:suppressAutoHyphens/>
      <w:spacing w:before="240" w:after="240" w:line="480" w:lineRule="auto"/>
      <w:jc w:val="both"/>
      <w:outlineLvl w:val="6"/>
    </w:pPr>
    <w:rPr>
      <w:rFonts w:ascii="Times New Roman" w:eastAsia="Times New Roman" w:hAnsi="Times New Roman"/>
      <w:sz w:val="24"/>
      <w:szCs w:val="20"/>
    </w:rPr>
  </w:style>
  <w:style w:type="paragraph" w:customStyle="1" w:styleId="ParaLevel8">
    <w:name w:val="ParaLevel8"/>
    <w:basedOn w:val="Normal"/>
    <w:uiPriority w:val="99"/>
    <w:rsid w:val="005474F7"/>
    <w:pPr>
      <w:numPr>
        <w:ilvl w:val="7"/>
        <w:numId w:val="1"/>
      </w:numPr>
      <w:tabs>
        <w:tab w:val="num" w:pos="5672"/>
      </w:tabs>
      <w:suppressAutoHyphens/>
      <w:spacing w:before="240" w:after="240" w:line="480" w:lineRule="auto"/>
      <w:jc w:val="both"/>
      <w:outlineLvl w:val="7"/>
    </w:pPr>
    <w:rPr>
      <w:rFonts w:ascii="Times New Roman" w:eastAsia="Times New Roman" w:hAnsi="Times New Roman"/>
      <w:sz w:val="24"/>
      <w:szCs w:val="20"/>
    </w:rPr>
  </w:style>
  <w:style w:type="paragraph" w:customStyle="1" w:styleId="ParaLevel9">
    <w:name w:val="ParaLevel9"/>
    <w:basedOn w:val="Normal"/>
    <w:uiPriority w:val="99"/>
    <w:rsid w:val="005474F7"/>
    <w:pPr>
      <w:numPr>
        <w:ilvl w:val="8"/>
        <w:numId w:val="1"/>
      </w:numPr>
      <w:suppressAutoHyphens/>
      <w:spacing w:before="240" w:after="240" w:line="480" w:lineRule="auto"/>
      <w:jc w:val="both"/>
      <w:outlineLvl w:val="8"/>
    </w:pPr>
    <w:rPr>
      <w:rFonts w:ascii="Times New Roman" w:eastAsia="Times New Roman" w:hAnsi="Times New Roman"/>
      <w:sz w:val="24"/>
      <w:szCs w:val="20"/>
    </w:rPr>
  </w:style>
  <w:style w:type="character" w:customStyle="1" w:styleId="OPENmanualparaChar">
    <w:name w:val="OPEN manual para Char"/>
    <w:link w:val="OPENmanualpara"/>
    <w:locked/>
    <w:rsid w:val="003966DA"/>
    <w:rPr>
      <w:rFonts w:ascii="Arial" w:hAnsi="Arial" w:cs="Arial"/>
      <w:sz w:val="24"/>
      <w:szCs w:val="24"/>
      <w:lang w:eastAsia="en-US"/>
    </w:rPr>
  </w:style>
  <w:style w:type="paragraph" w:customStyle="1" w:styleId="OPENmanualpara">
    <w:name w:val="OPEN manual para"/>
    <w:basedOn w:val="BodyText"/>
    <w:link w:val="OPENmanualparaChar"/>
    <w:qFormat/>
    <w:rsid w:val="003966DA"/>
    <w:pPr>
      <w:numPr>
        <w:numId w:val="5"/>
      </w:numPr>
      <w:spacing w:before="240" w:after="240" w:line="360" w:lineRule="auto"/>
      <w:jc w:val="both"/>
    </w:pPr>
    <w:rPr>
      <w:rFonts w:eastAsia="Calibri" w:cs="Arial"/>
      <w:b w:val="0"/>
      <w:bCs w:val="0"/>
      <w:smallCaps w:val="0"/>
      <w:sz w:val="24"/>
    </w:rPr>
  </w:style>
  <w:style w:type="character" w:customStyle="1" w:styleId="Quotesub-sectionChar">
    <w:name w:val="Quote sub-section Char"/>
    <w:link w:val="Quotesub-section"/>
    <w:locked/>
    <w:rsid w:val="005474F7"/>
    <w:rPr>
      <w:rFonts w:cs="Arial"/>
      <w:bCs/>
      <w:i/>
      <w:sz w:val="24"/>
      <w:szCs w:val="24"/>
      <w:lang w:eastAsia="en-US"/>
    </w:rPr>
  </w:style>
  <w:style w:type="paragraph" w:customStyle="1" w:styleId="Quotesub-section">
    <w:name w:val="Quote sub-section"/>
    <w:basedOn w:val="Quote"/>
    <w:link w:val="Quotesub-sectionChar"/>
    <w:qFormat/>
    <w:rsid w:val="005474F7"/>
    <w:pPr>
      <w:ind w:left="993"/>
    </w:pPr>
    <w:rPr>
      <w:rFonts w:eastAsia="Calibri"/>
    </w:rPr>
  </w:style>
  <w:style w:type="character" w:styleId="FootnoteReference">
    <w:name w:val="footnote reference"/>
    <w:semiHidden/>
    <w:unhideWhenUsed/>
    <w:rsid w:val="005474F7"/>
    <w:rPr>
      <w:vertAlign w:val="superscript"/>
    </w:rPr>
  </w:style>
  <w:style w:type="character" w:styleId="CommentReference">
    <w:name w:val="annotation reference"/>
    <w:semiHidden/>
    <w:unhideWhenUsed/>
    <w:rsid w:val="005474F7"/>
    <w:rPr>
      <w:sz w:val="16"/>
      <w:szCs w:val="16"/>
    </w:rPr>
  </w:style>
  <w:style w:type="character" w:customStyle="1" w:styleId="bold1">
    <w:name w:val="bold1"/>
    <w:rsid w:val="005474F7"/>
    <w:rPr>
      <w:b/>
      <w:bCs/>
    </w:rPr>
  </w:style>
  <w:style w:type="character" w:customStyle="1" w:styleId="italic1">
    <w:name w:val="italic1"/>
    <w:rsid w:val="005474F7"/>
    <w:rPr>
      <w:i/>
      <w:iCs/>
    </w:rPr>
  </w:style>
  <w:style w:type="character" w:customStyle="1" w:styleId="underline1">
    <w:name w:val="underline1"/>
    <w:rsid w:val="005474F7"/>
    <w:rPr>
      <w:u w:val="single"/>
    </w:rPr>
  </w:style>
  <w:style w:type="table" w:styleId="TableGrid">
    <w:name w:val="Table Grid"/>
    <w:basedOn w:val="TableNormal"/>
    <w:rsid w:val="005474F7"/>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rsid w:val="005474F7"/>
    <w:rPr>
      <w:i/>
      <w:iCs/>
    </w:rPr>
  </w:style>
  <w:style w:type="paragraph" w:styleId="BlockText">
    <w:name w:val="Block Text"/>
    <w:basedOn w:val="Normal"/>
    <w:rsid w:val="0084703F"/>
    <w:pPr>
      <w:spacing w:after="0" w:line="240" w:lineRule="auto"/>
      <w:ind w:left="-720" w:right="-720"/>
      <w:jc w:val="both"/>
    </w:pPr>
    <w:rPr>
      <w:rFonts w:ascii="Bookman Old Style" w:eastAsia="Times New Roman" w:hAnsi="Bookman Old Style"/>
      <w:sz w:val="24"/>
      <w:szCs w:val="24"/>
    </w:rPr>
  </w:style>
  <w:style w:type="paragraph" w:customStyle="1" w:styleId="Manualpageheader">
    <w:name w:val="Manual page header"/>
    <w:basedOn w:val="Heading2"/>
    <w:link w:val="ManualpageheaderChar"/>
    <w:qFormat/>
    <w:rsid w:val="009A2A86"/>
    <w:pPr>
      <w:pBdr>
        <w:bottom w:val="single" w:sz="4" w:space="1" w:color="2F5496" w:themeColor="accent5" w:themeShade="BF"/>
      </w:pBdr>
      <w:spacing w:before="0" w:after="0" w:line="240" w:lineRule="auto"/>
      <w:jc w:val="right"/>
    </w:pPr>
    <w:rPr>
      <w:b w:val="0"/>
      <w:color w:val="1F3864" w:themeColor="accent5" w:themeShade="80"/>
      <w:sz w:val="18"/>
      <w:szCs w:val="18"/>
    </w:rPr>
  </w:style>
  <w:style w:type="character" w:customStyle="1" w:styleId="ManualpageheaderChar">
    <w:name w:val="Manual page header Char"/>
    <w:basedOn w:val="Heading2Char"/>
    <w:link w:val="Manualpageheader"/>
    <w:rsid w:val="009A2A86"/>
    <w:rPr>
      <w:rFonts w:ascii="Arial" w:eastAsia="Times New Roman" w:hAnsi="Arial" w:cs="Arial"/>
      <w:b w:val="0"/>
      <w:bCs/>
      <w:color w:val="1F3864" w:themeColor="accent5" w:themeShade="8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74878">
      <w:bodyDiv w:val="1"/>
      <w:marLeft w:val="0"/>
      <w:marRight w:val="0"/>
      <w:marTop w:val="0"/>
      <w:marBottom w:val="0"/>
      <w:divBdr>
        <w:top w:val="none" w:sz="0" w:space="0" w:color="auto"/>
        <w:left w:val="none" w:sz="0" w:space="0" w:color="auto"/>
        <w:bottom w:val="none" w:sz="0" w:space="0" w:color="auto"/>
        <w:right w:val="none" w:sz="0" w:space="0" w:color="auto"/>
      </w:divBdr>
    </w:div>
    <w:div w:id="16527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eader" Target="header5.xml"/><Relationship Id="rId34" Type="http://schemas.openxmlformats.org/officeDocument/2006/relationships/header" Target="header16.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judiciary.uk/publications/practice-note-for-proceedings-before-siac/" TargetMode="External"/><Relationship Id="rId11" Type="http://schemas.openxmlformats.org/officeDocument/2006/relationships/image" Target="media/image1.jpe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header" Target="header3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header" Target="header26.xml"/><Relationship Id="rId52" Type="http://schemas.openxmlformats.org/officeDocument/2006/relationships/hyperlink" Target="mailto:correspondence@attorneygeneral.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header" Target="header30.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ASO.OPEN@Governmentlegal.gov.u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8.xml"/><Relationship Id="rId20" Type="http://schemas.openxmlformats.org/officeDocument/2006/relationships/header" Target="header4.xml"/><Relationship Id="rId41" Type="http://schemas.openxmlformats.org/officeDocument/2006/relationships/header" Target="header23.xml"/><Relationship Id="rId54"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assets.publishing.service.gov.uk/government/uploads/system/uploads/attachment_data/file/421503/Consolidated_text_of_SIAC_Rules_2003.pdf" TargetMode="External"/><Relationship Id="rId36" Type="http://schemas.openxmlformats.org/officeDocument/2006/relationships/header" Target="header18.xml"/><Relationship Id="rId49" Type="http://schemas.openxmlformats.org/officeDocument/2006/relationships/header" Target="header31.xml"/></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uk/" TargetMode="External"/><Relationship Id="rId2" Type="http://schemas.openxmlformats.org/officeDocument/2006/relationships/hyperlink" Target="https://hansard.parliament.uk/Lords/2012-07-17/debates/12071775000563/JusticeAndSecurityBill(HL)" TargetMode="External"/><Relationship Id="rId1" Type="http://schemas.openxmlformats.org/officeDocument/2006/relationships/hyperlink" Target="https://www.gov.uk/government/publications/government-security-classifications" TargetMode="External"/><Relationship Id="rId4" Type="http://schemas.openxmlformats.org/officeDocument/2006/relationships/hyperlink" Target="https://www.gov.uk/government/publications/good-character-nationality-policy-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301BB114F9064BB7EC3900167BB720" ma:contentTypeVersion="10" ma:contentTypeDescription="Create a new document." ma:contentTypeScope="" ma:versionID="ebc6ec4545bc07cb918475fad10acca3">
  <xsd:schema xmlns:xsd="http://www.w3.org/2001/XMLSchema" xmlns:xs="http://www.w3.org/2001/XMLSchema" xmlns:p="http://schemas.microsoft.com/office/2006/metadata/properties" xmlns:ns2="7e4ae14e-c8b6-43f2-a32e-1c7b83efd415" xmlns:ns3="eab6229f-9500-48e6-8ca1-e2775e5f87dc" targetNamespace="http://schemas.microsoft.com/office/2006/metadata/properties" ma:root="true" ma:fieldsID="70e02a759d4a8fe993c22448422bca04" ns2:_="" ns3:_="">
    <xsd:import namespace="7e4ae14e-c8b6-43f2-a32e-1c7b83efd415"/>
    <xsd:import namespace="eab6229f-9500-48e6-8ca1-e2775e5f87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ae14e-c8b6-43f2-a32e-1c7b83efd4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b6229f-9500-48e6-8ca1-e2775e5f87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22E316-23CC-49DC-8FF0-71A80C91F2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55437A-35E8-49B2-8629-75AA36D692B5}">
  <ds:schemaRefs>
    <ds:schemaRef ds:uri="http://schemas.openxmlformats.org/officeDocument/2006/bibliography"/>
  </ds:schemaRefs>
</ds:datastoreItem>
</file>

<file path=customXml/itemProps3.xml><?xml version="1.0" encoding="utf-8"?>
<ds:datastoreItem xmlns:ds="http://schemas.openxmlformats.org/officeDocument/2006/customXml" ds:itemID="{899E642D-BA80-4558-9FA9-33C110FBB3BD}">
  <ds:schemaRefs>
    <ds:schemaRef ds:uri="http://schemas.microsoft.com/sharepoint/v3/contenttype/forms"/>
  </ds:schemaRefs>
</ds:datastoreItem>
</file>

<file path=customXml/itemProps4.xml><?xml version="1.0" encoding="utf-8"?>
<ds:datastoreItem xmlns:ds="http://schemas.openxmlformats.org/officeDocument/2006/customXml" ds:itemID="{84804BCC-0A85-40B5-B433-4E4276B12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ae14e-c8b6-43f2-a32e-1c7b83efd415"/>
    <ds:schemaRef ds:uri="eab6229f-9500-48e6-8ca1-e2775e5f8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13978</Words>
  <Characters>79680</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SASO OPEN Manual</vt:lpstr>
    </vt:vector>
  </TitlesOfParts>
  <Company>Crown Prosecution Service</Company>
  <LinksUpToDate>false</LinksUpToDate>
  <CharactersWithSpaces>93472</CharactersWithSpaces>
  <SharedDoc>false</SharedDoc>
  <HLinks>
    <vt:vector size="372" baseType="variant">
      <vt:variant>
        <vt:i4>2555989</vt:i4>
      </vt:variant>
      <vt:variant>
        <vt:i4>372</vt:i4>
      </vt:variant>
      <vt:variant>
        <vt:i4>0</vt:i4>
      </vt:variant>
      <vt:variant>
        <vt:i4>5</vt:i4>
      </vt:variant>
      <vt:variant>
        <vt:lpwstr>mailto:correspondence@attorneygeneral.gov.uk</vt:lpwstr>
      </vt:variant>
      <vt:variant>
        <vt:lpwstr/>
      </vt:variant>
      <vt:variant>
        <vt:i4>3211280</vt:i4>
      </vt:variant>
      <vt:variant>
        <vt:i4>369</vt:i4>
      </vt:variant>
      <vt:variant>
        <vt:i4>0</vt:i4>
      </vt:variant>
      <vt:variant>
        <vt:i4>5</vt:i4>
      </vt:variant>
      <vt:variant>
        <vt:lpwstr>mailto:SASO.OPEN@Governmentlegal.gov.uk</vt:lpwstr>
      </vt:variant>
      <vt:variant>
        <vt:lpwstr/>
      </vt:variant>
      <vt:variant>
        <vt:i4>5570586</vt:i4>
      </vt:variant>
      <vt:variant>
        <vt:i4>348</vt:i4>
      </vt:variant>
      <vt:variant>
        <vt:i4>0</vt:i4>
      </vt:variant>
      <vt:variant>
        <vt:i4>5</vt:i4>
      </vt:variant>
      <vt:variant>
        <vt:lpwstr>https://www.judiciary.uk/publications/practice-note-for-proceedings-before-siac/</vt:lpwstr>
      </vt:variant>
      <vt:variant>
        <vt:lpwstr/>
      </vt:variant>
      <vt:variant>
        <vt:i4>4587599</vt:i4>
      </vt:variant>
      <vt:variant>
        <vt:i4>345</vt:i4>
      </vt:variant>
      <vt:variant>
        <vt:i4>0</vt:i4>
      </vt:variant>
      <vt:variant>
        <vt:i4>5</vt:i4>
      </vt:variant>
      <vt:variant>
        <vt:lpwstr>https://assets.publishing.service.gov.uk/government/uploads/system/uploads/attachment_data/file/421503/Consolidated_text_of_SIAC_Rules_2003.pdf</vt:lpwstr>
      </vt:variant>
      <vt:variant>
        <vt:lpwstr/>
      </vt:variant>
      <vt:variant>
        <vt:i4>1769534</vt:i4>
      </vt:variant>
      <vt:variant>
        <vt:i4>338</vt:i4>
      </vt:variant>
      <vt:variant>
        <vt:i4>0</vt:i4>
      </vt:variant>
      <vt:variant>
        <vt:i4>5</vt:i4>
      </vt:variant>
      <vt:variant>
        <vt:lpwstr/>
      </vt:variant>
      <vt:variant>
        <vt:lpwstr>_Toc528318256</vt:lpwstr>
      </vt:variant>
      <vt:variant>
        <vt:i4>1769534</vt:i4>
      </vt:variant>
      <vt:variant>
        <vt:i4>332</vt:i4>
      </vt:variant>
      <vt:variant>
        <vt:i4>0</vt:i4>
      </vt:variant>
      <vt:variant>
        <vt:i4>5</vt:i4>
      </vt:variant>
      <vt:variant>
        <vt:lpwstr/>
      </vt:variant>
      <vt:variant>
        <vt:lpwstr>_Toc528318255</vt:lpwstr>
      </vt:variant>
      <vt:variant>
        <vt:i4>1769534</vt:i4>
      </vt:variant>
      <vt:variant>
        <vt:i4>326</vt:i4>
      </vt:variant>
      <vt:variant>
        <vt:i4>0</vt:i4>
      </vt:variant>
      <vt:variant>
        <vt:i4>5</vt:i4>
      </vt:variant>
      <vt:variant>
        <vt:lpwstr/>
      </vt:variant>
      <vt:variant>
        <vt:lpwstr>_Toc528318254</vt:lpwstr>
      </vt:variant>
      <vt:variant>
        <vt:i4>1769534</vt:i4>
      </vt:variant>
      <vt:variant>
        <vt:i4>320</vt:i4>
      </vt:variant>
      <vt:variant>
        <vt:i4>0</vt:i4>
      </vt:variant>
      <vt:variant>
        <vt:i4>5</vt:i4>
      </vt:variant>
      <vt:variant>
        <vt:lpwstr/>
      </vt:variant>
      <vt:variant>
        <vt:lpwstr>_Toc528318253</vt:lpwstr>
      </vt:variant>
      <vt:variant>
        <vt:i4>1769534</vt:i4>
      </vt:variant>
      <vt:variant>
        <vt:i4>314</vt:i4>
      </vt:variant>
      <vt:variant>
        <vt:i4>0</vt:i4>
      </vt:variant>
      <vt:variant>
        <vt:i4>5</vt:i4>
      </vt:variant>
      <vt:variant>
        <vt:lpwstr/>
      </vt:variant>
      <vt:variant>
        <vt:lpwstr>_Toc528318252</vt:lpwstr>
      </vt:variant>
      <vt:variant>
        <vt:i4>1769534</vt:i4>
      </vt:variant>
      <vt:variant>
        <vt:i4>308</vt:i4>
      </vt:variant>
      <vt:variant>
        <vt:i4>0</vt:i4>
      </vt:variant>
      <vt:variant>
        <vt:i4>5</vt:i4>
      </vt:variant>
      <vt:variant>
        <vt:lpwstr/>
      </vt:variant>
      <vt:variant>
        <vt:lpwstr>_Toc528318251</vt:lpwstr>
      </vt:variant>
      <vt:variant>
        <vt:i4>1769534</vt:i4>
      </vt:variant>
      <vt:variant>
        <vt:i4>302</vt:i4>
      </vt:variant>
      <vt:variant>
        <vt:i4>0</vt:i4>
      </vt:variant>
      <vt:variant>
        <vt:i4>5</vt:i4>
      </vt:variant>
      <vt:variant>
        <vt:lpwstr/>
      </vt:variant>
      <vt:variant>
        <vt:lpwstr>_Toc528318250</vt:lpwstr>
      </vt:variant>
      <vt:variant>
        <vt:i4>1703998</vt:i4>
      </vt:variant>
      <vt:variant>
        <vt:i4>296</vt:i4>
      </vt:variant>
      <vt:variant>
        <vt:i4>0</vt:i4>
      </vt:variant>
      <vt:variant>
        <vt:i4>5</vt:i4>
      </vt:variant>
      <vt:variant>
        <vt:lpwstr/>
      </vt:variant>
      <vt:variant>
        <vt:lpwstr>_Toc528318249</vt:lpwstr>
      </vt:variant>
      <vt:variant>
        <vt:i4>1703998</vt:i4>
      </vt:variant>
      <vt:variant>
        <vt:i4>290</vt:i4>
      </vt:variant>
      <vt:variant>
        <vt:i4>0</vt:i4>
      </vt:variant>
      <vt:variant>
        <vt:i4>5</vt:i4>
      </vt:variant>
      <vt:variant>
        <vt:lpwstr/>
      </vt:variant>
      <vt:variant>
        <vt:lpwstr>_Toc528318248</vt:lpwstr>
      </vt:variant>
      <vt:variant>
        <vt:i4>1703998</vt:i4>
      </vt:variant>
      <vt:variant>
        <vt:i4>284</vt:i4>
      </vt:variant>
      <vt:variant>
        <vt:i4>0</vt:i4>
      </vt:variant>
      <vt:variant>
        <vt:i4>5</vt:i4>
      </vt:variant>
      <vt:variant>
        <vt:lpwstr/>
      </vt:variant>
      <vt:variant>
        <vt:lpwstr>_Toc528318247</vt:lpwstr>
      </vt:variant>
      <vt:variant>
        <vt:i4>1703998</vt:i4>
      </vt:variant>
      <vt:variant>
        <vt:i4>278</vt:i4>
      </vt:variant>
      <vt:variant>
        <vt:i4>0</vt:i4>
      </vt:variant>
      <vt:variant>
        <vt:i4>5</vt:i4>
      </vt:variant>
      <vt:variant>
        <vt:lpwstr/>
      </vt:variant>
      <vt:variant>
        <vt:lpwstr>_Toc528318246</vt:lpwstr>
      </vt:variant>
      <vt:variant>
        <vt:i4>1703998</vt:i4>
      </vt:variant>
      <vt:variant>
        <vt:i4>272</vt:i4>
      </vt:variant>
      <vt:variant>
        <vt:i4>0</vt:i4>
      </vt:variant>
      <vt:variant>
        <vt:i4>5</vt:i4>
      </vt:variant>
      <vt:variant>
        <vt:lpwstr/>
      </vt:variant>
      <vt:variant>
        <vt:lpwstr>_Toc528318245</vt:lpwstr>
      </vt:variant>
      <vt:variant>
        <vt:i4>1703998</vt:i4>
      </vt:variant>
      <vt:variant>
        <vt:i4>266</vt:i4>
      </vt:variant>
      <vt:variant>
        <vt:i4>0</vt:i4>
      </vt:variant>
      <vt:variant>
        <vt:i4>5</vt:i4>
      </vt:variant>
      <vt:variant>
        <vt:lpwstr/>
      </vt:variant>
      <vt:variant>
        <vt:lpwstr>_Toc528318244</vt:lpwstr>
      </vt:variant>
      <vt:variant>
        <vt:i4>1703998</vt:i4>
      </vt:variant>
      <vt:variant>
        <vt:i4>260</vt:i4>
      </vt:variant>
      <vt:variant>
        <vt:i4>0</vt:i4>
      </vt:variant>
      <vt:variant>
        <vt:i4>5</vt:i4>
      </vt:variant>
      <vt:variant>
        <vt:lpwstr/>
      </vt:variant>
      <vt:variant>
        <vt:lpwstr>_Toc528318243</vt:lpwstr>
      </vt:variant>
      <vt:variant>
        <vt:i4>1703998</vt:i4>
      </vt:variant>
      <vt:variant>
        <vt:i4>254</vt:i4>
      </vt:variant>
      <vt:variant>
        <vt:i4>0</vt:i4>
      </vt:variant>
      <vt:variant>
        <vt:i4>5</vt:i4>
      </vt:variant>
      <vt:variant>
        <vt:lpwstr/>
      </vt:variant>
      <vt:variant>
        <vt:lpwstr>_Toc528318242</vt:lpwstr>
      </vt:variant>
      <vt:variant>
        <vt:i4>1703998</vt:i4>
      </vt:variant>
      <vt:variant>
        <vt:i4>248</vt:i4>
      </vt:variant>
      <vt:variant>
        <vt:i4>0</vt:i4>
      </vt:variant>
      <vt:variant>
        <vt:i4>5</vt:i4>
      </vt:variant>
      <vt:variant>
        <vt:lpwstr/>
      </vt:variant>
      <vt:variant>
        <vt:lpwstr>_Toc528318241</vt:lpwstr>
      </vt:variant>
      <vt:variant>
        <vt:i4>1703998</vt:i4>
      </vt:variant>
      <vt:variant>
        <vt:i4>242</vt:i4>
      </vt:variant>
      <vt:variant>
        <vt:i4>0</vt:i4>
      </vt:variant>
      <vt:variant>
        <vt:i4>5</vt:i4>
      </vt:variant>
      <vt:variant>
        <vt:lpwstr/>
      </vt:variant>
      <vt:variant>
        <vt:lpwstr>_Toc528318240</vt:lpwstr>
      </vt:variant>
      <vt:variant>
        <vt:i4>1900606</vt:i4>
      </vt:variant>
      <vt:variant>
        <vt:i4>236</vt:i4>
      </vt:variant>
      <vt:variant>
        <vt:i4>0</vt:i4>
      </vt:variant>
      <vt:variant>
        <vt:i4>5</vt:i4>
      </vt:variant>
      <vt:variant>
        <vt:lpwstr/>
      </vt:variant>
      <vt:variant>
        <vt:lpwstr>_Toc528318239</vt:lpwstr>
      </vt:variant>
      <vt:variant>
        <vt:i4>1900606</vt:i4>
      </vt:variant>
      <vt:variant>
        <vt:i4>230</vt:i4>
      </vt:variant>
      <vt:variant>
        <vt:i4>0</vt:i4>
      </vt:variant>
      <vt:variant>
        <vt:i4>5</vt:i4>
      </vt:variant>
      <vt:variant>
        <vt:lpwstr/>
      </vt:variant>
      <vt:variant>
        <vt:lpwstr>_Toc528318238</vt:lpwstr>
      </vt:variant>
      <vt:variant>
        <vt:i4>1900606</vt:i4>
      </vt:variant>
      <vt:variant>
        <vt:i4>224</vt:i4>
      </vt:variant>
      <vt:variant>
        <vt:i4>0</vt:i4>
      </vt:variant>
      <vt:variant>
        <vt:i4>5</vt:i4>
      </vt:variant>
      <vt:variant>
        <vt:lpwstr/>
      </vt:variant>
      <vt:variant>
        <vt:lpwstr>_Toc528318237</vt:lpwstr>
      </vt:variant>
      <vt:variant>
        <vt:i4>1900606</vt:i4>
      </vt:variant>
      <vt:variant>
        <vt:i4>218</vt:i4>
      </vt:variant>
      <vt:variant>
        <vt:i4>0</vt:i4>
      </vt:variant>
      <vt:variant>
        <vt:i4>5</vt:i4>
      </vt:variant>
      <vt:variant>
        <vt:lpwstr/>
      </vt:variant>
      <vt:variant>
        <vt:lpwstr>_Toc528318236</vt:lpwstr>
      </vt:variant>
      <vt:variant>
        <vt:i4>1900606</vt:i4>
      </vt:variant>
      <vt:variant>
        <vt:i4>212</vt:i4>
      </vt:variant>
      <vt:variant>
        <vt:i4>0</vt:i4>
      </vt:variant>
      <vt:variant>
        <vt:i4>5</vt:i4>
      </vt:variant>
      <vt:variant>
        <vt:lpwstr/>
      </vt:variant>
      <vt:variant>
        <vt:lpwstr>_Toc528318235</vt:lpwstr>
      </vt:variant>
      <vt:variant>
        <vt:i4>1900606</vt:i4>
      </vt:variant>
      <vt:variant>
        <vt:i4>206</vt:i4>
      </vt:variant>
      <vt:variant>
        <vt:i4>0</vt:i4>
      </vt:variant>
      <vt:variant>
        <vt:i4>5</vt:i4>
      </vt:variant>
      <vt:variant>
        <vt:lpwstr/>
      </vt:variant>
      <vt:variant>
        <vt:lpwstr>_Toc528318234</vt:lpwstr>
      </vt:variant>
      <vt:variant>
        <vt:i4>1900606</vt:i4>
      </vt:variant>
      <vt:variant>
        <vt:i4>200</vt:i4>
      </vt:variant>
      <vt:variant>
        <vt:i4>0</vt:i4>
      </vt:variant>
      <vt:variant>
        <vt:i4>5</vt:i4>
      </vt:variant>
      <vt:variant>
        <vt:lpwstr/>
      </vt:variant>
      <vt:variant>
        <vt:lpwstr>_Toc528318233</vt:lpwstr>
      </vt:variant>
      <vt:variant>
        <vt:i4>1900606</vt:i4>
      </vt:variant>
      <vt:variant>
        <vt:i4>194</vt:i4>
      </vt:variant>
      <vt:variant>
        <vt:i4>0</vt:i4>
      </vt:variant>
      <vt:variant>
        <vt:i4>5</vt:i4>
      </vt:variant>
      <vt:variant>
        <vt:lpwstr/>
      </vt:variant>
      <vt:variant>
        <vt:lpwstr>_Toc528318232</vt:lpwstr>
      </vt:variant>
      <vt:variant>
        <vt:i4>1900606</vt:i4>
      </vt:variant>
      <vt:variant>
        <vt:i4>188</vt:i4>
      </vt:variant>
      <vt:variant>
        <vt:i4>0</vt:i4>
      </vt:variant>
      <vt:variant>
        <vt:i4>5</vt:i4>
      </vt:variant>
      <vt:variant>
        <vt:lpwstr/>
      </vt:variant>
      <vt:variant>
        <vt:lpwstr>_Toc528318231</vt:lpwstr>
      </vt:variant>
      <vt:variant>
        <vt:i4>1900606</vt:i4>
      </vt:variant>
      <vt:variant>
        <vt:i4>182</vt:i4>
      </vt:variant>
      <vt:variant>
        <vt:i4>0</vt:i4>
      </vt:variant>
      <vt:variant>
        <vt:i4>5</vt:i4>
      </vt:variant>
      <vt:variant>
        <vt:lpwstr/>
      </vt:variant>
      <vt:variant>
        <vt:lpwstr>_Toc528318230</vt:lpwstr>
      </vt:variant>
      <vt:variant>
        <vt:i4>1835070</vt:i4>
      </vt:variant>
      <vt:variant>
        <vt:i4>176</vt:i4>
      </vt:variant>
      <vt:variant>
        <vt:i4>0</vt:i4>
      </vt:variant>
      <vt:variant>
        <vt:i4>5</vt:i4>
      </vt:variant>
      <vt:variant>
        <vt:lpwstr/>
      </vt:variant>
      <vt:variant>
        <vt:lpwstr>_Toc528318229</vt:lpwstr>
      </vt:variant>
      <vt:variant>
        <vt:i4>1835070</vt:i4>
      </vt:variant>
      <vt:variant>
        <vt:i4>170</vt:i4>
      </vt:variant>
      <vt:variant>
        <vt:i4>0</vt:i4>
      </vt:variant>
      <vt:variant>
        <vt:i4>5</vt:i4>
      </vt:variant>
      <vt:variant>
        <vt:lpwstr/>
      </vt:variant>
      <vt:variant>
        <vt:lpwstr>_Toc528318228</vt:lpwstr>
      </vt:variant>
      <vt:variant>
        <vt:i4>1835070</vt:i4>
      </vt:variant>
      <vt:variant>
        <vt:i4>164</vt:i4>
      </vt:variant>
      <vt:variant>
        <vt:i4>0</vt:i4>
      </vt:variant>
      <vt:variant>
        <vt:i4>5</vt:i4>
      </vt:variant>
      <vt:variant>
        <vt:lpwstr/>
      </vt:variant>
      <vt:variant>
        <vt:lpwstr>_Toc528318227</vt:lpwstr>
      </vt:variant>
      <vt:variant>
        <vt:i4>1835070</vt:i4>
      </vt:variant>
      <vt:variant>
        <vt:i4>158</vt:i4>
      </vt:variant>
      <vt:variant>
        <vt:i4>0</vt:i4>
      </vt:variant>
      <vt:variant>
        <vt:i4>5</vt:i4>
      </vt:variant>
      <vt:variant>
        <vt:lpwstr/>
      </vt:variant>
      <vt:variant>
        <vt:lpwstr>_Toc528318226</vt:lpwstr>
      </vt:variant>
      <vt:variant>
        <vt:i4>1835070</vt:i4>
      </vt:variant>
      <vt:variant>
        <vt:i4>152</vt:i4>
      </vt:variant>
      <vt:variant>
        <vt:i4>0</vt:i4>
      </vt:variant>
      <vt:variant>
        <vt:i4>5</vt:i4>
      </vt:variant>
      <vt:variant>
        <vt:lpwstr/>
      </vt:variant>
      <vt:variant>
        <vt:lpwstr>_Toc528318225</vt:lpwstr>
      </vt:variant>
      <vt:variant>
        <vt:i4>1835070</vt:i4>
      </vt:variant>
      <vt:variant>
        <vt:i4>146</vt:i4>
      </vt:variant>
      <vt:variant>
        <vt:i4>0</vt:i4>
      </vt:variant>
      <vt:variant>
        <vt:i4>5</vt:i4>
      </vt:variant>
      <vt:variant>
        <vt:lpwstr/>
      </vt:variant>
      <vt:variant>
        <vt:lpwstr>_Toc528318224</vt:lpwstr>
      </vt:variant>
      <vt:variant>
        <vt:i4>1835070</vt:i4>
      </vt:variant>
      <vt:variant>
        <vt:i4>140</vt:i4>
      </vt:variant>
      <vt:variant>
        <vt:i4>0</vt:i4>
      </vt:variant>
      <vt:variant>
        <vt:i4>5</vt:i4>
      </vt:variant>
      <vt:variant>
        <vt:lpwstr/>
      </vt:variant>
      <vt:variant>
        <vt:lpwstr>_Toc528318223</vt:lpwstr>
      </vt:variant>
      <vt:variant>
        <vt:i4>1835070</vt:i4>
      </vt:variant>
      <vt:variant>
        <vt:i4>134</vt:i4>
      </vt:variant>
      <vt:variant>
        <vt:i4>0</vt:i4>
      </vt:variant>
      <vt:variant>
        <vt:i4>5</vt:i4>
      </vt:variant>
      <vt:variant>
        <vt:lpwstr/>
      </vt:variant>
      <vt:variant>
        <vt:lpwstr>_Toc528318222</vt:lpwstr>
      </vt:variant>
      <vt:variant>
        <vt:i4>1835070</vt:i4>
      </vt:variant>
      <vt:variant>
        <vt:i4>128</vt:i4>
      </vt:variant>
      <vt:variant>
        <vt:i4>0</vt:i4>
      </vt:variant>
      <vt:variant>
        <vt:i4>5</vt:i4>
      </vt:variant>
      <vt:variant>
        <vt:lpwstr/>
      </vt:variant>
      <vt:variant>
        <vt:lpwstr>_Toc528318221</vt:lpwstr>
      </vt:variant>
      <vt:variant>
        <vt:i4>1835070</vt:i4>
      </vt:variant>
      <vt:variant>
        <vt:i4>122</vt:i4>
      </vt:variant>
      <vt:variant>
        <vt:i4>0</vt:i4>
      </vt:variant>
      <vt:variant>
        <vt:i4>5</vt:i4>
      </vt:variant>
      <vt:variant>
        <vt:lpwstr/>
      </vt:variant>
      <vt:variant>
        <vt:lpwstr>_Toc528318220</vt:lpwstr>
      </vt:variant>
      <vt:variant>
        <vt:i4>2031678</vt:i4>
      </vt:variant>
      <vt:variant>
        <vt:i4>116</vt:i4>
      </vt:variant>
      <vt:variant>
        <vt:i4>0</vt:i4>
      </vt:variant>
      <vt:variant>
        <vt:i4>5</vt:i4>
      </vt:variant>
      <vt:variant>
        <vt:lpwstr/>
      </vt:variant>
      <vt:variant>
        <vt:lpwstr>_Toc528318219</vt:lpwstr>
      </vt:variant>
      <vt:variant>
        <vt:i4>2031678</vt:i4>
      </vt:variant>
      <vt:variant>
        <vt:i4>110</vt:i4>
      </vt:variant>
      <vt:variant>
        <vt:i4>0</vt:i4>
      </vt:variant>
      <vt:variant>
        <vt:i4>5</vt:i4>
      </vt:variant>
      <vt:variant>
        <vt:lpwstr/>
      </vt:variant>
      <vt:variant>
        <vt:lpwstr>_Toc528318218</vt:lpwstr>
      </vt:variant>
      <vt:variant>
        <vt:i4>2031678</vt:i4>
      </vt:variant>
      <vt:variant>
        <vt:i4>104</vt:i4>
      </vt:variant>
      <vt:variant>
        <vt:i4>0</vt:i4>
      </vt:variant>
      <vt:variant>
        <vt:i4>5</vt:i4>
      </vt:variant>
      <vt:variant>
        <vt:lpwstr/>
      </vt:variant>
      <vt:variant>
        <vt:lpwstr>_Toc528318217</vt:lpwstr>
      </vt:variant>
      <vt:variant>
        <vt:i4>2031678</vt:i4>
      </vt:variant>
      <vt:variant>
        <vt:i4>98</vt:i4>
      </vt:variant>
      <vt:variant>
        <vt:i4>0</vt:i4>
      </vt:variant>
      <vt:variant>
        <vt:i4>5</vt:i4>
      </vt:variant>
      <vt:variant>
        <vt:lpwstr/>
      </vt:variant>
      <vt:variant>
        <vt:lpwstr>_Toc528318216</vt:lpwstr>
      </vt:variant>
      <vt:variant>
        <vt:i4>2031678</vt:i4>
      </vt:variant>
      <vt:variant>
        <vt:i4>92</vt:i4>
      </vt:variant>
      <vt:variant>
        <vt:i4>0</vt:i4>
      </vt:variant>
      <vt:variant>
        <vt:i4>5</vt:i4>
      </vt:variant>
      <vt:variant>
        <vt:lpwstr/>
      </vt:variant>
      <vt:variant>
        <vt:lpwstr>_Toc528318215</vt:lpwstr>
      </vt:variant>
      <vt:variant>
        <vt:i4>2031678</vt:i4>
      </vt:variant>
      <vt:variant>
        <vt:i4>86</vt:i4>
      </vt:variant>
      <vt:variant>
        <vt:i4>0</vt:i4>
      </vt:variant>
      <vt:variant>
        <vt:i4>5</vt:i4>
      </vt:variant>
      <vt:variant>
        <vt:lpwstr/>
      </vt:variant>
      <vt:variant>
        <vt:lpwstr>_Toc528318214</vt:lpwstr>
      </vt:variant>
      <vt:variant>
        <vt:i4>2031678</vt:i4>
      </vt:variant>
      <vt:variant>
        <vt:i4>80</vt:i4>
      </vt:variant>
      <vt:variant>
        <vt:i4>0</vt:i4>
      </vt:variant>
      <vt:variant>
        <vt:i4>5</vt:i4>
      </vt:variant>
      <vt:variant>
        <vt:lpwstr/>
      </vt:variant>
      <vt:variant>
        <vt:lpwstr>_Toc528318213</vt:lpwstr>
      </vt:variant>
      <vt:variant>
        <vt:i4>2031678</vt:i4>
      </vt:variant>
      <vt:variant>
        <vt:i4>74</vt:i4>
      </vt:variant>
      <vt:variant>
        <vt:i4>0</vt:i4>
      </vt:variant>
      <vt:variant>
        <vt:i4>5</vt:i4>
      </vt:variant>
      <vt:variant>
        <vt:lpwstr/>
      </vt:variant>
      <vt:variant>
        <vt:lpwstr>_Toc528318212</vt:lpwstr>
      </vt:variant>
      <vt:variant>
        <vt:i4>2031678</vt:i4>
      </vt:variant>
      <vt:variant>
        <vt:i4>68</vt:i4>
      </vt:variant>
      <vt:variant>
        <vt:i4>0</vt:i4>
      </vt:variant>
      <vt:variant>
        <vt:i4>5</vt:i4>
      </vt:variant>
      <vt:variant>
        <vt:lpwstr/>
      </vt:variant>
      <vt:variant>
        <vt:lpwstr>_Toc528318211</vt:lpwstr>
      </vt:variant>
      <vt:variant>
        <vt:i4>2031678</vt:i4>
      </vt:variant>
      <vt:variant>
        <vt:i4>62</vt:i4>
      </vt:variant>
      <vt:variant>
        <vt:i4>0</vt:i4>
      </vt:variant>
      <vt:variant>
        <vt:i4>5</vt:i4>
      </vt:variant>
      <vt:variant>
        <vt:lpwstr/>
      </vt:variant>
      <vt:variant>
        <vt:lpwstr>_Toc528318210</vt:lpwstr>
      </vt:variant>
      <vt:variant>
        <vt:i4>1966142</vt:i4>
      </vt:variant>
      <vt:variant>
        <vt:i4>56</vt:i4>
      </vt:variant>
      <vt:variant>
        <vt:i4>0</vt:i4>
      </vt:variant>
      <vt:variant>
        <vt:i4>5</vt:i4>
      </vt:variant>
      <vt:variant>
        <vt:lpwstr/>
      </vt:variant>
      <vt:variant>
        <vt:lpwstr>_Toc528318209</vt:lpwstr>
      </vt:variant>
      <vt:variant>
        <vt:i4>1966142</vt:i4>
      </vt:variant>
      <vt:variant>
        <vt:i4>50</vt:i4>
      </vt:variant>
      <vt:variant>
        <vt:i4>0</vt:i4>
      </vt:variant>
      <vt:variant>
        <vt:i4>5</vt:i4>
      </vt:variant>
      <vt:variant>
        <vt:lpwstr/>
      </vt:variant>
      <vt:variant>
        <vt:lpwstr>_Toc528318208</vt:lpwstr>
      </vt:variant>
      <vt:variant>
        <vt:i4>1966142</vt:i4>
      </vt:variant>
      <vt:variant>
        <vt:i4>44</vt:i4>
      </vt:variant>
      <vt:variant>
        <vt:i4>0</vt:i4>
      </vt:variant>
      <vt:variant>
        <vt:i4>5</vt:i4>
      </vt:variant>
      <vt:variant>
        <vt:lpwstr/>
      </vt:variant>
      <vt:variant>
        <vt:lpwstr>_Toc528318207</vt:lpwstr>
      </vt:variant>
      <vt:variant>
        <vt:i4>1966142</vt:i4>
      </vt:variant>
      <vt:variant>
        <vt:i4>38</vt:i4>
      </vt:variant>
      <vt:variant>
        <vt:i4>0</vt:i4>
      </vt:variant>
      <vt:variant>
        <vt:i4>5</vt:i4>
      </vt:variant>
      <vt:variant>
        <vt:lpwstr/>
      </vt:variant>
      <vt:variant>
        <vt:lpwstr>_Toc528318206</vt:lpwstr>
      </vt:variant>
      <vt:variant>
        <vt:i4>1966142</vt:i4>
      </vt:variant>
      <vt:variant>
        <vt:i4>32</vt:i4>
      </vt:variant>
      <vt:variant>
        <vt:i4>0</vt:i4>
      </vt:variant>
      <vt:variant>
        <vt:i4>5</vt:i4>
      </vt:variant>
      <vt:variant>
        <vt:lpwstr/>
      </vt:variant>
      <vt:variant>
        <vt:lpwstr>_Toc528318205</vt:lpwstr>
      </vt:variant>
      <vt:variant>
        <vt:i4>1966142</vt:i4>
      </vt:variant>
      <vt:variant>
        <vt:i4>26</vt:i4>
      </vt:variant>
      <vt:variant>
        <vt:i4>0</vt:i4>
      </vt:variant>
      <vt:variant>
        <vt:i4>5</vt:i4>
      </vt:variant>
      <vt:variant>
        <vt:lpwstr/>
      </vt:variant>
      <vt:variant>
        <vt:lpwstr>_Toc528318204</vt:lpwstr>
      </vt:variant>
      <vt:variant>
        <vt:i4>1966142</vt:i4>
      </vt:variant>
      <vt:variant>
        <vt:i4>20</vt:i4>
      </vt:variant>
      <vt:variant>
        <vt:i4>0</vt:i4>
      </vt:variant>
      <vt:variant>
        <vt:i4>5</vt:i4>
      </vt:variant>
      <vt:variant>
        <vt:lpwstr/>
      </vt:variant>
      <vt:variant>
        <vt:lpwstr>_Toc528318203</vt:lpwstr>
      </vt:variant>
      <vt:variant>
        <vt:i4>1966142</vt:i4>
      </vt:variant>
      <vt:variant>
        <vt:i4>14</vt:i4>
      </vt:variant>
      <vt:variant>
        <vt:i4>0</vt:i4>
      </vt:variant>
      <vt:variant>
        <vt:i4>5</vt:i4>
      </vt:variant>
      <vt:variant>
        <vt:lpwstr/>
      </vt:variant>
      <vt:variant>
        <vt:lpwstr>_Toc528318202</vt:lpwstr>
      </vt:variant>
      <vt:variant>
        <vt:i4>1966142</vt:i4>
      </vt:variant>
      <vt:variant>
        <vt:i4>8</vt:i4>
      </vt:variant>
      <vt:variant>
        <vt:i4>0</vt:i4>
      </vt:variant>
      <vt:variant>
        <vt:i4>5</vt:i4>
      </vt:variant>
      <vt:variant>
        <vt:lpwstr/>
      </vt:variant>
      <vt:variant>
        <vt:lpwstr>_Toc528318201</vt:lpwstr>
      </vt:variant>
      <vt:variant>
        <vt:i4>1966142</vt:i4>
      </vt:variant>
      <vt:variant>
        <vt:i4>2</vt:i4>
      </vt:variant>
      <vt:variant>
        <vt:i4>0</vt:i4>
      </vt:variant>
      <vt:variant>
        <vt:i4>5</vt:i4>
      </vt:variant>
      <vt:variant>
        <vt:lpwstr/>
      </vt:variant>
      <vt:variant>
        <vt:lpwstr>_Toc528318200</vt:lpwstr>
      </vt:variant>
      <vt:variant>
        <vt:i4>655448</vt:i4>
      </vt:variant>
      <vt:variant>
        <vt:i4>3</vt:i4>
      </vt:variant>
      <vt:variant>
        <vt:i4>0</vt:i4>
      </vt:variant>
      <vt:variant>
        <vt:i4>5</vt:i4>
      </vt:variant>
      <vt:variant>
        <vt:lpwstr>https://assets.publishing.service.gov.uk/government/uploads/system/uploads/attachment_data/file/715778/May-2018_Government-Security-Classifications-2.pdf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SASO OPEN Manual</dc:title>
  <dc:subject>CLOSED Material Proceedings</dc:subject>
  <dc:creator>SASO@governmentlegal.gov.uk</dc:creator>
  <cp:keywords>SASO;CMP</cp:keywords>
  <cp:lastModifiedBy>Benjamin Willy (AGO)</cp:lastModifiedBy>
  <cp:revision>2</cp:revision>
  <cp:lastPrinted>2019-03-19T16:20:00Z</cp:lastPrinted>
  <dcterms:created xsi:type="dcterms:W3CDTF">2023-01-16T11:47:00Z</dcterms:created>
  <dcterms:modified xsi:type="dcterms:W3CDTF">2023-01-16T11:47:00Z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0x01010054301BB114F9064BB7EC3900167BB720</vt:lpwstr>
  </property>
</Properties>
</file>