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37AD" w14:textId="77777777" w:rsidR="000F6523" w:rsidRDefault="000F6523">
      <w:pPr>
        <w:ind w:hanging="2"/>
        <w:rPr>
          <w:rFonts w:ascii="Arial" w:eastAsia="Arial" w:hAnsi="Arial" w:cs="Arial"/>
          <w:b/>
          <w:color w:val="000000"/>
        </w:rPr>
      </w:pPr>
    </w:p>
    <w:p w14:paraId="15288BA7" w14:textId="77777777" w:rsidR="000F6523" w:rsidRDefault="000F6523">
      <w:pPr>
        <w:ind w:hanging="2"/>
        <w:rPr>
          <w:rFonts w:ascii="Arial" w:eastAsia="Arial" w:hAnsi="Arial" w:cs="Arial"/>
          <w:b/>
          <w:color w:val="000000"/>
        </w:rPr>
      </w:pPr>
    </w:p>
    <w:p w14:paraId="56110A74" w14:textId="41CA9E52" w:rsidR="009C6D88" w:rsidRDefault="00000000">
      <w:pPr>
        <w:ind w:hanging="2"/>
        <w:rPr>
          <w:rFonts w:ascii="Arial" w:eastAsia="Arial" w:hAnsi="Arial" w:cs="Arial"/>
          <w:b/>
          <w:color w:val="000000"/>
        </w:rPr>
      </w:pPr>
      <w:r>
        <w:rPr>
          <w:rFonts w:ascii="Arial" w:eastAsia="Arial" w:hAnsi="Arial" w:cs="Arial"/>
          <w:b/>
          <w:color w:val="000000"/>
        </w:rPr>
        <w:t>PRACTITIONER GUIDANCE ON SCS PAY AWARD FOR 2022/23</w:t>
      </w:r>
    </w:p>
    <w:p w14:paraId="66CADE47" w14:textId="77777777" w:rsidR="009C6D88" w:rsidRDefault="009C6D88">
      <w:pPr>
        <w:ind w:hanging="2"/>
        <w:rPr>
          <w:rFonts w:ascii="Arial" w:eastAsia="Arial" w:hAnsi="Arial" w:cs="Arial"/>
          <w:b/>
        </w:rPr>
      </w:pPr>
    </w:p>
    <w:p w14:paraId="0FBE3757" w14:textId="77777777" w:rsidR="009C6D88" w:rsidRDefault="00000000">
      <w:pPr>
        <w:widowControl/>
        <w:numPr>
          <w:ilvl w:val="0"/>
          <w:numId w:val="12"/>
        </w:numPr>
        <w:pBdr>
          <w:top w:val="nil"/>
          <w:left w:val="nil"/>
          <w:bottom w:val="nil"/>
          <w:right w:val="nil"/>
          <w:between w:val="nil"/>
        </w:pBdr>
        <w:tabs>
          <w:tab w:val="center" w:pos="4153"/>
          <w:tab w:val="right" w:pos="8306"/>
        </w:tabs>
        <w:jc w:val="left"/>
        <w:rPr>
          <w:color w:val="000000"/>
        </w:rPr>
      </w:pPr>
      <w:r>
        <w:rPr>
          <w:rFonts w:ascii="Arial" w:eastAsia="Arial" w:hAnsi="Arial" w:cs="Arial"/>
          <w:color w:val="000000"/>
        </w:rPr>
        <w:t xml:space="preserve">This note provides an overview of reward arrangements for the SCS in 2022/23 following the Government’s response to this year’s SSRB recommendations, as well as general guidance on continuing flexibility available within the SCS pay framework. </w:t>
      </w:r>
    </w:p>
    <w:p w14:paraId="0F5DCD84"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1CA1EA51"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color w:val="000000"/>
        </w:rPr>
        <w:t>The main features of the SCS pay award for 2022/23 are:</w:t>
      </w:r>
    </w:p>
    <w:p w14:paraId="0AA6E318"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66177741" w14:textId="77777777" w:rsidR="00717925" w:rsidRPr="00717925" w:rsidRDefault="00000000" w:rsidP="00717925">
      <w:pPr>
        <w:pStyle w:val="ListParagraph"/>
        <w:widowControl/>
        <w:numPr>
          <w:ilvl w:val="0"/>
          <w:numId w:val="21"/>
        </w:numPr>
        <w:pBdr>
          <w:top w:val="nil"/>
          <w:left w:val="nil"/>
          <w:bottom w:val="nil"/>
          <w:right w:val="nil"/>
          <w:between w:val="nil"/>
        </w:pBdr>
        <w:jc w:val="left"/>
        <w:rPr>
          <w:rFonts w:ascii="Arial" w:eastAsia="Arial" w:hAnsi="Arial" w:cs="Arial"/>
          <w:color w:val="000000"/>
        </w:rPr>
      </w:pPr>
      <w:r w:rsidRPr="00717925">
        <w:rPr>
          <w:rFonts w:ascii="Arial" w:eastAsia="Arial" w:hAnsi="Arial" w:cs="Arial"/>
          <w:color w:val="000000"/>
        </w:rPr>
        <w:t>A 2% across the board increase for all eligible staff – see paragraph 3</w:t>
      </w:r>
      <w:r w:rsidR="00717925" w:rsidRPr="00717925">
        <w:rPr>
          <w:rFonts w:ascii="Arial" w:eastAsia="Arial" w:hAnsi="Arial" w:cs="Arial"/>
          <w:color w:val="000000"/>
        </w:rPr>
        <w:t>.</w:t>
      </w:r>
      <w:r w:rsidRPr="00717925">
        <w:rPr>
          <w:rFonts w:ascii="Arial" w:eastAsia="Arial" w:hAnsi="Arial" w:cs="Arial"/>
          <w:color w:val="000000"/>
        </w:rPr>
        <w:t xml:space="preserve"> </w:t>
      </w:r>
    </w:p>
    <w:p w14:paraId="4DB8A660" w14:textId="5FDE16A4" w:rsidR="009C6D88" w:rsidRPr="00717925" w:rsidRDefault="00000000" w:rsidP="00717925">
      <w:pPr>
        <w:pStyle w:val="ListParagraph"/>
        <w:widowControl/>
        <w:numPr>
          <w:ilvl w:val="0"/>
          <w:numId w:val="21"/>
        </w:numPr>
        <w:pBdr>
          <w:top w:val="nil"/>
          <w:left w:val="nil"/>
          <w:bottom w:val="nil"/>
          <w:right w:val="nil"/>
          <w:between w:val="nil"/>
        </w:pBdr>
        <w:jc w:val="left"/>
        <w:rPr>
          <w:rFonts w:ascii="Arial" w:eastAsia="Arial" w:hAnsi="Arial" w:cs="Arial"/>
          <w:color w:val="000000"/>
        </w:rPr>
      </w:pPr>
      <w:r w:rsidRPr="00717925">
        <w:rPr>
          <w:rFonts w:ascii="Arial" w:eastAsia="Arial" w:hAnsi="Arial" w:cs="Arial"/>
          <w:color w:val="000000"/>
        </w:rPr>
        <w:t>A further 1% to be used for:</w:t>
      </w:r>
    </w:p>
    <w:p w14:paraId="3FD38BB0" w14:textId="7DDBA83F" w:rsidR="009C6D88" w:rsidRDefault="00000000">
      <w:pPr>
        <w:widowControl/>
        <w:numPr>
          <w:ilvl w:val="1"/>
          <w:numId w:val="9"/>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raising the pay band minima – see paragraphs </w:t>
      </w:r>
      <w:r w:rsidRPr="00717925">
        <w:rPr>
          <w:rFonts w:ascii="Arial" w:eastAsia="Arial" w:hAnsi="Arial" w:cs="Arial"/>
          <w:color w:val="000000"/>
        </w:rPr>
        <w:t>4-6.</w:t>
      </w:r>
    </w:p>
    <w:p w14:paraId="31A2BE79" w14:textId="77777777" w:rsidR="009C6D88" w:rsidRDefault="00000000">
      <w:pPr>
        <w:widowControl/>
        <w:numPr>
          <w:ilvl w:val="1"/>
          <w:numId w:val="9"/>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addressing anomalies see paragraphs 7-9</w:t>
      </w:r>
    </w:p>
    <w:p w14:paraId="4B71F223" w14:textId="77777777" w:rsidR="009C6D88" w:rsidRDefault="00000000" w:rsidP="00717925">
      <w:pPr>
        <w:pStyle w:val="ListParagraph"/>
        <w:widowControl/>
        <w:numPr>
          <w:ilvl w:val="0"/>
          <w:numId w:val="21"/>
        </w:numPr>
        <w:pBdr>
          <w:top w:val="nil"/>
          <w:left w:val="nil"/>
          <w:bottom w:val="nil"/>
          <w:right w:val="nil"/>
          <w:between w:val="nil"/>
        </w:pBdr>
        <w:jc w:val="left"/>
        <w:rPr>
          <w:rFonts w:ascii="Arial" w:eastAsia="Arial" w:hAnsi="Arial" w:cs="Arial"/>
        </w:rPr>
      </w:pPr>
      <w:r>
        <w:rPr>
          <w:rFonts w:ascii="Arial" w:eastAsia="Arial" w:hAnsi="Arial" w:cs="Arial"/>
          <w:color w:val="000000"/>
        </w:rPr>
        <w:t>Greater flexibility on Non-consolidated Performance Related Pay to reward in-year and end-year achievement – paragraph 11.</w:t>
      </w:r>
    </w:p>
    <w:p w14:paraId="6D62FBCF" w14:textId="77777777" w:rsidR="009C6D88" w:rsidRDefault="009C6D88">
      <w:pPr>
        <w:widowControl/>
        <w:pBdr>
          <w:top w:val="nil"/>
          <w:left w:val="nil"/>
          <w:bottom w:val="nil"/>
          <w:right w:val="nil"/>
          <w:between w:val="nil"/>
        </w:pBdr>
        <w:tabs>
          <w:tab w:val="center" w:pos="4153"/>
          <w:tab w:val="right" w:pos="8306"/>
        </w:tabs>
        <w:ind w:hanging="2"/>
        <w:jc w:val="left"/>
        <w:rPr>
          <w:rFonts w:ascii="Arial" w:eastAsia="Arial" w:hAnsi="Arial" w:cs="Arial"/>
          <w:b/>
          <w:color w:val="000000"/>
        </w:rPr>
      </w:pPr>
    </w:p>
    <w:p w14:paraId="09631EE7" w14:textId="77777777" w:rsidR="009C6D88" w:rsidRDefault="00000000">
      <w:pPr>
        <w:widowControl/>
        <w:pBdr>
          <w:top w:val="nil"/>
          <w:left w:val="nil"/>
          <w:bottom w:val="nil"/>
          <w:right w:val="nil"/>
          <w:between w:val="nil"/>
        </w:pBdr>
        <w:tabs>
          <w:tab w:val="center" w:pos="4153"/>
          <w:tab w:val="right" w:pos="8306"/>
        </w:tabs>
        <w:ind w:hanging="2"/>
        <w:jc w:val="left"/>
        <w:rPr>
          <w:rFonts w:ascii="Arial" w:eastAsia="Arial" w:hAnsi="Arial" w:cs="Arial"/>
          <w:color w:val="000000"/>
        </w:rPr>
      </w:pPr>
      <w:r>
        <w:rPr>
          <w:rFonts w:ascii="Arial" w:eastAsia="Arial" w:hAnsi="Arial" w:cs="Arial"/>
          <w:b/>
          <w:color w:val="000000"/>
        </w:rPr>
        <w:t>Base pay from 1 April 2022 (for 2021/22 performance)</w:t>
      </w:r>
    </w:p>
    <w:p w14:paraId="3AA52A35" w14:textId="77777777" w:rsidR="009C6D88" w:rsidRDefault="009C6D88">
      <w:pPr>
        <w:widowControl/>
        <w:pBdr>
          <w:top w:val="nil"/>
          <w:left w:val="nil"/>
          <w:bottom w:val="nil"/>
          <w:right w:val="nil"/>
          <w:between w:val="nil"/>
        </w:pBdr>
        <w:tabs>
          <w:tab w:val="center" w:pos="4153"/>
          <w:tab w:val="right" w:pos="8306"/>
        </w:tabs>
        <w:ind w:hanging="2"/>
        <w:jc w:val="left"/>
        <w:rPr>
          <w:rFonts w:ascii="Arial" w:eastAsia="Arial" w:hAnsi="Arial" w:cs="Arial"/>
          <w:color w:val="000000"/>
        </w:rPr>
      </w:pPr>
    </w:p>
    <w:p w14:paraId="6D51061F" w14:textId="77777777" w:rsidR="009C6D88" w:rsidRDefault="00000000">
      <w:pPr>
        <w:widowControl/>
        <w:pBdr>
          <w:top w:val="nil"/>
          <w:left w:val="nil"/>
          <w:bottom w:val="nil"/>
          <w:right w:val="nil"/>
          <w:between w:val="nil"/>
        </w:pBdr>
        <w:tabs>
          <w:tab w:val="center" w:pos="4153"/>
          <w:tab w:val="right" w:pos="8306"/>
        </w:tabs>
        <w:ind w:hanging="2"/>
        <w:rPr>
          <w:rFonts w:ascii="Arial" w:eastAsia="Arial" w:hAnsi="Arial" w:cs="Arial"/>
          <w:i/>
        </w:rPr>
      </w:pPr>
      <w:r>
        <w:rPr>
          <w:rFonts w:ascii="Arial" w:eastAsia="Arial" w:hAnsi="Arial" w:cs="Arial"/>
          <w:i/>
        </w:rPr>
        <w:t>General pay awards</w:t>
      </w:r>
    </w:p>
    <w:p w14:paraId="5864CF6B"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i/>
        </w:rPr>
      </w:pPr>
    </w:p>
    <w:p w14:paraId="2E7614F6"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color w:val="000000"/>
        </w:rPr>
        <w:t xml:space="preserve">Departments should apply a 2% across the board consolidated increase for all SCS </w:t>
      </w:r>
      <w:r>
        <w:rPr>
          <w:rFonts w:ascii="Arial" w:eastAsia="Arial" w:hAnsi="Arial" w:cs="Arial"/>
          <w:color w:val="000000"/>
          <w:u w:val="single"/>
        </w:rPr>
        <w:t>except</w:t>
      </w:r>
      <w:r>
        <w:rPr>
          <w:rFonts w:ascii="Arial" w:eastAsia="Arial" w:hAnsi="Arial" w:cs="Arial"/>
          <w:color w:val="000000"/>
        </w:rPr>
        <w:t xml:space="preserve"> for those who are:</w:t>
      </w:r>
    </w:p>
    <w:p w14:paraId="030EFA16" w14:textId="77777777" w:rsidR="009C6D88" w:rsidRDefault="009C6D88">
      <w:pPr>
        <w:widowControl/>
        <w:pBdr>
          <w:top w:val="nil"/>
          <w:left w:val="nil"/>
          <w:bottom w:val="nil"/>
          <w:right w:val="nil"/>
          <w:between w:val="nil"/>
        </w:pBdr>
        <w:tabs>
          <w:tab w:val="center" w:pos="4153"/>
          <w:tab w:val="right" w:pos="8306"/>
        </w:tabs>
        <w:ind w:left="360" w:firstLine="0"/>
        <w:rPr>
          <w:rFonts w:ascii="Arial" w:eastAsia="Arial" w:hAnsi="Arial" w:cs="Arial"/>
          <w:color w:val="000000"/>
        </w:rPr>
      </w:pPr>
    </w:p>
    <w:p w14:paraId="709CD3DD" w14:textId="77777777" w:rsidR="009C6D88" w:rsidRDefault="00000000" w:rsidP="00A0761C">
      <w:pPr>
        <w:pStyle w:val="ListParagraph"/>
        <w:widowControl/>
        <w:numPr>
          <w:ilvl w:val="0"/>
          <w:numId w:val="21"/>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Under poor performance measures.</w:t>
      </w:r>
    </w:p>
    <w:p w14:paraId="4B78B621" w14:textId="77777777" w:rsidR="009C6D88" w:rsidRDefault="00000000" w:rsidP="00A0761C">
      <w:pPr>
        <w:pStyle w:val="ListParagraph"/>
        <w:widowControl/>
        <w:numPr>
          <w:ilvl w:val="0"/>
          <w:numId w:val="21"/>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Paid above the maxima. </w:t>
      </w:r>
    </w:p>
    <w:p w14:paraId="70EFEFAB" w14:textId="77777777" w:rsidR="009C6D88" w:rsidRDefault="00000000">
      <w:pPr>
        <w:widowControl/>
        <w:spacing w:before="280" w:after="280"/>
        <w:ind w:firstLine="0"/>
        <w:jc w:val="left"/>
      </w:pPr>
      <w:r>
        <w:rPr>
          <w:rFonts w:ascii="Arial" w:eastAsia="Arial" w:hAnsi="Arial" w:cs="Arial"/>
          <w:i/>
        </w:rPr>
        <w:t xml:space="preserve">Revised pay ranges and pay anomalies </w:t>
      </w:r>
    </w:p>
    <w:p w14:paraId="3FCA719A" w14:textId="416717C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color w:val="000000"/>
        </w:rPr>
        <w:t>In</w:t>
      </w:r>
      <w:r>
        <w:rPr>
          <w:rFonts w:ascii="ArialMT" w:eastAsia="ArialMT" w:hAnsi="ArialMT" w:cs="ArialMT"/>
          <w:color w:val="000000"/>
        </w:rPr>
        <w:t xml:space="preserve"> addition to general awards of 2%, departments have a ring-fenced pot of 1% of their SCS </w:t>
      </w:r>
      <w:proofErr w:type="spellStart"/>
      <w:r>
        <w:rPr>
          <w:rFonts w:ascii="ArialMT" w:eastAsia="ArialMT" w:hAnsi="ArialMT" w:cs="ArialMT"/>
          <w:color w:val="000000"/>
        </w:rPr>
        <w:t>paybill</w:t>
      </w:r>
      <w:proofErr w:type="spellEnd"/>
      <w:r>
        <w:rPr>
          <w:rFonts w:ascii="ArialMT" w:eastAsia="ArialMT" w:hAnsi="ArialMT" w:cs="ArialMT"/>
          <w:color w:val="000000"/>
        </w:rPr>
        <w:t xml:space="preserve"> to raise pay range minima </w:t>
      </w:r>
      <w:r>
        <w:rPr>
          <w:rFonts w:ascii="Arial" w:eastAsia="Arial" w:hAnsi="Arial" w:cs="Arial"/>
          <w:highlight w:val="white"/>
        </w:rPr>
        <w:t xml:space="preserve">where the </w:t>
      </w:r>
      <w:proofErr w:type="gramStart"/>
      <w:r>
        <w:rPr>
          <w:rFonts w:ascii="Arial" w:eastAsia="Arial" w:hAnsi="Arial" w:cs="Arial"/>
          <w:highlight w:val="white"/>
        </w:rPr>
        <w:t>across the board</w:t>
      </w:r>
      <w:proofErr w:type="gramEnd"/>
      <w:r>
        <w:rPr>
          <w:rFonts w:ascii="Arial" w:eastAsia="Arial" w:hAnsi="Arial" w:cs="Arial"/>
          <w:highlight w:val="white"/>
        </w:rPr>
        <w:t xml:space="preserve"> increase does not already bring individuals' pay to the new minimum</w:t>
      </w:r>
      <w:r>
        <w:rPr>
          <w:rFonts w:ascii="Arial" w:eastAsia="Arial" w:hAnsi="Arial" w:cs="Arial"/>
          <w:sz w:val="22"/>
          <w:szCs w:val="22"/>
          <w:highlight w:val="white"/>
        </w:rPr>
        <w:t xml:space="preserve">; </w:t>
      </w:r>
      <w:r>
        <w:rPr>
          <w:rFonts w:ascii="ArialMT" w:eastAsia="ArialMT" w:hAnsi="ArialMT" w:cs="ArialMT"/>
          <w:color w:val="000000"/>
        </w:rPr>
        <w:t xml:space="preserve">and </w:t>
      </w:r>
      <w:r w:rsidR="00A0761C">
        <w:rPr>
          <w:rFonts w:ascii="ArialMT" w:eastAsia="ArialMT" w:hAnsi="ArialMT" w:cs="ArialMT"/>
          <w:color w:val="000000"/>
        </w:rPr>
        <w:t xml:space="preserve">to </w:t>
      </w:r>
      <w:r>
        <w:rPr>
          <w:rFonts w:ascii="ArialMT" w:eastAsia="ArialMT" w:hAnsi="ArialMT" w:cs="ArialMT"/>
          <w:color w:val="000000"/>
        </w:rPr>
        <w:t>address pay anomalies.</w:t>
      </w:r>
    </w:p>
    <w:p w14:paraId="5474EBCC" w14:textId="77777777" w:rsidR="009C6D88" w:rsidRDefault="009C6D88">
      <w:pPr>
        <w:widowControl/>
        <w:pBdr>
          <w:top w:val="nil"/>
          <w:left w:val="nil"/>
          <w:bottom w:val="nil"/>
          <w:right w:val="nil"/>
          <w:between w:val="nil"/>
        </w:pBdr>
        <w:tabs>
          <w:tab w:val="center" w:pos="4153"/>
          <w:tab w:val="right" w:pos="8306"/>
        </w:tabs>
        <w:ind w:firstLine="0"/>
        <w:rPr>
          <w:rFonts w:ascii="ArialMT" w:eastAsia="ArialMT" w:hAnsi="ArialMT" w:cs="ArialMT"/>
        </w:rPr>
      </w:pPr>
    </w:p>
    <w:p w14:paraId="2486DC8F"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color w:val="000000"/>
        </w:rPr>
        <w:t>The</w:t>
      </w:r>
      <w:r>
        <w:rPr>
          <w:rFonts w:ascii="ArialMT" w:eastAsia="ArialMT" w:hAnsi="ArialMT" w:cs="ArialMT"/>
          <w:color w:val="000000"/>
        </w:rPr>
        <w:t xml:space="preserve"> revised pay ranges are: </w:t>
      </w:r>
    </w:p>
    <w:p w14:paraId="64C81F8E" w14:textId="77777777" w:rsidR="009C6D88" w:rsidRDefault="009C6D88">
      <w:pPr>
        <w:pStyle w:val="Heading2"/>
        <w:keepNext w:val="0"/>
        <w:ind w:left="-2" w:firstLine="0"/>
        <w:rPr>
          <w:rFonts w:ascii="Arial" w:eastAsia="Arial" w:hAnsi="Arial" w:cs="Arial"/>
          <w:sz w:val="24"/>
          <w:szCs w:val="24"/>
        </w:rPr>
      </w:pPr>
    </w:p>
    <w:p w14:paraId="6C6F80F8" w14:textId="77777777" w:rsidR="009C6D88" w:rsidRDefault="00000000">
      <w:pPr>
        <w:pStyle w:val="Heading2"/>
        <w:keepNext w:val="0"/>
        <w:ind w:left="862" w:firstLine="722"/>
        <w:rPr>
          <w:rFonts w:ascii="Arial" w:eastAsia="Arial" w:hAnsi="Arial" w:cs="Arial"/>
          <w:sz w:val="24"/>
          <w:szCs w:val="24"/>
        </w:rPr>
      </w:pPr>
      <w:r>
        <w:rPr>
          <w:rFonts w:ascii="Arial" w:eastAsia="Arial" w:hAnsi="Arial" w:cs="Arial"/>
          <w:sz w:val="24"/>
          <w:szCs w:val="24"/>
        </w:rPr>
        <w:t>SCS pay ranges with effect from 1 April 2022</w:t>
      </w:r>
    </w:p>
    <w:p w14:paraId="0CB3AA00" w14:textId="77777777" w:rsidR="009C6D88" w:rsidRDefault="009C6D88">
      <w:pPr>
        <w:ind w:hanging="2"/>
        <w:rPr>
          <w:rFonts w:ascii="Arial" w:eastAsia="Arial" w:hAnsi="Arial" w:cs="Arial"/>
        </w:rPr>
      </w:pPr>
    </w:p>
    <w:tbl>
      <w:tblPr>
        <w:tblStyle w:val="a"/>
        <w:tblW w:w="7065" w:type="dxa"/>
        <w:tblInd w:w="965"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2130"/>
        <w:gridCol w:w="1980"/>
        <w:gridCol w:w="2955"/>
      </w:tblGrid>
      <w:tr w:rsidR="009C6D88" w14:paraId="40CFDD79" w14:textId="77777777">
        <w:trPr>
          <w:trHeight w:val="715"/>
        </w:trPr>
        <w:tc>
          <w:tcPr>
            <w:tcW w:w="2130" w:type="dxa"/>
            <w:shd w:val="clear" w:color="auto" w:fill="D3DFEE"/>
          </w:tcPr>
          <w:p w14:paraId="638D77DF" w14:textId="77777777" w:rsidR="009C6D88" w:rsidRDefault="00000000">
            <w:pPr>
              <w:pBdr>
                <w:top w:val="nil"/>
                <w:left w:val="nil"/>
                <w:bottom w:val="nil"/>
                <w:right w:val="nil"/>
                <w:between w:val="nil"/>
              </w:pBdr>
              <w:ind w:hanging="2"/>
              <w:jc w:val="left"/>
              <w:rPr>
                <w:rFonts w:ascii="Arial" w:eastAsia="Arial" w:hAnsi="Arial" w:cs="Arial"/>
                <w:color w:val="000000"/>
              </w:rPr>
            </w:pPr>
            <w:r>
              <w:rPr>
                <w:rFonts w:ascii="Arial" w:eastAsia="Arial" w:hAnsi="Arial" w:cs="Arial"/>
                <w:b/>
                <w:color w:val="000000"/>
              </w:rPr>
              <w:t>Pay Band</w:t>
            </w:r>
          </w:p>
        </w:tc>
        <w:tc>
          <w:tcPr>
            <w:tcW w:w="1980" w:type="dxa"/>
            <w:shd w:val="clear" w:color="auto" w:fill="D3DFEE"/>
          </w:tcPr>
          <w:p w14:paraId="453C96DB" w14:textId="77777777" w:rsidR="009C6D88" w:rsidRDefault="00000000">
            <w:pPr>
              <w:pBdr>
                <w:top w:val="nil"/>
                <w:left w:val="nil"/>
                <w:bottom w:val="nil"/>
                <w:right w:val="nil"/>
                <w:between w:val="nil"/>
              </w:pBdr>
              <w:ind w:hanging="2"/>
              <w:jc w:val="left"/>
              <w:rPr>
                <w:rFonts w:ascii="Arial" w:eastAsia="Arial" w:hAnsi="Arial" w:cs="Arial"/>
                <w:color w:val="000000"/>
              </w:rPr>
            </w:pPr>
            <w:r>
              <w:rPr>
                <w:rFonts w:ascii="Arial" w:eastAsia="Arial" w:hAnsi="Arial" w:cs="Arial"/>
                <w:b/>
                <w:color w:val="000000"/>
              </w:rPr>
              <w:t>Minimum (£)</w:t>
            </w:r>
          </w:p>
        </w:tc>
        <w:tc>
          <w:tcPr>
            <w:tcW w:w="2955" w:type="dxa"/>
            <w:shd w:val="clear" w:color="auto" w:fill="D3DFEE"/>
          </w:tcPr>
          <w:p w14:paraId="4074182A" w14:textId="77777777" w:rsidR="009C6D88" w:rsidRDefault="00000000">
            <w:pPr>
              <w:pBdr>
                <w:top w:val="nil"/>
                <w:left w:val="nil"/>
                <w:bottom w:val="nil"/>
                <w:right w:val="nil"/>
                <w:between w:val="nil"/>
              </w:pBdr>
              <w:ind w:hanging="2"/>
              <w:jc w:val="left"/>
              <w:rPr>
                <w:rFonts w:ascii="Arial" w:eastAsia="Arial" w:hAnsi="Arial" w:cs="Arial"/>
                <w:color w:val="000000"/>
              </w:rPr>
            </w:pPr>
            <w:r>
              <w:rPr>
                <w:rFonts w:ascii="Arial" w:eastAsia="Arial" w:hAnsi="Arial" w:cs="Arial"/>
                <w:b/>
                <w:color w:val="000000"/>
              </w:rPr>
              <w:t>Maximum (£)</w:t>
            </w:r>
          </w:p>
        </w:tc>
      </w:tr>
      <w:tr w:rsidR="009C6D88" w14:paraId="7D40D999" w14:textId="77777777">
        <w:trPr>
          <w:trHeight w:val="534"/>
        </w:trPr>
        <w:tc>
          <w:tcPr>
            <w:tcW w:w="2130" w:type="dxa"/>
            <w:shd w:val="clear" w:color="auto" w:fill="A7BFDE"/>
          </w:tcPr>
          <w:p w14:paraId="0170391D" w14:textId="77777777" w:rsidR="009C6D88" w:rsidRDefault="00000000">
            <w:pPr>
              <w:ind w:hanging="2"/>
              <w:rPr>
                <w:rFonts w:ascii="Arial" w:eastAsia="Arial" w:hAnsi="Arial" w:cs="Arial"/>
              </w:rPr>
            </w:pPr>
            <w:r>
              <w:rPr>
                <w:rFonts w:ascii="Arial" w:eastAsia="Arial" w:hAnsi="Arial" w:cs="Arial"/>
                <w:b/>
              </w:rPr>
              <w:t>1</w:t>
            </w:r>
          </w:p>
        </w:tc>
        <w:tc>
          <w:tcPr>
            <w:tcW w:w="1980" w:type="dxa"/>
            <w:shd w:val="clear" w:color="auto" w:fill="A7BFDE"/>
          </w:tcPr>
          <w:p w14:paraId="494BABF5" w14:textId="77777777" w:rsidR="009C6D88" w:rsidRDefault="00000000">
            <w:pPr>
              <w:ind w:hanging="2"/>
              <w:rPr>
                <w:rFonts w:ascii="Arial" w:eastAsia="Arial" w:hAnsi="Arial" w:cs="Arial"/>
              </w:rPr>
            </w:pPr>
            <w:r>
              <w:rPr>
                <w:rFonts w:ascii="Arial" w:eastAsia="Arial" w:hAnsi="Arial" w:cs="Arial"/>
                <w:b/>
              </w:rPr>
              <w:t>£73,000</w:t>
            </w:r>
          </w:p>
        </w:tc>
        <w:tc>
          <w:tcPr>
            <w:tcW w:w="2955" w:type="dxa"/>
            <w:shd w:val="clear" w:color="auto" w:fill="A7BFDE"/>
          </w:tcPr>
          <w:p w14:paraId="7710A61A" w14:textId="77777777" w:rsidR="009C6D88" w:rsidRDefault="00000000">
            <w:pPr>
              <w:ind w:hanging="2"/>
              <w:rPr>
                <w:rFonts w:ascii="Arial" w:eastAsia="Arial" w:hAnsi="Arial" w:cs="Arial"/>
              </w:rPr>
            </w:pPr>
            <w:r>
              <w:rPr>
                <w:rFonts w:ascii="Arial" w:eastAsia="Arial" w:hAnsi="Arial" w:cs="Arial"/>
                <w:b/>
              </w:rPr>
              <w:t>£117,800</w:t>
            </w:r>
          </w:p>
          <w:p w14:paraId="54C11F6B" w14:textId="77777777" w:rsidR="009C6D88" w:rsidRDefault="009C6D88">
            <w:pPr>
              <w:ind w:hanging="2"/>
              <w:rPr>
                <w:rFonts w:ascii="Arial" w:eastAsia="Arial" w:hAnsi="Arial" w:cs="Arial"/>
              </w:rPr>
            </w:pPr>
          </w:p>
          <w:p w14:paraId="0FDF1BF9" w14:textId="77777777" w:rsidR="009C6D88" w:rsidRDefault="009C6D88">
            <w:pPr>
              <w:ind w:hanging="2"/>
              <w:rPr>
                <w:rFonts w:ascii="Arial" w:eastAsia="Arial" w:hAnsi="Arial" w:cs="Arial"/>
              </w:rPr>
            </w:pPr>
          </w:p>
        </w:tc>
      </w:tr>
      <w:tr w:rsidR="009C6D88" w14:paraId="70AFF6B3" w14:textId="77777777">
        <w:trPr>
          <w:trHeight w:val="689"/>
        </w:trPr>
        <w:tc>
          <w:tcPr>
            <w:tcW w:w="2130" w:type="dxa"/>
            <w:shd w:val="clear" w:color="auto" w:fill="D3DFEE"/>
          </w:tcPr>
          <w:p w14:paraId="3BE8C0FD" w14:textId="77777777" w:rsidR="009C6D88" w:rsidRDefault="00000000">
            <w:pPr>
              <w:ind w:hanging="2"/>
              <w:rPr>
                <w:rFonts w:ascii="Arial" w:eastAsia="Arial" w:hAnsi="Arial" w:cs="Arial"/>
              </w:rPr>
            </w:pPr>
            <w:r>
              <w:rPr>
                <w:rFonts w:ascii="Arial" w:eastAsia="Arial" w:hAnsi="Arial" w:cs="Arial"/>
                <w:b/>
              </w:rPr>
              <w:t>1A*</w:t>
            </w:r>
          </w:p>
        </w:tc>
        <w:tc>
          <w:tcPr>
            <w:tcW w:w="1980" w:type="dxa"/>
            <w:shd w:val="clear" w:color="auto" w:fill="D3DFEE"/>
          </w:tcPr>
          <w:p w14:paraId="6B406DDE" w14:textId="77777777" w:rsidR="009C6D88" w:rsidRDefault="00000000">
            <w:pPr>
              <w:ind w:hanging="2"/>
              <w:rPr>
                <w:rFonts w:ascii="Arial" w:eastAsia="Arial" w:hAnsi="Arial" w:cs="Arial"/>
              </w:rPr>
            </w:pPr>
            <w:r>
              <w:rPr>
                <w:rFonts w:ascii="Arial" w:eastAsia="Arial" w:hAnsi="Arial" w:cs="Arial"/>
                <w:b/>
                <w:color w:val="000000"/>
              </w:rPr>
              <w:t>£73,000</w:t>
            </w:r>
          </w:p>
        </w:tc>
        <w:tc>
          <w:tcPr>
            <w:tcW w:w="2955" w:type="dxa"/>
            <w:shd w:val="clear" w:color="auto" w:fill="D3DFEE"/>
          </w:tcPr>
          <w:p w14:paraId="21C3D430" w14:textId="77777777" w:rsidR="009C6D88" w:rsidRDefault="00000000">
            <w:pPr>
              <w:ind w:hanging="2"/>
              <w:rPr>
                <w:rFonts w:ascii="Arial" w:eastAsia="Arial" w:hAnsi="Arial" w:cs="Arial"/>
              </w:rPr>
            </w:pPr>
            <w:r>
              <w:rPr>
                <w:rFonts w:ascii="Arial" w:eastAsia="Arial" w:hAnsi="Arial" w:cs="Arial"/>
                <w:b/>
              </w:rPr>
              <w:t>£128,900</w:t>
            </w:r>
          </w:p>
        </w:tc>
      </w:tr>
      <w:tr w:rsidR="009C6D88" w14:paraId="17FCB242" w14:textId="77777777">
        <w:trPr>
          <w:trHeight w:val="350"/>
        </w:trPr>
        <w:tc>
          <w:tcPr>
            <w:tcW w:w="2130" w:type="dxa"/>
            <w:shd w:val="clear" w:color="auto" w:fill="A7BFDE"/>
          </w:tcPr>
          <w:p w14:paraId="299812E3" w14:textId="77777777" w:rsidR="009C6D88" w:rsidRDefault="00000000">
            <w:pPr>
              <w:ind w:hanging="2"/>
              <w:rPr>
                <w:rFonts w:ascii="Arial" w:eastAsia="Arial" w:hAnsi="Arial" w:cs="Arial"/>
              </w:rPr>
            </w:pPr>
            <w:r>
              <w:rPr>
                <w:rFonts w:ascii="Arial" w:eastAsia="Arial" w:hAnsi="Arial" w:cs="Arial"/>
                <w:b/>
              </w:rPr>
              <w:t>2</w:t>
            </w:r>
          </w:p>
        </w:tc>
        <w:tc>
          <w:tcPr>
            <w:tcW w:w="1980" w:type="dxa"/>
            <w:shd w:val="clear" w:color="auto" w:fill="A7BFDE"/>
          </w:tcPr>
          <w:p w14:paraId="4A194AA2" w14:textId="77777777" w:rsidR="009C6D88" w:rsidRDefault="00000000">
            <w:pPr>
              <w:ind w:hanging="2"/>
              <w:rPr>
                <w:rFonts w:ascii="Arial" w:eastAsia="Arial" w:hAnsi="Arial" w:cs="Arial"/>
              </w:rPr>
            </w:pPr>
            <w:r>
              <w:rPr>
                <w:rFonts w:ascii="Arial" w:eastAsia="Arial" w:hAnsi="Arial" w:cs="Arial"/>
                <w:b/>
                <w:color w:val="000000"/>
              </w:rPr>
              <w:t>£95,000</w:t>
            </w:r>
          </w:p>
        </w:tc>
        <w:tc>
          <w:tcPr>
            <w:tcW w:w="2955" w:type="dxa"/>
            <w:shd w:val="clear" w:color="auto" w:fill="A7BFDE"/>
          </w:tcPr>
          <w:p w14:paraId="4750FD38" w14:textId="77777777" w:rsidR="009C6D88" w:rsidRDefault="00000000">
            <w:pPr>
              <w:ind w:hanging="2"/>
              <w:rPr>
                <w:rFonts w:ascii="Arial" w:eastAsia="Arial" w:hAnsi="Arial" w:cs="Arial"/>
              </w:rPr>
            </w:pPr>
            <w:r>
              <w:rPr>
                <w:rFonts w:ascii="Arial" w:eastAsia="Arial" w:hAnsi="Arial" w:cs="Arial"/>
                <w:b/>
              </w:rPr>
              <w:t>£162,500</w:t>
            </w:r>
          </w:p>
          <w:p w14:paraId="090F3B6B" w14:textId="77777777" w:rsidR="009C6D88" w:rsidRDefault="009C6D88">
            <w:pPr>
              <w:ind w:hanging="2"/>
              <w:rPr>
                <w:rFonts w:ascii="Arial" w:eastAsia="Arial" w:hAnsi="Arial" w:cs="Arial"/>
              </w:rPr>
            </w:pPr>
          </w:p>
          <w:p w14:paraId="286724D4" w14:textId="77777777" w:rsidR="009C6D88" w:rsidRDefault="009C6D88">
            <w:pPr>
              <w:ind w:hanging="2"/>
              <w:rPr>
                <w:rFonts w:ascii="Arial" w:eastAsia="Arial" w:hAnsi="Arial" w:cs="Arial"/>
              </w:rPr>
            </w:pPr>
          </w:p>
        </w:tc>
      </w:tr>
      <w:tr w:rsidR="009C6D88" w14:paraId="0E4E51F7" w14:textId="77777777">
        <w:trPr>
          <w:trHeight w:val="380"/>
        </w:trPr>
        <w:tc>
          <w:tcPr>
            <w:tcW w:w="2130" w:type="dxa"/>
            <w:shd w:val="clear" w:color="auto" w:fill="D3DFEE"/>
          </w:tcPr>
          <w:p w14:paraId="544F4E44" w14:textId="77777777" w:rsidR="009C6D88" w:rsidRDefault="00000000">
            <w:pPr>
              <w:ind w:hanging="2"/>
              <w:rPr>
                <w:rFonts w:ascii="Arial" w:eastAsia="Arial" w:hAnsi="Arial" w:cs="Arial"/>
              </w:rPr>
            </w:pPr>
            <w:r>
              <w:rPr>
                <w:rFonts w:ascii="Arial" w:eastAsia="Arial" w:hAnsi="Arial" w:cs="Arial"/>
                <w:b/>
              </w:rPr>
              <w:t>3</w:t>
            </w:r>
          </w:p>
        </w:tc>
        <w:tc>
          <w:tcPr>
            <w:tcW w:w="1980" w:type="dxa"/>
            <w:shd w:val="clear" w:color="auto" w:fill="D3DFEE"/>
          </w:tcPr>
          <w:p w14:paraId="017A5AB4" w14:textId="77777777" w:rsidR="009C6D88" w:rsidRDefault="00000000">
            <w:pPr>
              <w:ind w:hanging="2"/>
              <w:rPr>
                <w:rFonts w:ascii="Arial" w:eastAsia="Arial" w:hAnsi="Arial" w:cs="Arial"/>
              </w:rPr>
            </w:pPr>
            <w:r>
              <w:rPr>
                <w:rFonts w:ascii="Arial" w:eastAsia="Arial" w:hAnsi="Arial" w:cs="Arial"/>
                <w:b/>
                <w:color w:val="000000"/>
              </w:rPr>
              <w:t>£125,000</w:t>
            </w:r>
          </w:p>
        </w:tc>
        <w:tc>
          <w:tcPr>
            <w:tcW w:w="2955" w:type="dxa"/>
            <w:shd w:val="clear" w:color="auto" w:fill="D3DFEE"/>
          </w:tcPr>
          <w:p w14:paraId="4DF65041" w14:textId="77777777" w:rsidR="009C6D88" w:rsidRDefault="00000000">
            <w:pPr>
              <w:ind w:hanging="2"/>
              <w:rPr>
                <w:rFonts w:ascii="Arial" w:eastAsia="Arial" w:hAnsi="Arial" w:cs="Arial"/>
              </w:rPr>
            </w:pPr>
            <w:r>
              <w:rPr>
                <w:rFonts w:ascii="Arial" w:eastAsia="Arial" w:hAnsi="Arial" w:cs="Arial"/>
                <w:b/>
              </w:rPr>
              <w:t>£208,100</w:t>
            </w:r>
          </w:p>
          <w:p w14:paraId="7D71B589" w14:textId="77777777" w:rsidR="009C6D88" w:rsidRDefault="009C6D88">
            <w:pPr>
              <w:ind w:hanging="2"/>
              <w:rPr>
                <w:rFonts w:ascii="Arial" w:eastAsia="Arial" w:hAnsi="Arial" w:cs="Arial"/>
              </w:rPr>
            </w:pPr>
          </w:p>
        </w:tc>
      </w:tr>
    </w:tbl>
    <w:p w14:paraId="6DAB3AAF"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5CF73020" w14:textId="77777777" w:rsidR="009C6D88" w:rsidRDefault="00000000">
      <w:pPr>
        <w:widowControl/>
        <w:tabs>
          <w:tab w:val="center" w:pos="4153"/>
          <w:tab w:val="right" w:pos="8306"/>
        </w:tabs>
        <w:spacing w:line="276" w:lineRule="auto"/>
        <w:ind w:left="720" w:firstLine="0"/>
        <w:rPr>
          <w:rFonts w:ascii="Arial" w:eastAsia="Arial" w:hAnsi="Arial" w:cs="Arial"/>
          <w:i/>
        </w:rPr>
      </w:pPr>
      <w:r>
        <w:rPr>
          <w:rFonts w:ascii="Arial" w:eastAsia="Arial" w:hAnsi="Arial" w:cs="Arial"/>
          <w:i/>
        </w:rPr>
        <w:t>* See paragraph 29</w:t>
      </w:r>
    </w:p>
    <w:p w14:paraId="11FE32D7" w14:textId="77777777" w:rsidR="009C6D88" w:rsidRDefault="009C6D88">
      <w:pPr>
        <w:widowControl/>
        <w:pBdr>
          <w:top w:val="nil"/>
          <w:left w:val="nil"/>
          <w:bottom w:val="nil"/>
          <w:right w:val="nil"/>
          <w:between w:val="nil"/>
        </w:pBdr>
        <w:tabs>
          <w:tab w:val="center" w:pos="4153"/>
          <w:tab w:val="right" w:pos="8306"/>
        </w:tabs>
        <w:ind w:left="360" w:firstLine="0"/>
        <w:rPr>
          <w:rFonts w:ascii="Arial" w:eastAsia="Arial" w:hAnsi="Arial" w:cs="Arial"/>
        </w:rPr>
      </w:pPr>
    </w:p>
    <w:p w14:paraId="55D0A455" w14:textId="77777777" w:rsidR="000F6523" w:rsidRPr="000F6523" w:rsidRDefault="00000000">
      <w:pPr>
        <w:widowControl/>
        <w:numPr>
          <w:ilvl w:val="0"/>
          <w:numId w:val="12"/>
        </w:numPr>
        <w:pBdr>
          <w:top w:val="nil"/>
          <w:left w:val="nil"/>
          <w:bottom w:val="nil"/>
          <w:right w:val="nil"/>
          <w:between w:val="nil"/>
        </w:pBdr>
        <w:tabs>
          <w:tab w:val="center" w:pos="4153"/>
          <w:tab w:val="right" w:pos="8306"/>
        </w:tabs>
      </w:pPr>
      <w:r>
        <w:rPr>
          <w:rFonts w:ascii="Arial" w:eastAsia="Arial" w:hAnsi="Arial" w:cs="Arial"/>
          <w:color w:val="000000"/>
        </w:rPr>
        <w:lastRenderedPageBreak/>
        <w:t>Any staff who have been subject to poor performance procedures can be uplifted to the minima if their performance has improved to an acceptable level.</w:t>
      </w:r>
    </w:p>
    <w:p w14:paraId="5FF11534" w14:textId="4F8253AB" w:rsidR="009C6D88" w:rsidRDefault="00000000" w:rsidP="000F6523">
      <w:pPr>
        <w:widowControl/>
        <w:pBdr>
          <w:top w:val="nil"/>
          <w:left w:val="nil"/>
          <w:bottom w:val="nil"/>
          <w:right w:val="nil"/>
          <w:between w:val="nil"/>
        </w:pBdr>
        <w:tabs>
          <w:tab w:val="center" w:pos="4153"/>
          <w:tab w:val="right" w:pos="8306"/>
        </w:tabs>
        <w:ind w:left="360" w:firstLine="0"/>
      </w:pPr>
      <w:r>
        <w:rPr>
          <w:rFonts w:ascii="Arial" w:eastAsia="Arial" w:hAnsi="Arial" w:cs="Arial"/>
          <w:color w:val="000000"/>
        </w:rPr>
        <w:t xml:space="preserve"> </w:t>
      </w:r>
    </w:p>
    <w:p w14:paraId="23943E72" w14:textId="77777777" w:rsidR="00A0761C" w:rsidRPr="00A0761C"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color w:val="000000"/>
        </w:rPr>
        <w:t>Departments</w:t>
      </w:r>
      <w:r>
        <w:rPr>
          <w:rFonts w:ascii="ArialMT" w:eastAsia="ArialMT" w:hAnsi="ArialMT" w:cs="ArialMT"/>
          <w:color w:val="000000"/>
        </w:rPr>
        <w:t xml:space="preserve"> can also use the 1% pot </w:t>
      </w:r>
      <w:r>
        <w:rPr>
          <w:rFonts w:ascii="ArialMT" w:eastAsia="ArialMT" w:hAnsi="ArialMT" w:cs="ArialMT"/>
        </w:rPr>
        <w:t>to address</w:t>
      </w:r>
      <w:r>
        <w:rPr>
          <w:rFonts w:ascii="ArialMT" w:eastAsia="ArialMT" w:hAnsi="ArialMT" w:cs="ArialMT"/>
          <w:color w:val="000000"/>
        </w:rPr>
        <w:t xml:space="preserve"> pay anomalies with awards that, in line with long standing SSRB priorities, are dependent on:</w:t>
      </w:r>
    </w:p>
    <w:p w14:paraId="44107E7F" w14:textId="7022655B" w:rsidR="009C6D88" w:rsidRDefault="009C6D88" w:rsidP="00031229">
      <w:pPr>
        <w:widowControl/>
        <w:pBdr>
          <w:top w:val="nil"/>
          <w:left w:val="nil"/>
          <w:bottom w:val="nil"/>
          <w:right w:val="nil"/>
          <w:between w:val="nil"/>
        </w:pBdr>
        <w:tabs>
          <w:tab w:val="center" w:pos="4153"/>
          <w:tab w:val="right" w:pos="8306"/>
        </w:tabs>
        <w:ind w:left="360" w:firstLine="0"/>
        <w:rPr>
          <w:color w:val="000000"/>
        </w:rPr>
      </w:pPr>
    </w:p>
    <w:p w14:paraId="47D1AB80" w14:textId="092C70D6" w:rsidR="009C6D88" w:rsidRDefault="00000000" w:rsidP="00A0761C">
      <w:pPr>
        <w:pStyle w:val="ListParagraph"/>
        <w:widowControl/>
        <w:numPr>
          <w:ilvl w:val="0"/>
          <w:numId w:val="21"/>
        </w:numPr>
        <w:pBdr>
          <w:top w:val="nil"/>
          <w:left w:val="nil"/>
          <w:bottom w:val="nil"/>
          <w:right w:val="nil"/>
          <w:between w:val="nil"/>
        </w:pBdr>
        <w:jc w:val="left"/>
        <w:rPr>
          <w:rFonts w:ascii="ArialMT" w:eastAsia="ArialMT" w:hAnsi="ArialMT" w:cs="ArialMT"/>
          <w:color w:val="000000"/>
        </w:rPr>
      </w:pPr>
      <w:r>
        <w:rPr>
          <w:rFonts w:ascii="ArialMT" w:eastAsia="ArialMT" w:hAnsi="ArialMT" w:cs="ArialMT"/>
          <w:color w:val="000000"/>
        </w:rPr>
        <w:t xml:space="preserve">Demonstration of sustained high performance, increased effectiveness and deepened expertise. </w:t>
      </w:r>
    </w:p>
    <w:p w14:paraId="51AD246B" w14:textId="2E783302" w:rsidR="009C6D88" w:rsidRPr="00031229" w:rsidRDefault="00000000" w:rsidP="00031229">
      <w:pPr>
        <w:pStyle w:val="ListParagraph"/>
        <w:widowControl/>
        <w:numPr>
          <w:ilvl w:val="0"/>
          <w:numId w:val="21"/>
        </w:numPr>
        <w:pBdr>
          <w:top w:val="nil"/>
          <w:left w:val="nil"/>
          <w:bottom w:val="nil"/>
          <w:right w:val="nil"/>
          <w:between w:val="nil"/>
        </w:pBdr>
        <w:jc w:val="left"/>
        <w:rPr>
          <w:color w:val="000000"/>
        </w:rPr>
      </w:pPr>
      <w:r>
        <w:rPr>
          <w:rFonts w:ascii="ArialMT" w:eastAsia="ArialMT" w:hAnsi="ArialMT" w:cs="ArialMT"/>
          <w:color w:val="000000"/>
        </w:rPr>
        <w:t xml:space="preserve">Position in the pay range. </w:t>
      </w:r>
    </w:p>
    <w:p w14:paraId="5449AFF6" w14:textId="77777777" w:rsidR="00031229" w:rsidRDefault="00031229" w:rsidP="00031229">
      <w:pPr>
        <w:pStyle w:val="ListParagraph"/>
        <w:widowControl/>
        <w:pBdr>
          <w:top w:val="nil"/>
          <w:left w:val="nil"/>
          <w:bottom w:val="nil"/>
          <w:right w:val="nil"/>
          <w:between w:val="nil"/>
        </w:pBdr>
        <w:ind w:firstLine="0"/>
        <w:jc w:val="left"/>
        <w:rPr>
          <w:color w:val="000000"/>
        </w:rPr>
      </w:pPr>
    </w:p>
    <w:p w14:paraId="7A5AEB51"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MT" w:eastAsia="ArialMT" w:hAnsi="ArialMT" w:cs="ArialMT"/>
          <w:color w:val="000000"/>
        </w:rPr>
        <w:t>Departments can make individual base pay awards of between 0% and 9% based on these criteria. Please clear with your Accounting Officer any cases where you propose to make pay increases of more than 9%</w:t>
      </w:r>
      <w:r>
        <w:rPr>
          <w:rFonts w:ascii="Arial" w:eastAsia="Arial" w:hAnsi="Arial" w:cs="Arial"/>
          <w:b/>
          <w:color w:val="000000"/>
        </w:rPr>
        <w:t xml:space="preserve">. </w:t>
      </w:r>
    </w:p>
    <w:p w14:paraId="0D028973" w14:textId="77777777" w:rsidR="009C6D88" w:rsidRDefault="009C6D88">
      <w:pPr>
        <w:widowControl/>
        <w:pBdr>
          <w:top w:val="nil"/>
          <w:left w:val="nil"/>
          <w:bottom w:val="nil"/>
          <w:right w:val="nil"/>
          <w:between w:val="nil"/>
        </w:pBdr>
        <w:tabs>
          <w:tab w:val="center" w:pos="4153"/>
          <w:tab w:val="right" w:pos="8306"/>
        </w:tabs>
        <w:ind w:left="360" w:firstLine="0"/>
        <w:rPr>
          <w:color w:val="000000"/>
        </w:rPr>
      </w:pPr>
    </w:p>
    <w:p w14:paraId="355FC08B"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color w:val="000000"/>
        </w:rPr>
        <w:t>Please ensure that use of this pot is carried out strictly against these criteria and recorded. To include in the next round of evidence, we will be asking departments for information on how this element of the pay award has been used (</w:t>
      </w:r>
      <w:proofErr w:type="gramStart"/>
      <w:r>
        <w:rPr>
          <w:rFonts w:ascii="Arial" w:eastAsia="Arial" w:hAnsi="Arial" w:cs="Arial"/>
          <w:color w:val="000000"/>
        </w:rPr>
        <w:t>i.e.</w:t>
      </w:r>
      <w:proofErr w:type="gramEnd"/>
      <w:r>
        <w:rPr>
          <w:rFonts w:ascii="Arial" w:eastAsia="Arial" w:hAnsi="Arial" w:cs="Arial"/>
          <w:color w:val="000000"/>
        </w:rPr>
        <w:t xml:space="preserve"> percentage of SCS benefitting), the range of individual pay increases made and in which specific circumstances. We will be formally commissioning this information in the autumn. </w:t>
      </w:r>
    </w:p>
    <w:p w14:paraId="356A5E14" w14:textId="77777777" w:rsidR="009C6D88" w:rsidRDefault="009C6D88">
      <w:pPr>
        <w:widowControl/>
        <w:pBdr>
          <w:top w:val="nil"/>
          <w:left w:val="nil"/>
          <w:bottom w:val="nil"/>
          <w:right w:val="nil"/>
          <w:between w:val="nil"/>
        </w:pBdr>
        <w:tabs>
          <w:tab w:val="center" w:pos="4153"/>
          <w:tab w:val="right" w:pos="8306"/>
        </w:tabs>
        <w:ind w:hanging="2"/>
        <w:jc w:val="left"/>
        <w:rPr>
          <w:rFonts w:ascii="Arial" w:eastAsia="Arial" w:hAnsi="Arial" w:cs="Arial"/>
          <w:i/>
          <w:color w:val="000000"/>
        </w:rPr>
      </w:pPr>
    </w:p>
    <w:p w14:paraId="4CA7E6FA" w14:textId="77777777" w:rsidR="009C6D88" w:rsidRDefault="00000000">
      <w:pPr>
        <w:widowControl/>
        <w:pBdr>
          <w:top w:val="nil"/>
          <w:left w:val="nil"/>
          <w:bottom w:val="nil"/>
          <w:right w:val="nil"/>
          <w:between w:val="nil"/>
        </w:pBdr>
        <w:tabs>
          <w:tab w:val="center" w:pos="4153"/>
          <w:tab w:val="right" w:pos="8306"/>
        </w:tabs>
        <w:ind w:hanging="2"/>
        <w:rPr>
          <w:rFonts w:ascii="Arial" w:eastAsia="Arial" w:hAnsi="Arial" w:cs="Arial"/>
          <w:color w:val="000000"/>
        </w:rPr>
      </w:pPr>
      <w:r>
        <w:rPr>
          <w:rFonts w:ascii="Arial" w:eastAsia="Arial" w:hAnsi="Arial" w:cs="Arial"/>
          <w:b/>
          <w:color w:val="000000"/>
        </w:rPr>
        <w:t>Differentiating performance in 2021/22</w:t>
      </w:r>
    </w:p>
    <w:p w14:paraId="6054EA1F" w14:textId="77777777" w:rsidR="009C6D88" w:rsidRDefault="00000000">
      <w:pPr>
        <w:widowControl/>
        <w:pBdr>
          <w:top w:val="nil"/>
          <w:left w:val="nil"/>
          <w:bottom w:val="nil"/>
          <w:right w:val="nil"/>
          <w:between w:val="nil"/>
        </w:pBdr>
        <w:tabs>
          <w:tab w:val="center" w:pos="4153"/>
          <w:tab w:val="right" w:pos="8306"/>
        </w:tabs>
        <w:ind w:hanging="2"/>
        <w:jc w:val="left"/>
        <w:rPr>
          <w:rFonts w:ascii="Arial" w:eastAsia="Arial" w:hAnsi="Arial" w:cs="Arial"/>
          <w:color w:val="000000"/>
        </w:rPr>
      </w:pPr>
      <w:r>
        <w:rPr>
          <w:rFonts w:ascii="Arial" w:eastAsia="Arial" w:hAnsi="Arial" w:cs="Arial"/>
          <w:color w:val="000000"/>
        </w:rPr>
        <w:t xml:space="preserve">  </w:t>
      </w:r>
    </w:p>
    <w:p w14:paraId="34A69748"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color w:val="000000"/>
        </w:rPr>
        <w:t>Departments should have assigned individuals to one of the three performance groups shown below.</w:t>
      </w:r>
    </w:p>
    <w:p w14:paraId="76066DD5" w14:textId="77777777" w:rsidR="009C6D88" w:rsidRDefault="009C6D88">
      <w:pPr>
        <w:widowControl/>
        <w:pBdr>
          <w:top w:val="nil"/>
          <w:left w:val="nil"/>
          <w:bottom w:val="nil"/>
          <w:right w:val="nil"/>
          <w:between w:val="nil"/>
        </w:pBdr>
        <w:tabs>
          <w:tab w:val="center" w:pos="4153"/>
          <w:tab w:val="right" w:pos="8306"/>
        </w:tabs>
        <w:ind w:hanging="2"/>
        <w:jc w:val="left"/>
        <w:rPr>
          <w:rFonts w:ascii="Arial" w:eastAsia="Arial" w:hAnsi="Arial" w:cs="Arial"/>
          <w:color w:val="000000"/>
        </w:rPr>
      </w:pPr>
    </w:p>
    <w:tbl>
      <w:tblPr>
        <w:tblStyle w:val="a0"/>
        <w:tblW w:w="2672" w:type="dxa"/>
        <w:tblInd w:w="98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2672"/>
      </w:tblGrid>
      <w:tr w:rsidR="009C6D88" w14:paraId="62F4CD33" w14:textId="77777777">
        <w:tc>
          <w:tcPr>
            <w:tcW w:w="2672" w:type="dxa"/>
            <w:shd w:val="clear" w:color="auto" w:fill="D3DFEE"/>
          </w:tcPr>
          <w:p w14:paraId="6FB08BEC" w14:textId="77777777" w:rsidR="009C6D88" w:rsidRDefault="00000000">
            <w:pPr>
              <w:pBdr>
                <w:top w:val="nil"/>
                <w:left w:val="nil"/>
                <w:bottom w:val="nil"/>
                <w:right w:val="nil"/>
                <w:between w:val="nil"/>
              </w:pBdr>
              <w:ind w:hanging="2"/>
              <w:jc w:val="left"/>
              <w:rPr>
                <w:rFonts w:ascii="Arial" w:eastAsia="Arial" w:hAnsi="Arial" w:cs="Arial"/>
                <w:color w:val="000000"/>
              </w:rPr>
            </w:pPr>
            <w:r>
              <w:rPr>
                <w:rFonts w:ascii="Arial" w:eastAsia="Arial" w:hAnsi="Arial" w:cs="Arial"/>
                <w:b/>
                <w:color w:val="000000"/>
              </w:rPr>
              <w:t>Performance Group</w:t>
            </w:r>
          </w:p>
        </w:tc>
      </w:tr>
      <w:tr w:rsidR="009C6D88" w14:paraId="60833824" w14:textId="77777777">
        <w:trPr>
          <w:trHeight w:val="505"/>
        </w:trPr>
        <w:tc>
          <w:tcPr>
            <w:tcW w:w="2672" w:type="dxa"/>
            <w:shd w:val="clear" w:color="auto" w:fill="A7BFDE"/>
            <w:vAlign w:val="center"/>
          </w:tcPr>
          <w:p w14:paraId="64711017" w14:textId="77777777" w:rsidR="009C6D88" w:rsidRDefault="00000000">
            <w:pPr>
              <w:ind w:hanging="2"/>
              <w:rPr>
                <w:rFonts w:ascii="Arial" w:eastAsia="Arial" w:hAnsi="Arial" w:cs="Arial"/>
              </w:rPr>
            </w:pPr>
            <w:r>
              <w:rPr>
                <w:rFonts w:ascii="Arial" w:eastAsia="Arial" w:hAnsi="Arial" w:cs="Arial"/>
                <w:b/>
              </w:rPr>
              <w:t xml:space="preserve">Top </w:t>
            </w:r>
          </w:p>
        </w:tc>
      </w:tr>
      <w:tr w:rsidR="009C6D88" w14:paraId="187CE35A" w14:textId="77777777">
        <w:trPr>
          <w:trHeight w:val="554"/>
        </w:trPr>
        <w:tc>
          <w:tcPr>
            <w:tcW w:w="2672" w:type="dxa"/>
            <w:shd w:val="clear" w:color="auto" w:fill="D3DFEE"/>
            <w:vAlign w:val="center"/>
          </w:tcPr>
          <w:p w14:paraId="250DAB99" w14:textId="77777777" w:rsidR="009C6D88" w:rsidRDefault="00000000">
            <w:pPr>
              <w:ind w:hanging="2"/>
              <w:rPr>
                <w:rFonts w:ascii="Arial" w:eastAsia="Arial" w:hAnsi="Arial" w:cs="Arial"/>
              </w:rPr>
            </w:pPr>
            <w:r>
              <w:rPr>
                <w:rFonts w:ascii="Arial" w:eastAsia="Arial" w:hAnsi="Arial" w:cs="Arial"/>
                <w:b/>
              </w:rPr>
              <w:t>Achieving</w:t>
            </w:r>
          </w:p>
        </w:tc>
      </w:tr>
      <w:tr w:rsidR="009C6D88" w14:paraId="23503E28" w14:textId="77777777">
        <w:trPr>
          <w:trHeight w:val="535"/>
        </w:trPr>
        <w:tc>
          <w:tcPr>
            <w:tcW w:w="2672" w:type="dxa"/>
            <w:shd w:val="clear" w:color="auto" w:fill="D3DFEE"/>
            <w:vAlign w:val="center"/>
          </w:tcPr>
          <w:p w14:paraId="0A2AB436" w14:textId="77777777" w:rsidR="009C6D88" w:rsidRDefault="00000000">
            <w:pPr>
              <w:ind w:hanging="2"/>
              <w:rPr>
                <w:rFonts w:ascii="Arial" w:eastAsia="Arial" w:hAnsi="Arial" w:cs="Arial"/>
              </w:rPr>
            </w:pPr>
            <w:r>
              <w:rPr>
                <w:rFonts w:ascii="Arial" w:eastAsia="Arial" w:hAnsi="Arial" w:cs="Arial"/>
                <w:b/>
              </w:rPr>
              <w:t xml:space="preserve">Low </w:t>
            </w:r>
          </w:p>
        </w:tc>
      </w:tr>
    </w:tbl>
    <w:p w14:paraId="586D4365"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72BF62BD"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333BDFD3"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b/>
          <w:color w:val="000000"/>
          <w:u w:val="single"/>
        </w:rPr>
        <w:t>For the 2021/22 performance year</w:t>
      </w:r>
      <w:r>
        <w:rPr>
          <w:rFonts w:ascii="Arial" w:eastAsia="Arial" w:hAnsi="Arial" w:cs="Arial"/>
          <w:color w:val="000000"/>
        </w:rPr>
        <w:t xml:space="preserve">, the following principles apply for Non-consolidated Performance Related Pay (NCPRP): </w:t>
      </w:r>
    </w:p>
    <w:p w14:paraId="1B06828A" w14:textId="77777777" w:rsidR="009C6D88" w:rsidRDefault="009C6D88">
      <w:pPr>
        <w:widowControl/>
        <w:pBdr>
          <w:top w:val="nil"/>
          <w:left w:val="nil"/>
          <w:bottom w:val="nil"/>
          <w:right w:val="nil"/>
          <w:between w:val="nil"/>
        </w:pBdr>
        <w:tabs>
          <w:tab w:val="center" w:pos="4153"/>
          <w:tab w:val="right" w:pos="8306"/>
        </w:tabs>
        <w:ind w:left="360" w:firstLine="0"/>
        <w:rPr>
          <w:rFonts w:ascii="Arial" w:eastAsia="Arial" w:hAnsi="Arial" w:cs="Arial"/>
          <w:color w:val="000000"/>
        </w:rPr>
      </w:pPr>
    </w:p>
    <w:p w14:paraId="63CA9649" w14:textId="77777777" w:rsidR="009C6D88" w:rsidRDefault="00000000" w:rsidP="00031229">
      <w:pPr>
        <w:pStyle w:val="ListParagraph"/>
        <w:widowControl/>
        <w:numPr>
          <w:ilvl w:val="0"/>
          <w:numId w:val="21"/>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An element of the reward system must be tied to long term performance in some way. </w:t>
      </w:r>
    </w:p>
    <w:p w14:paraId="6DF46A86" w14:textId="77777777" w:rsidR="009C6D88" w:rsidRDefault="00000000" w:rsidP="00031229">
      <w:pPr>
        <w:pStyle w:val="ListParagraph"/>
        <w:widowControl/>
        <w:numPr>
          <w:ilvl w:val="0"/>
          <w:numId w:val="21"/>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The likelihood of reward allocation should not be linked </w:t>
      </w:r>
      <w:r>
        <w:rPr>
          <w:rFonts w:ascii="Arial" w:eastAsia="Arial" w:hAnsi="Arial" w:cs="Arial"/>
        </w:rPr>
        <w:t>to an individual's</w:t>
      </w:r>
      <w:r>
        <w:rPr>
          <w:rFonts w:ascii="Arial" w:eastAsia="Arial" w:hAnsi="Arial" w:cs="Arial"/>
          <w:color w:val="000000"/>
        </w:rPr>
        <w:t xml:space="preserve"> grade.  </w:t>
      </w:r>
    </w:p>
    <w:p w14:paraId="54A7881F" w14:textId="77777777" w:rsidR="009C6D88" w:rsidRDefault="00000000" w:rsidP="00031229">
      <w:pPr>
        <w:pStyle w:val="ListParagraph"/>
        <w:widowControl/>
        <w:numPr>
          <w:ilvl w:val="0"/>
          <w:numId w:val="21"/>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Members of the SCS subject to formal poor performance measures are not eligible for an additional non-consolidated performance related award.</w:t>
      </w:r>
    </w:p>
    <w:p w14:paraId="3A1DE767" w14:textId="77777777" w:rsidR="009C6D88" w:rsidRDefault="00000000" w:rsidP="00031229">
      <w:pPr>
        <w:pStyle w:val="ListParagraph"/>
        <w:widowControl/>
        <w:numPr>
          <w:ilvl w:val="0"/>
          <w:numId w:val="21"/>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The total value of awards for a single performance year should not exceed £17,500 unless the approval from the Chief Secretary to the Treasury is sought. </w:t>
      </w:r>
    </w:p>
    <w:p w14:paraId="2843219A" w14:textId="77777777" w:rsidR="009C6D88" w:rsidRDefault="00000000" w:rsidP="00031229">
      <w:pPr>
        <w:pStyle w:val="ListParagraph"/>
        <w:widowControl/>
        <w:numPr>
          <w:ilvl w:val="0"/>
          <w:numId w:val="21"/>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Funding for all awards continues to be capped at 3.3% of SCS </w:t>
      </w:r>
      <w:proofErr w:type="spellStart"/>
      <w:r>
        <w:rPr>
          <w:rFonts w:ascii="Arial" w:eastAsia="Arial" w:hAnsi="Arial" w:cs="Arial"/>
          <w:color w:val="000000"/>
        </w:rPr>
        <w:t>paybill</w:t>
      </w:r>
      <w:proofErr w:type="spellEnd"/>
      <w:r>
        <w:rPr>
          <w:rFonts w:ascii="Arial" w:eastAsia="Arial" w:hAnsi="Arial" w:cs="Arial"/>
          <w:color w:val="000000"/>
        </w:rPr>
        <w:t>. This funding cannot be carried over to increase the pot for future performance years or used for any other purposes.</w:t>
      </w:r>
    </w:p>
    <w:p w14:paraId="326CD9DA" w14:textId="77777777" w:rsidR="009C6D88" w:rsidRDefault="00000000" w:rsidP="00031229">
      <w:pPr>
        <w:pStyle w:val="ListParagraph"/>
        <w:widowControl/>
        <w:numPr>
          <w:ilvl w:val="0"/>
          <w:numId w:val="21"/>
        </w:numPr>
        <w:pBdr>
          <w:top w:val="nil"/>
          <w:left w:val="nil"/>
          <w:bottom w:val="nil"/>
          <w:right w:val="nil"/>
          <w:between w:val="nil"/>
        </w:pBdr>
        <w:jc w:val="left"/>
        <w:rPr>
          <w:rFonts w:ascii="Arial" w:eastAsia="Arial" w:hAnsi="Arial" w:cs="Arial"/>
          <w:color w:val="7030A0"/>
        </w:rPr>
      </w:pPr>
      <w:r>
        <w:rPr>
          <w:rFonts w:ascii="Arial" w:eastAsia="Arial" w:hAnsi="Arial" w:cs="Arial"/>
          <w:color w:val="000000"/>
        </w:rPr>
        <w:t>The maximum individual in year award is £5,000. An individual can receive more than one award</w:t>
      </w:r>
      <w:r>
        <w:rPr>
          <w:rFonts w:ascii="Arial" w:eastAsia="Arial" w:hAnsi="Arial" w:cs="Arial"/>
          <w:color w:val="7030A0"/>
        </w:rPr>
        <w:t xml:space="preserve">. </w:t>
      </w:r>
    </w:p>
    <w:p w14:paraId="14EE4FEC" w14:textId="77777777" w:rsidR="009C6D88" w:rsidRDefault="00000000" w:rsidP="00031229">
      <w:pPr>
        <w:pStyle w:val="ListParagraph"/>
        <w:widowControl/>
        <w:numPr>
          <w:ilvl w:val="0"/>
          <w:numId w:val="21"/>
        </w:numPr>
        <w:pBdr>
          <w:top w:val="nil"/>
          <w:left w:val="nil"/>
          <w:bottom w:val="nil"/>
          <w:right w:val="nil"/>
          <w:between w:val="nil"/>
        </w:pBdr>
        <w:jc w:val="left"/>
        <w:rPr>
          <w:color w:val="000000"/>
        </w:rPr>
      </w:pPr>
      <w:r>
        <w:rPr>
          <w:rFonts w:ascii="Arial" w:eastAsia="Arial" w:hAnsi="Arial" w:cs="Arial"/>
          <w:color w:val="000000"/>
        </w:rPr>
        <w:t>Departments must be transparent regarding their reward systems and processes.</w:t>
      </w:r>
    </w:p>
    <w:p w14:paraId="157CCE67"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highlight w:val="yellow"/>
        </w:rPr>
      </w:pPr>
    </w:p>
    <w:p w14:paraId="70070BB3"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color w:val="000000"/>
        </w:rPr>
        <w:t>Non-consolidated performance awards are subject to transparency requirements, with spend published as part of the current annual aggregated disclosure by departments.</w:t>
      </w:r>
    </w:p>
    <w:p w14:paraId="5958BA67"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b/>
          <w:color w:val="000000"/>
        </w:rPr>
      </w:pPr>
    </w:p>
    <w:p w14:paraId="3BF3DC4E" w14:textId="77777777" w:rsidR="009C6D88" w:rsidRDefault="00000000">
      <w:pPr>
        <w:widowControl/>
        <w:pBdr>
          <w:top w:val="nil"/>
          <w:left w:val="nil"/>
          <w:bottom w:val="nil"/>
          <w:right w:val="nil"/>
          <w:between w:val="nil"/>
        </w:pBdr>
        <w:tabs>
          <w:tab w:val="center" w:pos="4153"/>
          <w:tab w:val="right" w:pos="8306"/>
        </w:tabs>
        <w:ind w:hanging="2"/>
        <w:rPr>
          <w:rFonts w:ascii="Arial" w:eastAsia="Arial" w:hAnsi="Arial" w:cs="Arial"/>
          <w:b/>
          <w:color w:val="000000"/>
        </w:rPr>
      </w:pPr>
      <w:r>
        <w:rPr>
          <w:rFonts w:ascii="Arial" w:eastAsia="Arial" w:hAnsi="Arial" w:cs="Arial"/>
          <w:b/>
          <w:color w:val="000000"/>
        </w:rPr>
        <w:t>Differentiating performance in 2022/23</w:t>
      </w:r>
    </w:p>
    <w:p w14:paraId="155782D7"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highlight w:val="yellow"/>
        </w:rPr>
      </w:pPr>
    </w:p>
    <w:p w14:paraId="5943382A"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b/>
          <w:color w:val="000000"/>
          <w:u w:val="single"/>
        </w:rPr>
        <w:t>For the 2022/23 performance year</w:t>
      </w:r>
      <w:r>
        <w:rPr>
          <w:rFonts w:ascii="Arial" w:eastAsia="Arial" w:hAnsi="Arial" w:cs="Arial"/>
          <w:color w:val="000000"/>
        </w:rPr>
        <w:t xml:space="preserve"> we have made a number of minor changes to reflect the direction of travel for the way performance is managed for the SCS, which will be fully implemented from 2023/24. This includes the introduction of four box markings:</w:t>
      </w:r>
    </w:p>
    <w:p w14:paraId="02CE76BB" w14:textId="77777777" w:rsidR="009C6D88" w:rsidRDefault="009C6D88">
      <w:pPr>
        <w:widowControl/>
        <w:pBdr>
          <w:top w:val="nil"/>
          <w:left w:val="nil"/>
          <w:bottom w:val="nil"/>
          <w:right w:val="nil"/>
          <w:between w:val="nil"/>
        </w:pBdr>
        <w:tabs>
          <w:tab w:val="center" w:pos="4153"/>
          <w:tab w:val="right" w:pos="8306"/>
        </w:tabs>
        <w:ind w:firstLine="0"/>
        <w:rPr>
          <w:rFonts w:ascii="Arial" w:eastAsia="Arial" w:hAnsi="Arial" w:cs="Arial"/>
          <w:color w:val="000000"/>
        </w:rPr>
      </w:pPr>
    </w:p>
    <w:p w14:paraId="45ADA4BF" w14:textId="77777777" w:rsidR="009C6D88" w:rsidRDefault="009C6D88">
      <w:pPr>
        <w:widowControl/>
        <w:pBdr>
          <w:top w:val="nil"/>
          <w:left w:val="nil"/>
          <w:bottom w:val="nil"/>
          <w:right w:val="nil"/>
          <w:between w:val="nil"/>
        </w:pBdr>
        <w:tabs>
          <w:tab w:val="center" w:pos="4153"/>
          <w:tab w:val="right" w:pos="8306"/>
        </w:tabs>
        <w:ind w:firstLine="0"/>
        <w:rPr>
          <w:rFonts w:ascii="Arial" w:eastAsia="Arial" w:hAnsi="Arial" w:cs="Arial"/>
          <w:color w:val="000000"/>
        </w:rPr>
      </w:pPr>
    </w:p>
    <w:tbl>
      <w:tblPr>
        <w:tblStyle w:val="a1"/>
        <w:tblW w:w="2672" w:type="dxa"/>
        <w:tblInd w:w="98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2672"/>
      </w:tblGrid>
      <w:tr w:rsidR="009C6D88" w14:paraId="6535AADB" w14:textId="77777777">
        <w:tc>
          <w:tcPr>
            <w:tcW w:w="2672" w:type="dxa"/>
            <w:shd w:val="clear" w:color="auto" w:fill="D3DFEE"/>
          </w:tcPr>
          <w:p w14:paraId="319611CD" w14:textId="77777777" w:rsidR="009C6D88" w:rsidRDefault="00000000">
            <w:pPr>
              <w:pBdr>
                <w:top w:val="nil"/>
                <w:left w:val="nil"/>
                <w:bottom w:val="nil"/>
                <w:right w:val="nil"/>
                <w:between w:val="nil"/>
              </w:pBdr>
              <w:ind w:hanging="2"/>
              <w:jc w:val="left"/>
              <w:rPr>
                <w:rFonts w:ascii="Arial" w:eastAsia="Arial" w:hAnsi="Arial" w:cs="Arial"/>
                <w:color w:val="000000"/>
              </w:rPr>
            </w:pPr>
            <w:r>
              <w:rPr>
                <w:rFonts w:ascii="Arial" w:eastAsia="Arial" w:hAnsi="Arial" w:cs="Arial"/>
                <w:b/>
                <w:color w:val="000000"/>
              </w:rPr>
              <w:t>Performance Group</w:t>
            </w:r>
          </w:p>
        </w:tc>
      </w:tr>
      <w:tr w:rsidR="009C6D88" w14:paraId="2EDEE689" w14:textId="77777777">
        <w:trPr>
          <w:trHeight w:val="505"/>
        </w:trPr>
        <w:tc>
          <w:tcPr>
            <w:tcW w:w="2672" w:type="dxa"/>
            <w:shd w:val="clear" w:color="auto" w:fill="A7BFDE"/>
            <w:vAlign w:val="center"/>
          </w:tcPr>
          <w:p w14:paraId="56E8750A" w14:textId="77777777" w:rsidR="009C6D88" w:rsidRDefault="00000000">
            <w:pPr>
              <w:ind w:hanging="2"/>
              <w:rPr>
                <w:rFonts w:ascii="Arial" w:eastAsia="Arial" w:hAnsi="Arial" w:cs="Arial"/>
              </w:rPr>
            </w:pPr>
            <w:r>
              <w:rPr>
                <w:rFonts w:ascii="Arial" w:eastAsia="Arial" w:hAnsi="Arial" w:cs="Arial"/>
                <w:b/>
              </w:rPr>
              <w:t xml:space="preserve">Exceeding </w:t>
            </w:r>
          </w:p>
        </w:tc>
      </w:tr>
      <w:tr w:rsidR="009C6D88" w14:paraId="61A90346" w14:textId="77777777">
        <w:trPr>
          <w:trHeight w:val="554"/>
        </w:trPr>
        <w:tc>
          <w:tcPr>
            <w:tcW w:w="2672" w:type="dxa"/>
            <w:shd w:val="clear" w:color="auto" w:fill="D3DFEE"/>
            <w:vAlign w:val="center"/>
          </w:tcPr>
          <w:p w14:paraId="383EF0CF" w14:textId="77777777" w:rsidR="009C6D88" w:rsidRDefault="00000000">
            <w:pPr>
              <w:ind w:hanging="2"/>
              <w:rPr>
                <w:rFonts w:ascii="Arial" w:eastAsia="Arial" w:hAnsi="Arial" w:cs="Arial"/>
              </w:rPr>
            </w:pPr>
            <w:r>
              <w:rPr>
                <w:rFonts w:ascii="Arial" w:eastAsia="Arial" w:hAnsi="Arial" w:cs="Arial"/>
                <w:b/>
              </w:rPr>
              <w:t>High Performing</w:t>
            </w:r>
          </w:p>
        </w:tc>
      </w:tr>
      <w:tr w:rsidR="009C6D88" w14:paraId="1CF2CCE5" w14:textId="77777777">
        <w:trPr>
          <w:trHeight w:val="535"/>
        </w:trPr>
        <w:tc>
          <w:tcPr>
            <w:tcW w:w="2672" w:type="dxa"/>
            <w:shd w:val="clear" w:color="auto" w:fill="D3DFEE"/>
            <w:vAlign w:val="center"/>
          </w:tcPr>
          <w:p w14:paraId="2BEF789C" w14:textId="77777777" w:rsidR="009C6D88" w:rsidRDefault="00000000">
            <w:pPr>
              <w:ind w:hanging="2"/>
              <w:rPr>
                <w:rFonts w:ascii="Arial" w:eastAsia="Arial" w:hAnsi="Arial" w:cs="Arial"/>
              </w:rPr>
            </w:pPr>
            <w:r>
              <w:rPr>
                <w:rFonts w:ascii="Arial" w:eastAsia="Arial" w:hAnsi="Arial" w:cs="Arial"/>
                <w:b/>
              </w:rPr>
              <w:t>Achieving</w:t>
            </w:r>
          </w:p>
        </w:tc>
      </w:tr>
      <w:tr w:rsidR="009C6D88" w14:paraId="260286EE" w14:textId="77777777">
        <w:trPr>
          <w:trHeight w:val="535"/>
        </w:trPr>
        <w:tc>
          <w:tcPr>
            <w:tcW w:w="2672" w:type="dxa"/>
            <w:shd w:val="clear" w:color="auto" w:fill="D3DFEE"/>
            <w:vAlign w:val="center"/>
          </w:tcPr>
          <w:p w14:paraId="29AB26F6" w14:textId="77777777" w:rsidR="009C6D88" w:rsidRDefault="00000000">
            <w:pPr>
              <w:ind w:hanging="2"/>
              <w:rPr>
                <w:rFonts w:ascii="Arial" w:eastAsia="Arial" w:hAnsi="Arial" w:cs="Arial"/>
                <w:b/>
              </w:rPr>
            </w:pPr>
            <w:r>
              <w:rPr>
                <w:rFonts w:ascii="Arial" w:eastAsia="Arial" w:hAnsi="Arial" w:cs="Arial"/>
                <w:b/>
              </w:rPr>
              <w:t>Partially Met</w:t>
            </w:r>
          </w:p>
        </w:tc>
      </w:tr>
    </w:tbl>
    <w:p w14:paraId="0C966097" w14:textId="4AE78CAA" w:rsidR="00031229" w:rsidRDefault="00031229" w:rsidP="00031229">
      <w:pPr>
        <w:widowControl/>
        <w:pBdr>
          <w:top w:val="nil"/>
          <w:left w:val="nil"/>
          <w:bottom w:val="nil"/>
          <w:right w:val="nil"/>
          <w:between w:val="nil"/>
        </w:pBdr>
        <w:tabs>
          <w:tab w:val="center" w:pos="4153"/>
          <w:tab w:val="right" w:pos="8306"/>
        </w:tabs>
        <w:ind w:firstLine="0"/>
        <w:rPr>
          <w:rFonts w:ascii="Arial" w:eastAsia="Arial" w:hAnsi="Arial" w:cs="Arial"/>
          <w:color w:val="000000"/>
        </w:rPr>
      </w:pPr>
    </w:p>
    <w:p w14:paraId="300C42EE" w14:textId="77777777" w:rsidR="00031229" w:rsidRDefault="00031229" w:rsidP="00031229">
      <w:pPr>
        <w:widowControl/>
        <w:pBdr>
          <w:top w:val="nil"/>
          <w:left w:val="nil"/>
          <w:bottom w:val="nil"/>
          <w:right w:val="nil"/>
          <w:between w:val="nil"/>
        </w:pBdr>
        <w:tabs>
          <w:tab w:val="center" w:pos="4153"/>
          <w:tab w:val="right" w:pos="8306"/>
        </w:tabs>
        <w:ind w:firstLine="0"/>
        <w:rPr>
          <w:rFonts w:ascii="Arial" w:eastAsia="Arial" w:hAnsi="Arial" w:cs="Arial"/>
          <w:color w:val="000000"/>
        </w:rPr>
      </w:pPr>
    </w:p>
    <w:p w14:paraId="3EF3548C" w14:textId="3DBB3AC9" w:rsidR="00031229" w:rsidRDefault="00031229" w:rsidP="00031229">
      <w:pPr>
        <w:widowControl/>
        <w:numPr>
          <w:ilvl w:val="0"/>
          <w:numId w:val="12"/>
        </w:numPr>
        <w:pBdr>
          <w:top w:val="nil"/>
          <w:left w:val="nil"/>
          <w:bottom w:val="nil"/>
          <w:right w:val="nil"/>
          <w:between w:val="nil"/>
        </w:pBdr>
        <w:tabs>
          <w:tab w:val="center" w:pos="4153"/>
          <w:tab w:val="right" w:pos="8306"/>
        </w:tabs>
        <w:rPr>
          <w:rFonts w:ascii="Arial" w:eastAsia="Arial" w:hAnsi="Arial" w:cs="Arial"/>
          <w:color w:val="000000"/>
        </w:rPr>
      </w:pPr>
      <w:r w:rsidRPr="00A0761C">
        <w:rPr>
          <w:rFonts w:ascii="Arial" w:eastAsia="Arial" w:hAnsi="Arial" w:cs="Arial"/>
          <w:color w:val="000000"/>
        </w:rPr>
        <w:t>Departments should allocate around 5% of their overall SCS rated as ‘Partially Met’ at the end of year assessment process</w:t>
      </w:r>
    </w:p>
    <w:p w14:paraId="3A5C662A" w14:textId="77777777" w:rsidR="00031229" w:rsidRPr="00A0761C" w:rsidRDefault="00031229" w:rsidP="00031229">
      <w:pPr>
        <w:widowControl/>
        <w:pBdr>
          <w:top w:val="nil"/>
          <w:left w:val="nil"/>
          <w:bottom w:val="nil"/>
          <w:right w:val="nil"/>
          <w:between w:val="nil"/>
        </w:pBdr>
        <w:tabs>
          <w:tab w:val="center" w:pos="4153"/>
          <w:tab w:val="right" w:pos="8306"/>
        </w:tabs>
        <w:ind w:firstLine="0"/>
        <w:rPr>
          <w:color w:val="000000"/>
          <w:highlight w:val="yellow"/>
        </w:rPr>
      </w:pPr>
    </w:p>
    <w:p w14:paraId="67BA35EB" w14:textId="77777777" w:rsidR="009C6D88" w:rsidRPr="00A0761C" w:rsidRDefault="00000000">
      <w:pPr>
        <w:widowControl/>
        <w:numPr>
          <w:ilvl w:val="0"/>
          <w:numId w:val="12"/>
        </w:numPr>
        <w:pBdr>
          <w:top w:val="nil"/>
          <w:left w:val="nil"/>
          <w:bottom w:val="nil"/>
          <w:right w:val="nil"/>
          <w:between w:val="nil"/>
        </w:pBdr>
        <w:tabs>
          <w:tab w:val="center" w:pos="4153"/>
          <w:tab w:val="right" w:pos="8306"/>
        </w:tabs>
        <w:rPr>
          <w:color w:val="000000"/>
        </w:rPr>
      </w:pPr>
      <w:r w:rsidRPr="00A0761C">
        <w:rPr>
          <w:rFonts w:ascii="Arial" w:eastAsia="Arial" w:hAnsi="Arial" w:cs="Arial"/>
          <w:color w:val="000000"/>
        </w:rPr>
        <w:t xml:space="preserve">The principles for NCPRP set out in paragraph 11 will continue to apply. </w:t>
      </w:r>
    </w:p>
    <w:p w14:paraId="6DB35E0C"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highlight w:val="yellow"/>
        </w:rPr>
      </w:pPr>
    </w:p>
    <w:p w14:paraId="152BDEDC"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color w:val="000000"/>
        </w:rPr>
        <w:t xml:space="preserve">The SCS Performance Management guidance for 2021/22 and 2022/23 and Managing Poor Performance guidance can be found at: </w:t>
      </w:r>
      <w:hyperlink r:id="rId7">
        <w:r>
          <w:rPr>
            <w:rFonts w:ascii="Arial" w:eastAsia="Arial" w:hAnsi="Arial" w:cs="Arial"/>
            <w:color w:val="0000FF"/>
            <w:u w:val="single"/>
          </w:rPr>
          <w:t>https://www.gov.uk/government/publications/senior-civil-service-performance-management</w:t>
        </w:r>
      </w:hyperlink>
      <w:r>
        <w:rPr>
          <w:rFonts w:ascii="Arial" w:eastAsia="Arial" w:hAnsi="Arial" w:cs="Arial"/>
          <w:color w:val="000000"/>
        </w:rPr>
        <w:t xml:space="preserve"> </w:t>
      </w:r>
    </w:p>
    <w:p w14:paraId="4F1151FF" w14:textId="77777777" w:rsidR="009C6D88" w:rsidRDefault="009C6D88">
      <w:pPr>
        <w:widowControl/>
        <w:pBdr>
          <w:top w:val="nil"/>
          <w:left w:val="nil"/>
          <w:bottom w:val="nil"/>
          <w:right w:val="nil"/>
          <w:between w:val="nil"/>
        </w:pBdr>
        <w:tabs>
          <w:tab w:val="center" w:pos="4153"/>
          <w:tab w:val="right" w:pos="8306"/>
        </w:tabs>
        <w:ind w:firstLine="0"/>
        <w:rPr>
          <w:rFonts w:ascii="Arial" w:eastAsia="Arial" w:hAnsi="Arial" w:cs="Arial"/>
          <w:color w:val="000000"/>
          <w:highlight w:val="yellow"/>
        </w:rPr>
      </w:pPr>
      <w:bookmarkStart w:id="0" w:name="_30j0zll" w:colFirst="0" w:colLast="0"/>
      <w:bookmarkEnd w:id="0"/>
    </w:p>
    <w:p w14:paraId="668386B1" w14:textId="77777777" w:rsidR="009C6D88" w:rsidRDefault="00000000">
      <w:pPr>
        <w:widowControl/>
        <w:pBdr>
          <w:top w:val="nil"/>
          <w:left w:val="nil"/>
          <w:bottom w:val="nil"/>
          <w:right w:val="nil"/>
          <w:between w:val="nil"/>
        </w:pBdr>
        <w:tabs>
          <w:tab w:val="center" w:pos="4153"/>
          <w:tab w:val="right" w:pos="8306"/>
          <w:tab w:val="left" w:pos="284"/>
        </w:tabs>
        <w:ind w:hanging="2"/>
        <w:rPr>
          <w:rFonts w:ascii="Arial" w:eastAsia="Arial" w:hAnsi="Arial" w:cs="Arial"/>
          <w:color w:val="000000"/>
        </w:rPr>
      </w:pPr>
      <w:r>
        <w:rPr>
          <w:rFonts w:ascii="Arial" w:eastAsia="Arial" w:hAnsi="Arial" w:cs="Arial"/>
          <w:b/>
          <w:color w:val="000000"/>
        </w:rPr>
        <w:t xml:space="preserve">Role of Pay Committees </w:t>
      </w:r>
    </w:p>
    <w:p w14:paraId="5ED31315" w14:textId="77777777" w:rsidR="009C6D88" w:rsidRDefault="009C6D88">
      <w:pPr>
        <w:widowControl/>
        <w:pBdr>
          <w:top w:val="nil"/>
          <w:left w:val="nil"/>
          <w:bottom w:val="nil"/>
          <w:right w:val="nil"/>
          <w:between w:val="nil"/>
        </w:pBdr>
        <w:ind w:hanging="2"/>
        <w:rPr>
          <w:rFonts w:ascii="Arial" w:eastAsia="Arial" w:hAnsi="Arial" w:cs="Arial"/>
          <w:color w:val="000000"/>
        </w:rPr>
      </w:pPr>
    </w:p>
    <w:p w14:paraId="62900436"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color w:val="000000"/>
        </w:rPr>
        <w:t>It is for Pay Committees, in the light of line managers’ pay recommendations, to:</w:t>
      </w:r>
    </w:p>
    <w:p w14:paraId="49FE87EC"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44B14FB0" w14:textId="77777777" w:rsidR="009C6D88" w:rsidRDefault="00000000">
      <w:pPr>
        <w:widowControl/>
        <w:numPr>
          <w:ilvl w:val="0"/>
          <w:numId w:val="1"/>
        </w:num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b/>
          <w:color w:val="000000"/>
        </w:rPr>
        <w:t>make and communicate judgements</w:t>
      </w:r>
      <w:r>
        <w:rPr>
          <w:rFonts w:ascii="Arial" w:eastAsia="Arial" w:hAnsi="Arial" w:cs="Arial"/>
          <w:color w:val="000000"/>
        </w:rPr>
        <w:t xml:space="preserve"> about individuals’ performance and delivery, their competence, job challenge and sustained performance over time.  Pay committees should take account of the salary position in the pay range and recent pay history as well as any market intelligence on professional or specialist skills and relativities across the Department and the wider SCS;</w:t>
      </w:r>
    </w:p>
    <w:p w14:paraId="614ADC71" w14:textId="77777777" w:rsidR="009C6D88" w:rsidRDefault="009C6D88">
      <w:pPr>
        <w:widowControl/>
        <w:pBdr>
          <w:top w:val="nil"/>
          <w:left w:val="nil"/>
          <w:bottom w:val="nil"/>
          <w:right w:val="nil"/>
          <w:between w:val="nil"/>
        </w:pBdr>
        <w:ind w:hanging="2"/>
        <w:rPr>
          <w:rFonts w:ascii="Arial" w:eastAsia="Arial" w:hAnsi="Arial" w:cs="Arial"/>
          <w:color w:val="000000"/>
        </w:rPr>
      </w:pPr>
    </w:p>
    <w:p w14:paraId="0FF7BC29" w14:textId="77777777" w:rsidR="009C6D88" w:rsidRDefault="00000000">
      <w:pPr>
        <w:widowControl/>
        <w:numPr>
          <w:ilvl w:val="0"/>
          <w:numId w:val="1"/>
        </w:num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b/>
          <w:color w:val="000000"/>
        </w:rPr>
        <w:t>monitor results</w:t>
      </w:r>
      <w:r>
        <w:rPr>
          <w:rFonts w:ascii="Arial" w:eastAsia="Arial" w:hAnsi="Arial" w:cs="Arial"/>
          <w:color w:val="000000"/>
        </w:rPr>
        <w:t xml:space="preserve"> to ensure compliance with diversity legislation and take any appropriate action; and </w:t>
      </w:r>
    </w:p>
    <w:p w14:paraId="2DFA33F5"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72A80748" w14:textId="77777777" w:rsidR="009C6D88" w:rsidRDefault="00000000">
      <w:pPr>
        <w:widowControl/>
        <w:numPr>
          <w:ilvl w:val="0"/>
          <w:numId w:val="1"/>
        </w:num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b/>
          <w:color w:val="000000"/>
        </w:rPr>
        <w:t>oversee the</w:t>
      </w:r>
      <w:r>
        <w:rPr>
          <w:rFonts w:ascii="Arial" w:eastAsia="Arial" w:hAnsi="Arial" w:cs="Arial"/>
          <w:color w:val="000000"/>
        </w:rPr>
        <w:t xml:space="preserve"> </w:t>
      </w:r>
      <w:r>
        <w:rPr>
          <w:rFonts w:ascii="Arial" w:eastAsia="Arial" w:hAnsi="Arial" w:cs="Arial"/>
          <w:b/>
          <w:color w:val="000000"/>
        </w:rPr>
        <w:t>distribution</w:t>
      </w:r>
      <w:r>
        <w:rPr>
          <w:rFonts w:ascii="Arial" w:eastAsia="Arial" w:hAnsi="Arial" w:cs="Arial"/>
          <w:color w:val="000000"/>
        </w:rPr>
        <w:t xml:space="preserve"> of performance groups to ensure that they meet the requirements of your Departmental SCS pay strategy and the Cabinet Office guidance on performance management for the SCS.</w:t>
      </w:r>
    </w:p>
    <w:p w14:paraId="332C47B9" w14:textId="77777777" w:rsidR="009C6D88" w:rsidRDefault="009C6D88">
      <w:pPr>
        <w:widowControl/>
        <w:pBdr>
          <w:top w:val="nil"/>
          <w:left w:val="nil"/>
          <w:bottom w:val="nil"/>
          <w:right w:val="nil"/>
          <w:between w:val="nil"/>
        </w:pBdr>
        <w:tabs>
          <w:tab w:val="center" w:pos="4153"/>
          <w:tab w:val="right" w:pos="8306"/>
        </w:tabs>
        <w:ind w:hanging="2"/>
        <w:jc w:val="left"/>
        <w:rPr>
          <w:rFonts w:ascii="Arial" w:eastAsia="Arial" w:hAnsi="Arial" w:cs="Arial"/>
          <w:color w:val="000000"/>
        </w:rPr>
      </w:pPr>
    </w:p>
    <w:p w14:paraId="44C853B5" w14:textId="77777777" w:rsidR="009C6D88" w:rsidRDefault="00000000">
      <w:pPr>
        <w:widowControl/>
        <w:pBdr>
          <w:top w:val="nil"/>
          <w:left w:val="nil"/>
          <w:bottom w:val="nil"/>
          <w:right w:val="nil"/>
          <w:between w:val="nil"/>
        </w:pBdr>
        <w:tabs>
          <w:tab w:val="center" w:pos="4153"/>
          <w:tab w:val="right" w:pos="8306"/>
        </w:tabs>
        <w:ind w:hanging="2"/>
        <w:rPr>
          <w:rFonts w:ascii="Arial" w:eastAsia="Arial" w:hAnsi="Arial" w:cs="Arial"/>
          <w:color w:val="000000"/>
        </w:rPr>
      </w:pPr>
      <w:r>
        <w:rPr>
          <w:rFonts w:ascii="Arial" w:eastAsia="Arial" w:hAnsi="Arial" w:cs="Arial"/>
          <w:b/>
          <w:color w:val="000000"/>
        </w:rPr>
        <w:t>Corporate recognition scheme</w:t>
      </w:r>
    </w:p>
    <w:p w14:paraId="544015E1"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39942B63"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color w:val="000000"/>
        </w:rPr>
        <w:t>A recognition scheme to reward corporate values and behaviours is also available to recognise SCS members that make exceptional contributions to cross-government initiatives that go above and beyond their day-to-day roles.</w:t>
      </w:r>
    </w:p>
    <w:p w14:paraId="045135DB"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3A8BD193"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color w:val="000000"/>
        </w:rPr>
        <w:t>The criteria are:</w:t>
      </w:r>
    </w:p>
    <w:p w14:paraId="20F3C507"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42DA621A" w14:textId="77777777" w:rsidR="009C6D88" w:rsidRDefault="00000000" w:rsidP="00476C78">
      <w:pPr>
        <w:pStyle w:val="ListParagraph"/>
        <w:widowControl/>
        <w:numPr>
          <w:ilvl w:val="0"/>
          <w:numId w:val="21"/>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lastRenderedPageBreak/>
        <w:t>a significant contribution that an individual makes to a cross-departmental initiative; or</w:t>
      </w:r>
    </w:p>
    <w:p w14:paraId="4EF26100" w14:textId="77777777" w:rsidR="009C6D88" w:rsidRDefault="00000000" w:rsidP="00476C78">
      <w:pPr>
        <w:pStyle w:val="ListParagraph"/>
        <w:widowControl/>
        <w:numPr>
          <w:ilvl w:val="0"/>
          <w:numId w:val="21"/>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a significant contribution that an individual makes to the development of a function, profession or network; or</w:t>
      </w:r>
    </w:p>
    <w:p w14:paraId="438029DF" w14:textId="77777777" w:rsidR="009C6D88" w:rsidRDefault="00000000" w:rsidP="00476C78">
      <w:pPr>
        <w:pStyle w:val="ListParagraph"/>
        <w:widowControl/>
        <w:numPr>
          <w:ilvl w:val="0"/>
          <w:numId w:val="21"/>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a significant contribution that an individual makes outside the Civil Service, which enhances the reputation of the Civil Service; and </w:t>
      </w:r>
    </w:p>
    <w:p w14:paraId="26D326EE" w14:textId="77777777" w:rsidR="009C6D88" w:rsidRDefault="00000000" w:rsidP="00476C78">
      <w:pPr>
        <w:pStyle w:val="ListParagraph"/>
        <w:widowControl/>
        <w:numPr>
          <w:ilvl w:val="0"/>
          <w:numId w:val="21"/>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goes above and beyond the normal requirements of their role.</w:t>
      </w:r>
    </w:p>
    <w:p w14:paraId="0D8946EA"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6672394D" w14:textId="77777777" w:rsidR="009C6D88" w:rsidRDefault="00000000">
      <w:pPr>
        <w:widowControl/>
        <w:pBdr>
          <w:top w:val="nil"/>
          <w:left w:val="nil"/>
          <w:bottom w:val="nil"/>
          <w:right w:val="nil"/>
          <w:between w:val="nil"/>
        </w:pBdr>
        <w:tabs>
          <w:tab w:val="center" w:pos="4153"/>
          <w:tab w:val="right" w:pos="8306"/>
        </w:tabs>
        <w:ind w:left="360" w:firstLine="0"/>
        <w:rPr>
          <w:rFonts w:ascii="Arial" w:eastAsia="Arial" w:hAnsi="Arial" w:cs="Arial"/>
          <w:color w:val="000000"/>
        </w:rPr>
      </w:pPr>
      <w:r>
        <w:rPr>
          <w:rFonts w:ascii="Arial" w:eastAsia="Arial" w:hAnsi="Arial" w:cs="Arial"/>
          <w:color w:val="000000"/>
        </w:rPr>
        <w:t>The scheme grants small one-off recognition awards up to £1,000 to SCS of any grade, nominated by Permanent Secretaries.</w:t>
      </w:r>
    </w:p>
    <w:p w14:paraId="470D24F3" w14:textId="77777777" w:rsidR="009C6D88" w:rsidRDefault="00000000">
      <w:pPr>
        <w:widowControl/>
        <w:pBdr>
          <w:top w:val="nil"/>
          <w:left w:val="nil"/>
          <w:bottom w:val="nil"/>
          <w:right w:val="nil"/>
          <w:between w:val="nil"/>
        </w:pBdr>
        <w:tabs>
          <w:tab w:val="center" w:pos="4153"/>
          <w:tab w:val="right" w:pos="8306"/>
        </w:tabs>
        <w:ind w:left="360" w:firstLine="0"/>
        <w:rPr>
          <w:rFonts w:ascii="Arial" w:eastAsia="Arial" w:hAnsi="Arial" w:cs="Arial"/>
          <w:color w:val="000000"/>
        </w:rPr>
      </w:pPr>
      <w:r>
        <w:rPr>
          <w:rFonts w:ascii="Arial" w:eastAsia="Arial" w:hAnsi="Arial" w:cs="Arial"/>
          <w:color w:val="000000"/>
        </w:rPr>
        <w:t xml:space="preserve"> </w:t>
      </w:r>
    </w:p>
    <w:p w14:paraId="5E4F6048" w14:textId="0C9CA3C1"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rPr>
        <w:t>G</w:t>
      </w:r>
      <w:r>
        <w:rPr>
          <w:rFonts w:ascii="Arial" w:eastAsia="Arial" w:hAnsi="Arial" w:cs="Arial"/>
          <w:color w:val="000000"/>
        </w:rPr>
        <w:t>uidance on the Corporate Recogni</w:t>
      </w:r>
      <w:r>
        <w:rPr>
          <w:rFonts w:ascii="Arial" w:eastAsia="Arial" w:hAnsi="Arial" w:cs="Arial"/>
        </w:rPr>
        <w:t xml:space="preserve">tion Scheme </w:t>
      </w:r>
      <w:r>
        <w:rPr>
          <w:rFonts w:ascii="Arial" w:eastAsia="Arial" w:hAnsi="Arial" w:cs="Arial"/>
          <w:color w:val="000000"/>
        </w:rPr>
        <w:t>is currently being reviewed</w:t>
      </w:r>
      <w:r>
        <w:rPr>
          <w:rFonts w:ascii="Arial" w:eastAsia="Arial" w:hAnsi="Arial" w:cs="Arial"/>
        </w:rPr>
        <w:t>.  The Cabinet Office (Civil Service Reward, TUPE and Employment Framework team) will update the Pay Practitioners’ Guidance in due course.</w:t>
      </w:r>
    </w:p>
    <w:p w14:paraId="262D9A7A"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3E8BF883" w14:textId="77777777" w:rsidR="009C6D88" w:rsidRDefault="00000000">
      <w:pPr>
        <w:ind w:hanging="2"/>
        <w:rPr>
          <w:rFonts w:ascii="Arial" w:eastAsia="Arial" w:hAnsi="Arial" w:cs="Arial"/>
        </w:rPr>
      </w:pPr>
      <w:r>
        <w:rPr>
          <w:rFonts w:ascii="Arial" w:eastAsia="Arial" w:hAnsi="Arial" w:cs="Arial"/>
          <w:b/>
        </w:rPr>
        <w:t xml:space="preserve">Pivotal Role Allowance </w:t>
      </w:r>
    </w:p>
    <w:p w14:paraId="1AC98A4A"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40CB0469"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color w:val="000000"/>
        </w:rPr>
        <w:t xml:space="preserve">Pivotal Role Allowance (PRA) is available to help departments retain experienced members of the SCS in highly specialised roles and those delivering the riskiest major projects across government and other priorities. The current guidance and pro-forma are set out in </w:t>
      </w:r>
      <w:r>
        <w:rPr>
          <w:rFonts w:ascii="Arial" w:eastAsia="Arial" w:hAnsi="Arial" w:cs="Arial"/>
          <w:b/>
          <w:color w:val="000000"/>
          <w:u w:val="single"/>
        </w:rPr>
        <w:t>Annex A</w:t>
      </w:r>
      <w:r>
        <w:rPr>
          <w:rFonts w:ascii="Arial" w:eastAsia="Arial" w:hAnsi="Arial" w:cs="Arial"/>
          <w:color w:val="000000"/>
        </w:rPr>
        <w:t xml:space="preserve">. Departments are encouraged to use PRAs to address flight risk and where outcomes can be easily measured. </w:t>
      </w:r>
    </w:p>
    <w:p w14:paraId="47750D94" w14:textId="77777777" w:rsidR="009C6D88" w:rsidRDefault="009C6D88">
      <w:pPr>
        <w:widowControl/>
        <w:pBdr>
          <w:top w:val="nil"/>
          <w:left w:val="nil"/>
          <w:bottom w:val="nil"/>
          <w:right w:val="nil"/>
          <w:between w:val="nil"/>
        </w:pBdr>
        <w:tabs>
          <w:tab w:val="center" w:pos="4153"/>
          <w:tab w:val="right" w:pos="8306"/>
        </w:tabs>
        <w:ind w:firstLine="0"/>
        <w:rPr>
          <w:rFonts w:ascii="Arial" w:eastAsia="Arial" w:hAnsi="Arial" w:cs="Arial"/>
          <w:color w:val="000000"/>
        </w:rPr>
      </w:pPr>
    </w:p>
    <w:p w14:paraId="7096D402" w14:textId="77777777" w:rsidR="009C6D88" w:rsidRDefault="00000000">
      <w:pPr>
        <w:widowControl/>
        <w:pBdr>
          <w:top w:val="nil"/>
          <w:left w:val="nil"/>
          <w:bottom w:val="nil"/>
          <w:right w:val="nil"/>
          <w:between w:val="nil"/>
        </w:pBdr>
        <w:tabs>
          <w:tab w:val="center" w:pos="4153"/>
          <w:tab w:val="right" w:pos="8306"/>
        </w:tabs>
        <w:ind w:firstLine="0"/>
        <w:rPr>
          <w:rFonts w:ascii="Arial" w:eastAsia="Arial" w:hAnsi="Arial" w:cs="Arial"/>
          <w:b/>
          <w:color w:val="000000"/>
        </w:rPr>
      </w:pPr>
      <w:r>
        <w:rPr>
          <w:rFonts w:ascii="Arial" w:eastAsia="Arial" w:hAnsi="Arial" w:cs="Arial"/>
          <w:b/>
          <w:color w:val="000000"/>
        </w:rPr>
        <w:t>Other allowances</w:t>
      </w:r>
    </w:p>
    <w:p w14:paraId="65504A7C" w14:textId="77777777" w:rsidR="009C6D88" w:rsidRDefault="009C6D88">
      <w:pPr>
        <w:widowControl/>
        <w:pBdr>
          <w:top w:val="nil"/>
          <w:left w:val="nil"/>
          <w:bottom w:val="nil"/>
          <w:right w:val="nil"/>
          <w:between w:val="nil"/>
        </w:pBdr>
        <w:tabs>
          <w:tab w:val="center" w:pos="4153"/>
          <w:tab w:val="right" w:pos="8306"/>
        </w:tabs>
        <w:ind w:firstLine="0"/>
        <w:rPr>
          <w:rFonts w:ascii="Arial" w:eastAsia="Arial" w:hAnsi="Arial" w:cs="Arial"/>
          <w:b/>
          <w:color w:val="000000"/>
        </w:rPr>
      </w:pPr>
    </w:p>
    <w:p w14:paraId="54465754"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color w:val="000000"/>
        </w:rPr>
        <w:t xml:space="preserve">Departments should consult the Cabinet Office before they implement any changes to any other allowable allowances </w:t>
      </w:r>
      <w:proofErr w:type="gramStart"/>
      <w:r>
        <w:rPr>
          <w:rFonts w:ascii="Arial" w:eastAsia="Arial" w:hAnsi="Arial" w:cs="Arial"/>
          <w:color w:val="000000"/>
        </w:rPr>
        <w:t>e.g.</w:t>
      </w:r>
      <w:proofErr w:type="gramEnd"/>
      <w:r>
        <w:rPr>
          <w:rFonts w:ascii="Arial" w:eastAsia="Arial" w:hAnsi="Arial" w:cs="Arial"/>
          <w:color w:val="000000"/>
        </w:rPr>
        <w:t xml:space="preserve"> Private Secretary allowance.</w:t>
      </w:r>
    </w:p>
    <w:p w14:paraId="29911B04"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3EC638B4" w14:textId="77777777" w:rsidR="009C6D88" w:rsidRDefault="00000000">
      <w:pPr>
        <w:widowControl/>
        <w:pBdr>
          <w:top w:val="nil"/>
          <w:left w:val="nil"/>
          <w:bottom w:val="nil"/>
          <w:right w:val="nil"/>
          <w:between w:val="nil"/>
        </w:pBdr>
        <w:tabs>
          <w:tab w:val="center" w:pos="4153"/>
          <w:tab w:val="right" w:pos="8306"/>
        </w:tabs>
        <w:ind w:hanging="2"/>
        <w:rPr>
          <w:rFonts w:ascii="Arial" w:eastAsia="Arial" w:hAnsi="Arial" w:cs="Arial"/>
          <w:color w:val="000000"/>
        </w:rPr>
      </w:pPr>
      <w:r>
        <w:rPr>
          <w:rFonts w:ascii="Arial" w:eastAsia="Arial" w:hAnsi="Arial" w:cs="Arial"/>
          <w:b/>
          <w:color w:val="000000"/>
        </w:rPr>
        <w:t>Other SCS pay flexibilities</w:t>
      </w:r>
    </w:p>
    <w:p w14:paraId="557A1978"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483006C1"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color w:val="000000"/>
        </w:rPr>
        <w:t>The limited and exceptional flexibilities introduced previously:</w:t>
      </w:r>
    </w:p>
    <w:p w14:paraId="7580051C"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u w:val="single"/>
        </w:rPr>
      </w:pPr>
    </w:p>
    <w:p w14:paraId="4B50EBB2" w14:textId="77777777" w:rsidR="009C6D88" w:rsidRDefault="00000000">
      <w:pPr>
        <w:widowControl/>
        <w:numPr>
          <w:ilvl w:val="0"/>
          <w:numId w:val="3"/>
        </w:num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converting non-consolidated funding into consolidated pay; and</w:t>
      </w:r>
    </w:p>
    <w:p w14:paraId="7A6EF47C" w14:textId="77777777" w:rsidR="009C6D88" w:rsidRDefault="00000000">
      <w:pPr>
        <w:widowControl/>
        <w:numPr>
          <w:ilvl w:val="0"/>
          <w:numId w:val="3"/>
        </w:num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the timing of NCPRP awards for top performers</w:t>
      </w:r>
    </w:p>
    <w:p w14:paraId="0DA63DAC"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3D98B671" w14:textId="77777777" w:rsidR="009C6D88" w:rsidRDefault="00000000">
      <w:pPr>
        <w:widowControl/>
        <w:pBdr>
          <w:top w:val="nil"/>
          <w:left w:val="nil"/>
          <w:bottom w:val="nil"/>
          <w:right w:val="nil"/>
          <w:between w:val="nil"/>
        </w:pBdr>
        <w:tabs>
          <w:tab w:val="center" w:pos="4153"/>
          <w:tab w:val="right" w:pos="8306"/>
        </w:tabs>
        <w:ind w:hanging="2"/>
        <w:rPr>
          <w:rFonts w:ascii="Arial" w:eastAsia="Arial" w:hAnsi="Arial" w:cs="Arial"/>
          <w:color w:val="000000"/>
        </w:rPr>
      </w:pPr>
      <w:r>
        <w:rPr>
          <w:rFonts w:ascii="Arial" w:eastAsia="Arial" w:hAnsi="Arial" w:cs="Arial"/>
          <w:color w:val="000000"/>
        </w:rPr>
        <w:t>have been retained for 202</w:t>
      </w:r>
      <w:r>
        <w:rPr>
          <w:rFonts w:ascii="Arial" w:eastAsia="Arial" w:hAnsi="Arial" w:cs="Arial"/>
        </w:rPr>
        <w:t>2</w:t>
      </w:r>
      <w:r>
        <w:rPr>
          <w:rFonts w:ascii="Arial" w:eastAsia="Arial" w:hAnsi="Arial" w:cs="Arial"/>
          <w:color w:val="000000"/>
        </w:rPr>
        <w:t>/202</w:t>
      </w:r>
      <w:r>
        <w:rPr>
          <w:rFonts w:ascii="Arial" w:eastAsia="Arial" w:hAnsi="Arial" w:cs="Arial"/>
        </w:rPr>
        <w:t>3</w:t>
      </w:r>
      <w:r>
        <w:rPr>
          <w:rFonts w:ascii="Arial" w:eastAsia="Arial" w:hAnsi="Arial" w:cs="Arial"/>
          <w:color w:val="000000"/>
        </w:rPr>
        <w:t xml:space="preserve"> and can be found at </w:t>
      </w:r>
      <w:r>
        <w:rPr>
          <w:rFonts w:ascii="Arial" w:eastAsia="Arial" w:hAnsi="Arial" w:cs="Arial"/>
          <w:b/>
          <w:color w:val="000000"/>
          <w:u w:val="single"/>
        </w:rPr>
        <w:t>Annex B</w:t>
      </w:r>
      <w:r>
        <w:rPr>
          <w:rFonts w:ascii="Arial" w:eastAsia="Arial" w:hAnsi="Arial" w:cs="Arial"/>
          <w:color w:val="000000"/>
        </w:rPr>
        <w:t xml:space="preserve">. </w:t>
      </w:r>
    </w:p>
    <w:p w14:paraId="269BE76B"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4609A998" w14:textId="77777777" w:rsidR="009C6D88" w:rsidRDefault="00000000">
      <w:pPr>
        <w:widowControl/>
        <w:pBdr>
          <w:top w:val="nil"/>
          <w:left w:val="nil"/>
          <w:bottom w:val="nil"/>
          <w:right w:val="nil"/>
          <w:between w:val="nil"/>
        </w:pBdr>
        <w:ind w:hanging="2"/>
        <w:rPr>
          <w:rFonts w:ascii="Arial" w:eastAsia="Arial" w:hAnsi="Arial" w:cs="Arial"/>
          <w:color w:val="000000"/>
        </w:rPr>
      </w:pPr>
      <w:r>
        <w:rPr>
          <w:rFonts w:ascii="Arial" w:eastAsia="Arial" w:hAnsi="Arial" w:cs="Arial"/>
          <w:b/>
          <w:color w:val="000000"/>
        </w:rPr>
        <w:t>Pay controls</w:t>
      </w:r>
    </w:p>
    <w:p w14:paraId="7BBC0F1F" w14:textId="77777777" w:rsidR="009C6D88" w:rsidRDefault="009C6D88">
      <w:pPr>
        <w:widowControl/>
        <w:pBdr>
          <w:top w:val="nil"/>
          <w:left w:val="nil"/>
          <w:bottom w:val="nil"/>
          <w:right w:val="nil"/>
          <w:between w:val="nil"/>
        </w:pBdr>
        <w:ind w:hanging="2"/>
        <w:rPr>
          <w:rFonts w:ascii="Arial" w:eastAsia="Arial" w:hAnsi="Arial" w:cs="Arial"/>
          <w:color w:val="000000"/>
        </w:rPr>
      </w:pPr>
    </w:p>
    <w:p w14:paraId="789D0F78"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color w:val="000000"/>
        </w:rPr>
        <w:t>The Treasury senior pay control is set at £150,000 and above:</w:t>
      </w:r>
    </w:p>
    <w:p w14:paraId="3C676E7F"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bookmarkStart w:id="1" w:name="_1fob9te" w:colFirst="0" w:colLast="0"/>
    <w:bookmarkEnd w:id="1"/>
    <w:p w14:paraId="6706DA5F" w14:textId="77777777" w:rsidR="009C6D88" w:rsidRDefault="00000000">
      <w:pPr>
        <w:widowControl/>
        <w:pBdr>
          <w:top w:val="nil"/>
          <w:left w:val="nil"/>
          <w:bottom w:val="nil"/>
          <w:right w:val="nil"/>
          <w:between w:val="nil"/>
        </w:pBdr>
        <w:tabs>
          <w:tab w:val="center" w:pos="4153"/>
          <w:tab w:val="right" w:pos="8306"/>
        </w:tabs>
        <w:ind w:hanging="2"/>
        <w:rPr>
          <w:rFonts w:ascii="Arial" w:eastAsia="Arial" w:hAnsi="Arial" w:cs="Arial"/>
          <w:color w:val="000000"/>
        </w:rPr>
      </w:pPr>
      <w:r>
        <w:fldChar w:fldCharType="begin"/>
      </w:r>
      <w:r>
        <w:instrText>HYPERLINK "https://assets.publishing.service.gov.uk/government/uploads/system/uploads/attachment_data/file/682643/Guidance_for_approval_of_senior_pay.pdf" \h</w:instrText>
      </w:r>
      <w:r>
        <w:fldChar w:fldCharType="separate"/>
      </w:r>
      <w:r>
        <w:rPr>
          <w:rFonts w:ascii="Arial" w:eastAsia="Arial" w:hAnsi="Arial" w:cs="Arial"/>
          <w:color w:val="0000FF"/>
          <w:u w:val="single"/>
        </w:rPr>
        <w:t>https://assets.publishing.service.gov.uk/government/uploads/system/uploads/attachment_data/file/682643/Guidance_for_approval_of_senior_pay.pdf</w:t>
      </w:r>
      <w:r>
        <w:rPr>
          <w:rFonts w:ascii="Arial" w:eastAsia="Arial" w:hAnsi="Arial" w:cs="Arial"/>
          <w:color w:val="0000FF"/>
          <w:u w:val="single"/>
        </w:rPr>
        <w:fldChar w:fldCharType="end"/>
      </w:r>
    </w:p>
    <w:p w14:paraId="0CF45F5B"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15FAEEAB" w14:textId="1869282A"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color w:val="000000"/>
        </w:rPr>
        <w:t xml:space="preserve">Departments must secure the approval of the Chief Secretary to the Treasury (CST) for any remuneration at or above £150,000, as defined in the guidance, before advertising. </w:t>
      </w:r>
      <w:r>
        <w:rPr>
          <w:rFonts w:ascii="Arial" w:eastAsia="Arial" w:hAnsi="Arial" w:cs="Arial"/>
          <w:b/>
          <w:color w:val="000000"/>
        </w:rPr>
        <w:t>Please ensure that you provide up to three weeks for approval</w:t>
      </w:r>
      <w:r>
        <w:rPr>
          <w:rFonts w:ascii="Arial" w:eastAsia="Arial" w:hAnsi="Arial" w:cs="Arial"/>
          <w:color w:val="000000"/>
        </w:rPr>
        <w:t xml:space="preserve">. As indicated in paragraph </w:t>
      </w:r>
      <w:r w:rsidR="00476C78">
        <w:rPr>
          <w:rFonts w:ascii="Arial" w:eastAsia="Arial" w:hAnsi="Arial" w:cs="Arial"/>
          <w:color w:val="000000"/>
        </w:rPr>
        <w:t xml:space="preserve">11 </w:t>
      </w:r>
      <w:r>
        <w:rPr>
          <w:rFonts w:ascii="Arial" w:eastAsia="Arial" w:hAnsi="Arial" w:cs="Arial"/>
          <w:color w:val="000000"/>
        </w:rPr>
        <w:t xml:space="preserve">any performance </w:t>
      </w:r>
      <w:proofErr w:type="gramStart"/>
      <w:r>
        <w:rPr>
          <w:rFonts w:ascii="Arial" w:eastAsia="Arial" w:hAnsi="Arial" w:cs="Arial"/>
          <w:color w:val="000000"/>
        </w:rPr>
        <w:t>pay</w:t>
      </w:r>
      <w:proofErr w:type="gramEnd"/>
      <w:r>
        <w:rPr>
          <w:rFonts w:ascii="Arial" w:eastAsia="Arial" w:hAnsi="Arial" w:cs="Arial"/>
          <w:color w:val="000000"/>
        </w:rPr>
        <w:t xml:space="preserve"> arrangements with an annual value of more than £17,500 require the approval of the CST. You should aggregate in-year and end-year payments for the same performance year to determine whether the control threshold is triggered. </w:t>
      </w:r>
    </w:p>
    <w:p w14:paraId="56A2C9F8" w14:textId="77777777" w:rsidR="009C6D88" w:rsidRDefault="009C6D88">
      <w:pPr>
        <w:widowControl/>
        <w:pBdr>
          <w:top w:val="nil"/>
          <w:left w:val="nil"/>
          <w:bottom w:val="nil"/>
          <w:right w:val="nil"/>
          <w:between w:val="nil"/>
        </w:pBdr>
        <w:ind w:hanging="2"/>
        <w:rPr>
          <w:rFonts w:ascii="Arial" w:eastAsia="Arial" w:hAnsi="Arial" w:cs="Arial"/>
          <w:color w:val="000000"/>
        </w:rPr>
      </w:pPr>
    </w:p>
    <w:p w14:paraId="3E2B239C"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color w:val="000000"/>
        </w:rPr>
        <w:t xml:space="preserve">Departments must seek Cabinet Office approval where they propose to pay a salary for an SCS1 member of staff that is above the maximum of the SCS1 pay range. </w:t>
      </w:r>
    </w:p>
    <w:p w14:paraId="1801DC75"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1A73449B"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color w:val="000000"/>
        </w:rPr>
        <w:t xml:space="preserve">The current pay controls are set out in </w:t>
      </w:r>
      <w:r>
        <w:rPr>
          <w:rFonts w:ascii="Arial" w:eastAsia="Arial" w:hAnsi="Arial" w:cs="Arial"/>
          <w:b/>
          <w:color w:val="000000"/>
          <w:u w:val="single"/>
        </w:rPr>
        <w:t>Annex C</w:t>
      </w:r>
      <w:r w:rsidRPr="00031229">
        <w:rPr>
          <w:rFonts w:ascii="Arial" w:eastAsia="Arial" w:hAnsi="Arial" w:cs="Arial"/>
          <w:color w:val="000000"/>
        </w:rPr>
        <w:t>.</w:t>
      </w:r>
    </w:p>
    <w:p w14:paraId="531BA874" w14:textId="77777777" w:rsidR="009C6D88" w:rsidRDefault="009C6D88">
      <w:pPr>
        <w:widowControl/>
        <w:pBdr>
          <w:top w:val="nil"/>
          <w:left w:val="nil"/>
          <w:bottom w:val="nil"/>
          <w:right w:val="nil"/>
          <w:between w:val="nil"/>
        </w:pBdr>
        <w:ind w:hanging="2"/>
        <w:rPr>
          <w:rFonts w:ascii="Arial" w:eastAsia="Arial" w:hAnsi="Arial" w:cs="Arial"/>
        </w:rPr>
      </w:pPr>
    </w:p>
    <w:p w14:paraId="671A422E" w14:textId="77777777" w:rsidR="009C6D88" w:rsidRDefault="00000000">
      <w:pPr>
        <w:widowControl/>
        <w:pBdr>
          <w:top w:val="nil"/>
          <w:left w:val="nil"/>
          <w:bottom w:val="nil"/>
          <w:right w:val="nil"/>
          <w:between w:val="nil"/>
        </w:pBdr>
        <w:ind w:hanging="2"/>
        <w:rPr>
          <w:rFonts w:ascii="Arial" w:eastAsia="Arial" w:hAnsi="Arial" w:cs="Arial"/>
          <w:color w:val="000000"/>
        </w:rPr>
      </w:pPr>
      <w:r>
        <w:rPr>
          <w:rFonts w:ascii="Arial" w:eastAsia="Arial" w:hAnsi="Arial" w:cs="Arial"/>
          <w:b/>
          <w:color w:val="000000"/>
        </w:rPr>
        <w:t xml:space="preserve">Non-standard terms </w:t>
      </w:r>
    </w:p>
    <w:p w14:paraId="7569C8F5" w14:textId="77777777" w:rsidR="009C6D88" w:rsidRDefault="009C6D88">
      <w:pPr>
        <w:widowControl/>
        <w:pBdr>
          <w:top w:val="nil"/>
          <w:left w:val="nil"/>
          <w:bottom w:val="nil"/>
          <w:right w:val="nil"/>
          <w:between w:val="nil"/>
        </w:pBdr>
        <w:ind w:hanging="2"/>
        <w:rPr>
          <w:rFonts w:ascii="Arial" w:eastAsia="Arial" w:hAnsi="Arial" w:cs="Arial"/>
          <w:color w:val="000000"/>
        </w:rPr>
      </w:pPr>
    </w:p>
    <w:p w14:paraId="764F4E92"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color w:val="000000"/>
        </w:rPr>
        <w:t>Please discuss with the Cabinet Office any proposals to offer non-standard terms that may raise issues of propriety and controversy (</w:t>
      </w:r>
      <w:proofErr w:type="gramStart"/>
      <w:r>
        <w:rPr>
          <w:rFonts w:ascii="Arial" w:eastAsia="Arial" w:hAnsi="Arial" w:cs="Arial"/>
          <w:color w:val="000000"/>
        </w:rPr>
        <w:t>e.g.</w:t>
      </w:r>
      <w:proofErr w:type="gramEnd"/>
      <w:r>
        <w:rPr>
          <w:rFonts w:ascii="Arial" w:eastAsia="Arial" w:hAnsi="Arial" w:cs="Arial"/>
          <w:color w:val="000000"/>
        </w:rPr>
        <w:t xml:space="preserve"> benefits in kind).  </w:t>
      </w:r>
    </w:p>
    <w:p w14:paraId="5B8622B6" w14:textId="77777777" w:rsidR="009C6D88" w:rsidRDefault="009C6D88">
      <w:pPr>
        <w:widowControl/>
        <w:pBdr>
          <w:top w:val="nil"/>
          <w:left w:val="nil"/>
          <w:bottom w:val="nil"/>
          <w:right w:val="nil"/>
          <w:between w:val="nil"/>
        </w:pBdr>
        <w:ind w:hanging="2"/>
        <w:rPr>
          <w:rFonts w:ascii="Arial" w:eastAsia="Arial" w:hAnsi="Arial" w:cs="Arial"/>
          <w:color w:val="000000"/>
        </w:rPr>
      </w:pPr>
    </w:p>
    <w:p w14:paraId="43EE7AB5" w14:textId="77777777" w:rsidR="009C6D88" w:rsidRDefault="00000000">
      <w:pPr>
        <w:widowControl/>
        <w:pBdr>
          <w:top w:val="nil"/>
          <w:left w:val="nil"/>
          <w:bottom w:val="nil"/>
          <w:right w:val="nil"/>
          <w:between w:val="nil"/>
        </w:pBdr>
        <w:ind w:hanging="2"/>
        <w:rPr>
          <w:rFonts w:ascii="Arial" w:eastAsia="Arial" w:hAnsi="Arial" w:cs="Arial"/>
          <w:color w:val="000000"/>
        </w:rPr>
      </w:pPr>
      <w:r>
        <w:rPr>
          <w:rFonts w:ascii="Arial" w:eastAsia="Arial" w:hAnsi="Arial" w:cs="Arial"/>
          <w:b/>
          <w:color w:val="000000"/>
        </w:rPr>
        <w:t>Pay Band 1A</w:t>
      </w:r>
    </w:p>
    <w:p w14:paraId="2EE63C62" w14:textId="77777777" w:rsidR="009C6D88" w:rsidRDefault="009C6D88">
      <w:pPr>
        <w:widowControl/>
        <w:pBdr>
          <w:top w:val="nil"/>
          <w:left w:val="nil"/>
          <w:bottom w:val="nil"/>
          <w:right w:val="nil"/>
          <w:between w:val="nil"/>
        </w:pBdr>
        <w:ind w:hanging="2"/>
        <w:rPr>
          <w:rFonts w:ascii="Arial" w:eastAsia="Arial" w:hAnsi="Arial" w:cs="Arial"/>
          <w:color w:val="000000"/>
        </w:rPr>
      </w:pPr>
    </w:p>
    <w:p w14:paraId="51A75225"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rPr>
        <w:t>Long standing</w:t>
      </w:r>
      <w:r>
        <w:rPr>
          <w:rFonts w:ascii="Arial" w:eastAsia="Arial" w:hAnsi="Arial" w:cs="Arial"/>
          <w:color w:val="000000"/>
        </w:rPr>
        <w:t xml:space="preserve"> policy is that departments should not recruit into Pay Band 1A, since there is enough flexibility in the SCS pay system to recruit into Pay Bands 1 and 2. While departments should not recruit into Pay Band 1A, existing staff are unaffected and departments will be able to make pay awards in the same way as for other SCS staff.</w:t>
      </w:r>
    </w:p>
    <w:p w14:paraId="1B07276A" w14:textId="77777777" w:rsidR="009C6D88" w:rsidRDefault="00000000">
      <w:pPr>
        <w:widowControl/>
        <w:pBdr>
          <w:top w:val="nil"/>
          <w:left w:val="nil"/>
          <w:bottom w:val="nil"/>
          <w:right w:val="nil"/>
          <w:between w:val="nil"/>
        </w:pBdr>
        <w:tabs>
          <w:tab w:val="center" w:pos="4153"/>
          <w:tab w:val="right" w:pos="8306"/>
        </w:tabs>
        <w:ind w:hanging="2"/>
        <w:rPr>
          <w:rFonts w:ascii="Arial" w:eastAsia="Arial" w:hAnsi="Arial" w:cs="Arial"/>
          <w:color w:val="000000"/>
        </w:rPr>
      </w:pPr>
      <w:r>
        <w:rPr>
          <w:rFonts w:ascii="Arial" w:eastAsia="Arial" w:hAnsi="Arial" w:cs="Arial"/>
          <w:color w:val="000000"/>
        </w:rPr>
        <w:t xml:space="preserve"> </w:t>
      </w:r>
    </w:p>
    <w:p w14:paraId="7C7FDC67"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b/>
          <w:color w:val="000000"/>
        </w:rPr>
        <w:t>Departments are asked to ensure that SCS are being correctly recorded as 1As when returns are made to the Cabinet Office Analysis and Insight team as part of the annual collection exercise for the SCS database.</w:t>
      </w:r>
    </w:p>
    <w:p w14:paraId="503765E3" w14:textId="77777777" w:rsidR="009C6D88" w:rsidRDefault="009C6D88">
      <w:pPr>
        <w:widowControl/>
        <w:pBdr>
          <w:top w:val="nil"/>
          <w:left w:val="nil"/>
          <w:bottom w:val="nil"/>
          <w:right w:val="nil"/>
          <w:between w:val="nil"/>
        </w:pBdr>
        <w:ind w:hanging="2"/>
        <w:rPr>
          <w:rFonts w:ascii="Arial" w:eastAsia="Arial" w:hAnsi="Arial" w:cs="Arial"/>
          <w:color w:val="000000"/>
        </w:rPr>
      </w:pPr>
    </w:p>
    <w:p w14:paraId="784C82B6" w14:textId="77777777" w:rsidR="009C6D88" w:rsidRDefault="00000000">
      <w:pPr>
        <w:widowControl/>
        <w:pBdr>
          <w:top w:val="nil"/>
          <w:left w:val="nil"/>
          <w:bottom w:val="nil"/>
          <w:right w:val="nil"/>
          <w:between w:val="nil"/>
        </w:pBdr>
        <w:ind w:hanging="2"/>
        <w:rPr>
          <w:rFonts w:ascii="Arial" w:eastAsia="Arial" w:hAnsi="Arial" w:cs="Arial"/>
          <w:color w:val="000000"/>
        </w:rPr>
      </w:pPr>
      <w:r>
        <w:rPr>
          <w:rFonts w:ascii="Arial" w:eastAsia="Arial" w:hAnsi="Arial" w:cs="Arial"/>
          <w:b/>
          <w:color w:val="000000"/>
        </w:rPr>
        <w:t>Pay on appointment/promotion</w:t>
      </w:r>
    </w:p>
    <w:p w14:paraId="2A3F8ABC" w14:textId="77777777" w:rsidR="009C6D88" w:rsidRDefault="009C6D88">
      <w:pPr>
        <w:widowControl/>
        <w:pBdr>
          <w:top w:val="nil"/>
          <w:left w:val="nil"/>
          <w:bottom w:val="nil"/>
          <w:right w:val="nil"/>
          <w:between w:val="nil"/>
        </w:pBdr>
        <w:ind w:hanging="2"/>
        <w:rPr>
          <w:rFonts w:ascii="Arial" w:eastAsia="Arial" w:hAnsi="Arial" w:cs="Arial"/>
          <w:color w:val="000000"/>
        </w:rPr>
      </w:pPr>
    </w:p>
    <w:p w14:paraId="62BA29A2" w14:textId="77777777" w:rsidR="009C6D88" w:rsidRPr="00476C78" w:rsidRDefault="00000000">
      <w:pPr>
        <w:widowControl/>
        <w:numPr>
          <w:ilvl w:val="0"/>
          <w:numId w:val="12"/>
        </w:numPr>
        <w:pBdr>
          <w:top w:val="nil"/>
          <w:left w:val="nil"/>
          <w:bottom w:val="nil"/>
          <w:right w:val="nil"/>
          <w:between w:val="nil"/>
        </w:pBdr>
        <w:tabs>
          <w:tab w:val="center" w:pos="4153"/>
          <w:tab w:val="right" w:pos="8306"/>
        </w:tabs>
        <w:rPr>
          <w:bCs/>
          <w:color w:val="000000"/>
        </w:rPr>
      </w:pPr>
      <w:r w:rsidRPr="00476C78">
        <w:rPr>
          <w:rFonts w:ascii="Arial" w:eastAsia="Arial" w:hAnsi="Arial" w:cs="Arial"/>
          <w:bCs/>
          <w:color w:val="000000"/>
        </w:rPr>
        <w:t xml:space="preserve">Departments should apply the following SCS pay policies consistently for SCS staff: </w:t>
      </w:r>
    </w:p>
    <w:p w14:paraId="1ADC15CE" w14:textId="77777777" w:rsidR="009C6D88" w:rsidRPr="00476C78" w:rsidRDefault="009C6D88">
      <w:pPr>
        <w:widowControl/>
        <w:pBdr>
          <w:top w:val="nil"/>
          <w:left w:val="nil"/>
          <w:bottom w:val="nil"/>
          <w:right w:val="nil"/>
          <w:between w:val="nil"/>
        </w:pBdr>
        <w:tabs>
          <w:tab w:val="center" w:pos="4153"/>
          <w:tab w:val="right" w:pos="8306"/>
        </w:tabs>
        <w:ind w:hanging="2"/>
        <w:rPr>
          <w:rFonts w:ascii="Arial" w:eastAsia="Arial" w:hAnsi="Arial" w:cs="Arial"/>
          <w:bCs/>
          <w:color w:val="000000"/>
        </w:rPr>
      </w:pPr>
    </w:p>
    <w:p w14:paraId="083D2D2C" w14:textId="77777777" w:rsidR="009C6D88" w:rsidRPr="00476C78" w:rsidRDefault="00000000" w:rsidP="000F6523">
      <w:pPr>
        <w:pStyle w:val="ListParagraph"/>
        <w:widowControl/>
        <w:numPr>
          <w:ilvl w:val="0"/>
          <w:numId w:val="21"/>
        </w:numPr>
        <w:pBdr>
          <w:top w:val="nil"/>
          <w:left w:val="nil"/>
          <w:bottom w:val="nil"/>
          <w:right w:val="nil"/>
          <w:between w:val="nil"/>
        </w:pBdr>
        <w:jc w:val="left"/>
        <w:rPr>
          <w:rFonts w:ascii="Arial" w:eastAsia="Arial" w:hAnsi="Arial" w:cs="Arial"/>
          <w:bCs/>
          <w:color w:val="000000"/>
        </w:rPr>
      </w:pPr>
      <w:r w:rsidRPr="00476C78">
        <w:rPr>
          <w:rFonts w:ascii="Arial" w:eastAsia="Arial" w:hAnsi="Arial" w:cs="Arial"/>
          <w:bCs/>
          <w:color w:val="000000"/>
        </w:rPr>
        <w:t xml:space="preserve">That no increase is given for moves on level transfer; and </w:t>
      </w:r>
    </w:p>
    <w:p w14:paraId="2DFAA057" w14:textId="77777777" w:rsidR="009C6D88" w:rsidRPr="00476C78" w:rsidRDefault="00000000" w:rsidP="000F6523">
      <w:pPr>
        <w:pStyle w:val="ListParagraph"/>
        <w:widowControl/>
        <w:numPr>
          <w:ilvl w:val="0"/>
          <w:numId w:val="21"/>
        </w:numPr>
        <w:pBdr>
          <w:top w:val="nil"/>
          <w:left w:val="nil"/>
          <w:bottom w:val="nil"/>
          <w:right w:val="nil"/>
          <w:between w:val="nil"/>
        </w:pBdr>
        <w:jc w:val="left"/>
        <w:rPr>
          <w:rFonts w:ascii="Arial" w:eastAsia="Arial" w:hAnsi="Arial" w:cs="Arial"/>
          <w:bCs/>
          <w:color w:val="000000"/>
        </w:rPr>
      </w:pPr>
      <w:r w:rsidRPr="00476C78">
        <w:rPr>
          <w:rFonts w:ascii="Arial" w:eastAsia="Arial" w:hAnsi="Arial" w:cs="Arial"/>
          <w:bCs/>
          <w:color w:val="000000"/>
        </w:rPr>
        <w:t>On promotion, SCS receive no more than 10% increase or the minimum of the new grade (</w:t>
      </w:r>
      <w:r w:rsidRPr="00476C78">
        <w:rPr>
          <w:rFonts w:ascii="Arial" w:eastAsia="Arial" w:hAnsi="Arial" w:cs="Arial"/>
          <w:bCs/>
          <w:i/>
          <w:color w:val="000000"/>
        </w:rPr>
        <w:t>Note. this applies to all internal moves where a circa salary was advertised</w:t>
      </w:r>
      <w:r w:rsidRPr="00476C78">
        <w:rPr>
          <w:rFonts w:ascii="Arial" w:eastAsia="Arial" w:hAnsi="Arial" w:cs="Arial"/>
          <w:bCs/>
          <w:color w:val="000000"/>
        </w:rPr>
        <w:t>).</w:t>
      </w:r>
    </w:p>
    <w:p w14:paraId="02E5FBA8"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4BF40B89"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color w:val="000000"/>
        </w:rPr>
        <w:t xml:space="preserve">An exception process will, however, be available in cases where internal candidates are moving to roles with greater scale or responsibility for increases to be offered, with the agreement of the Permanent Secretary and the relevant Head of Profession. More detail on the process is set out in </w:t>
      </w:r>
      <w:r>
        <w:rPr>
          <w:rFonts w:ascii="Arial" w:eastAsia="Arial" w:hAnsi="Arial" w:cs="Arial"/>
          <w:b/>
          <w:color w:val="000000"/>
          <w:u w:val="single"/>
        </w:rPr>
        <w:t>Annex D</w:t>
      </w:r>
      <w:r>
        <w:rPr>
          <w:rFonts w:ascii="Arial" w:eastAsia="Arial" w:hAnsi="Arial" w:cs="Arial"/>
          <w:color w:val="000000"/>
        </w:rPr>
        <w:t>.</w:t>
      </w:r>
    </w:p>
    <w:p w14:paraId="6C6B66C1" w14:textId="77777777" w:rsidR="009C6D88" w:rsidRDefault="009C6D88">
      <w:pPr>
        <w:widowControl/>
        <w:pBdr>
          <w:top w:val="nil"/>
          <w:left w:val="nil"/>
          <w:bottom w:val="nil"/>
          <w:right w:val="nil"/>
          <w:between w:val="nil"/>
        </w:pBdr>
        <w:ind w:hanging="2"/>
        <w:jc w:val="left"/>
        <w:rPr>
          <w:rFonts w:ascii="Arial" w:eastAsia="Arial" w:hAnsi="Arial" w:cs="Arial"/>
          <w:color w:val="000000"/>
        </w:rPr>
      </w:pPr>
    </w:p>
    <w:p w14:paraId="6F51DEBD"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b/>
          <w:color w:val="000000"/>
        </w:rPr>
        <w:t xml:space="preserve">Cabinet Office will monitor use of this flexibility as part of the SSRB evidence gathering process, so please ensure that all exceptions are carried out against these criteria and recorded in the business case pro-forma provided. </w:t>
      </w:r>
    </w:p>
    <w:p w14:paraId="32DAF6C4"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15398BA8"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b/>
          <w:color w:val="000000"/>
        </w:rPr>
        <w:t xml:space="preserve">All </w:t>
      </w:r>
      <w:r>
        <w:rPr>
          <w:rFonts w:ascii="Arial" w:eastAsia="Arial" w:hAnsi="Arial" w:cs="Arial"/>
          <w:b/>
          <w:color w:val="000000"/>
          <w:u w:val="single"/>
        </w:rPr>
        <w:t>Pay Band 3</w:t>
      </w:r>
      <w:r>
        <w:rPr>
          <w:rFonts w:ascii="Arial" w:eastAsia="Arial" w:hAnsi="Arial" w:cs="Arial"/>
          <w:b/>
          <w:color w:val="000000"/>
        </w:rPr>
        <w:t xml:space="preserve"> business cases need approval by a Directors General Pay Committee and should be sent to </w:t>
      </w:r>
      <w:hyperlink r:id="rId8">
        <w:r>
          <w:rPr>
            <w:rFonts w:ascii="Arial" w:eastAsia="Arial" w:hAnsi="Arial" w:cs="Arial"/>
            <w:b/>
            <w:color w:val="0000FF"/>
            <w:u w:val="single"/>
          </w:rPr>
          <w:t>civilservicepay@cabinetoffice.gov.uk</w:t>
        </w:r>
      </w:hyperlink>
      <w:r>
        <w:rPr>
          <w:rFonts w:ascii="Arial" w:eastAsia="Arial" w:hAnsi="Arial" w:cs="Arial"/>
          <w:b/>
          <w:color w:val="000000"/>
        </w:rPr>
        <w:t xml:space="preserve"> </w:t>
      </w:r>
    </w:p>
    <w:p w14:paraId="5BAF6653"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72F56421" w14:textId="77777777" w:rsidR="009C6D88" w:rsidRDefault="00000000">
      <w:pPr>
        <w:widowControl/>
        <w:pBdr>
          <w:top w:val="nil"/>
          <w:left w:val="nil"/>
          <w:bottom w:val="nil"/>
          <w:right w:val="nil"/>
          <w:between w:val="nil"/>
        </w:pBdr>
        <w:ind w:hanging="2"/>
        <w:rPr>
          <w:rFonts w:ascii="Arial" w:eastAsia="Arial" w:hAnsi="Arial" w:cs="Arial"/>
          <w:color w:val="000000"/>
        </w:rPr>
      </w:pPr>
      <w:r>
        <w:rPr>
          <w:rFonts w:ascii="Arial" w:eastAsia="Arial" w:hAnsi="Arial" w:cs="Arial"/>
          <w:b/>
          <w:color w:val="000000"/>
        </w:rPr>
        <w:t>Exit information</w:t>
      </w:r>
    </w:p>
    <w:p w14:paraId="4B0F27FE"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b/>
          <w:color w:val="000000"/>
        </w:rPr>
      </w:pPr>
    </w:p>
    <w:p w14:paraId="1F7E2B98" w14:textId="77777777" w:rsidR="009C6D88" w:rsidRDefault="00000000">
      <w:pPr>
        <w:widowControl/>
        <w:numPr>
          <w:ilvl w:val="0"/>
          <w:numId w:val="12"/>
        </w:numPr>
        <w:pBdr>
          <w:top w:val="nil"/>
          <w:left w:val="nil"/>
          <w:bottom w:val="nil"/>
          <w:right w:val="nil"/>
          <w:between w:val="nil"/>
        </w:pBdr>
        <w:tabs>
          <w:tab w:val="center" w:pos="4153"/>
          <w:tab w:val="right" w:pos="8306"/>
        </w:tabs>
        <w:ind w:left="357" w:hanging="357"/>
        <w:rPr>
          <w:color w:val="000000"/>
        </w:rPr>
      </w:pPr>
      <w:r>
        <w:rPr>
          <w:rFonts w:ascii="Arial" w:eastAsia="Arial" w:hAnsi="Arial" w:cs="Arial"/>
          <w:color w:val="000000"/>
        </w:rPr>
        <w:t>Exit data is vitally important in understanding why senior staff leave the Civil Service. Cabinet Office (Civil Service Reward, TUPE and the Employment Framework Team, CSHR Expert Services) commissions this data four times a year. </w:t>
      </w:r>
    </w:p>
    <w:p w14:paraId="465B2469" w14:textId="77777777" w:rsidR="009C6D88" w:rsidRDefault="009C6D88">
      <w:pPr>
        <w:widowControl/>
        <w:pBdr>
          <w:top w:val="nil"/>
          <w:left w:val="nil"/>
          <w:bottom w:val="nil"/>
          <w:right w:val="nil"/>
          <w:between w:val="nil"/>
        </w:pBdr>
        <w:tabs>
          <w:tab w:val="center" w:pos="4153"/>
          <w:tab w:val="right" w:pos="8306"/>
        </w:tabs>
        <w:ind w:left="357" w:firstLine="0"/>
        <w:rPr>
          <w:rFonts w:ascii="Arial" w:eastAsia="Arial" w:hAnsi="Arial" w:cs="Arial"/>
          <w:b/>
          <w:color w:val="000000"/>
        </w:rPr>
      </w:pPr>
    </w:p>
    <w:p w14:paraId="3190A0D8"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color w:val="000000"/>
        </w:rPr>
        <w:t>HR Directors are personally accountable for ensuring exit interviews are properly conducted and timely returns made to the Cabinet Office and the appropriate forms are submitted.</w:t>
      </w:r>
      <w:r>
        <w:rPr>
          <w:rFonts w:ascii="Arial" w:eastAsia="Arial" w:hAnsi="Arial" w:cs="Arial"/>
          <w:b/>
          <w:color w:val="000000"/>
        </w:rPr>
        <w:t xml:space="preserve"> </w:t>
      </w:r>
      <w:r>
        <w:rPr>
          <w:rFonts w:ascii="Helvetica Neue" w:eastAsia="Helvetica Neue" w:hAnsi="Helvetica Neue" w:cs="Helvetica Neue"/>
          <w:color w:val="000000"/>
        </w:rPr>
        <w:t>Exit interviews should be undertaken by a HR Director within the department. If this is not possible, HR Directors may choose to nominate another colleague within a department’s HR function. </w:t>
      </w:r>
    </w:p>
    <w:p w14:paraId="53FC8FB3" w14:textId="77777777" w:rsidR="00476C78" w:rsidRDefault="00476C78">
      <w:pPr>
        <w:ind w:hanging="2"/>
        <w:rPr>
          <w:rFonts w:ascii="Arial" w:eastAsia="Arial" w:hAnsi="Arial" w:cs="Arial"/>
          <w:b/>
        </w:rPr>
      </w:pPr>
    </w:p>
    <w:p w14:paraId="3F5E9913" w14:textId="350D22CB" w:rsidR="009C6D88" w:rsidRDefault="00000000">
      <w:pPr>
        <w:ind w:hanging="2"/>
        <w:rPr>
          <w:rFonts w:ascii="Arial" w:eastAsia="Arial" w:hAnsi="Arial" w:cs="Arial"/>
        </w:rPr>
      </w:pPr>
      <w:r>
        <w:rPr>
          <w:rFonts w:ascii="Arial" w:eastAsia="Arial" w:hAnsi="Arial" w:cs="Arial"/>
          <w:b/>
        </w:rPr>
        <w:t xml:space="preserve">Senior executives in NDPBs </w:t>
      </w:r>
    </w:p>
    <w:p w14:paraId="2B2334C9" w14:textId="77777777" w:rsidR="009C6D88" w:rsidRDefault="009C6D88">
      <w:pPr>
        <w:ind w:hanging="2"/>
        <w:rPr>
          <w:rFonts w:ascii="Arial" w:eastAsia="Arial" w:hAnsi="Arial" w:cs="Arial"/>
        </w:rPr>
      </w:pPr>
    </w:p>
    <w:p w14:paraId="00ACD66B"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color w:val="000000"/>
        </w:rPr>
        <w:t>Senior NDPB executives are not members of the SCS and not in scope of SSRB’s remit. Nevertheless, they have an important leadership role in following public sector pay policy. Therefore, any annual pay increase or decision to award performance-</w:t>
      </w:r>
      <w:r>
        <w:rPr>
          <w:rFonts w:ascii="Arial" w:eastAsia="Arial" w:hAnsi="Arial" w:cs="Arial"/>
          <w:color w:val="000000"/>
        </w:rPr>
        <w:lastRenderedPageBreak/>
        <w:t xml:space="preserve">related pay to such staff should be considered alongside and according to the same general principles that apply to SCS in the rest of the organisation. Sponsor departments are responsible for enforcing this. </w:t>
      </w:r>
    </w:p>
    <w:p w14:paraId="01AA80B8"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0518CF04" w14:textId="77777777" w:rsidR="009C6D88" w:rsidRDefault="00000000">
      <w:pPr>
        <w:widowControl/>
        <w:pBdr>
          <w:top w:val="nil"/>
          <w:left w:val="nil"/>
          <w:bottom w:val="nil"/>
          <w:right w:val="nil"/>
          <w:between w:val="nil"/>
        </w:pBdr>
        <w:tabs>
          <w:tab w:val="center" w:pos="4153"/>
          <w:tab w:val="right" w:pos="8306"/>
        </w:tabs>
        <w:ind w:hanging="2"/>
        <w:rPr>
          <w:rFonts w:ascii="Arial" w:eastAsia="Arial" w:hAnsi="Arial" w:cs="Arial"/>
          <w:color w:val="000000"/>
        </w:rPr>
      </w:pPr>
      <w:r>
        <w:rPr>
          <w:rFonts w:ascii="Arial" w:eastAsia="Arial" w:hAnsi="Arial" w:cs="Arial"/>
          <w:b/>
          <w:color w:val="000000"/>
        </w:rPr>
        <w:t>Statutory Office Holders</w:t>
      </w:r>
    </w:p>
    <w:p w14:paraId="23CA85F6"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2B81EDBB" w14:textId="77777777" w:rsidR="009C6D88" w:rsidRDefault="00000000">
      <w:pPr>
        <w:widowControl/>
        <w:numPr>
          <w:ilvl w:val="0"/>
          <w:numId w:val="12"/>
        </w:numPr>
        <w:pBdr>
          <w:top w:val="nil"/>
          <w:left w:val="nil"/>
          <w:bottom w:val="nil"/>
          <w:right w:val="nil"/>
          <w:between w:val="nil"/>
        </w:pBdr>
        <w:tabs>
          <w:tab w:val="center" w:pos="4153"/>
          <w:tab w:val="right" w:pos="8306"/>
        </w:tabs>
        <w:rPr>
          <w:color w:val="000000"/>
        </w:rPr>
      </w:pPr>
      <w:r>
        <w:rPr>
          <w:rFonts w:ascii="Arial" w:eastAsia="Arial" w:hAnsi="Arial" w:cs="Arial"/>
          <w:color w:val="000000"/>
        </w:rPr>
        <w:t xml:space="preserve">From 1 April 2022, the salaries of statutory office holders whose pay is directly linked to movements in the SCS pay bands will increase by 3%. </w:t>
      </w:r>
    </w:p>
    <w:p w14:paraId="3289E49E" w14:textId="77777777" w:rsidR="009C6D88" w:rsidRDefault="009C6D88">
      <w:pPr>
        <w:ind w:hanging="2"/>
        <w:rPr>
          <w:rFonts w:ascii="Arial" w:eastAsia="Arial" w:hAnsi="Arial" w:cs="Arial"/>
        </w:rPr>
      </w:pPr>
    </w:p>
    <w:p w14:paraId="6F145863" w14:textId="77777777" w:rsidR="009C6D88" w:rsidRDefault="00000000">
      <w:pPr>
        <w:ind w:hanging="2"/>
        <w:rPr>
          <w:rFonts w:ascii="Arial" w:eastAsia="Arial" w:hAnsi="Arial" w:cs="Arial"/>
        </w:rPr>
      </w:pPr>
      <w:r>
        <w:rPr>
          <w:rFonts w:ascii="Arial" w:eastAsia="Arial" w:hAnsi="Arial" w:cs="Arial"/>
          <w:b/>
        </w:rPr>
        <w:t>Cabinet Office support</w:t>
      </w:r>
    </w:p>
    <w:p w14:paraId="7A8FC9BE" w14:textId="77777777" w:rsidR="009C6D88" w:rsidRDefault="009C6D88">
      <w:pPr>
        <w:ind w:hanging="2"/>
        <w:rPr>
          <w:rFonts w:ascii="Arial" w:eastAsia="Arial" w:hAnsi="Arial" w:cs="Arial"/>
        </w:rPr>
      </w:pPr>
    </w:p>
    <w:p w14:paraId="793B80EC" w14:textId="77777777" w:rsidR="009C6D88" w:rsidRDefault="00000000">
      <w:pPr>
        <w:widowControl/>
        <w:numPr>
          <w:ilvl w:val="0"/>
          <w:numId w:val="12"/>
        </w:numPr>
        <w:pBdr>
          <w:top w:val="nil"/>
          <w:left w:val="nil"/>
          <w:bottom w:val="nil"/>
          <w:right w:val="nil"/>
          <w:between w:val="nil"/>
        </w:pBdr>
        <w:tabs>
          <w:tab w:val="center" w:pos="4153"/>
          <w:tab w:val="right" w:pos="8306"/>
        </w:tabs>
      </w:pPr>
      <w:r>
        <w:rPr>
          <w:rFonts w:ascii="Arial" w:eastAsia="Arial" w:hAnsi="Arial" w:cs="Arial"/>
          <w:color w:val="000000"/>
        </w:rPr>
        <w:t xml:space="preserve">For any outstanding queries on SCS pay, SCS performance management, exit interview information and SCS Corporate Recognition Scheme, please contact: </w:t>
      </w:r>
      <w:hyperlink r:id="rId9">
        <w:r>
          <w:rPr>
            <w:rFonts w:ascii="Arial" w:eastAsia="Arial" w:hAnsi="Arial" w:cs="Arial"/>
            <w:color w:val="1155CC"/>
            <w:u w:val="single"/>
          </w:rPr>
          <w:t>civilservicepay@cabinetoffice.gov.uk</w:t>
        </w:r>
      </w:hyperlink>
    </w:p>
    <w:p w14:paraId="7ACDC428"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42EB3E6C" w14:textId="77777777" w:rsidR="009C6D88" w:rsidRDefault="00000000">
      <w:pPr>
        <w:pBdr>
          <w:top w:val="nil"/>
          <w:left w:val="nil"/>
          <w:bottom w:val="nil"/>
          <w:right w:val="nil"/>
          <w:between w:val="nil"/>
        </w:pBdr>
        <w:tabs>
          <w:tab w:val="center" w:pos="4153"/>
          <w:tab w:val="right" w:pos="8306"/>
        </w:tabs>
        <w:ind w:left="6480" w:firstLine="720"/>
        <w:rPr>
          <w:rFonts w:ascii="Arial" w:eastAsia="Arial" w:hAnsi="Arial" w:cs="Arial"/>
          <w:color w:val="000000"/>
        </w:rPr>
      </w:pPr>
      <w:r>
        <w:br w:type="page"/>
      </w:r>
    </w:p>
    <w:p w14:paraId="55C693DE" w14:textId="77777777" w:rsidR="009C6D88" w:rsidRDefault="00000000">
      <w:pPr>
        <w:widowControl/>
        <w:pBdr>
          <w:top w:val="nil"/>
          <w:left w:val="nil"/>
          <w:bottom w:val="nil"/>
          <w:right w:val="nil"/>
          <w:between w:val="nil"/>
        </w:pBdr>
        <w:spacing w:before="280" w:after="280" w:line="276" w:lineRule="auto"/>
        <w:ind w:hanging="2"/>
        <w:jc w:val="left"/>
        <w:rPr>
          <w:rFonts w:ascii="Arial" w:eastAsia="Arial" w:hAnsi="Arial" w:cs="Arial"/>
          <w:b/>
          <w:color w:val="000000"/>
        </w:rPr>
      </w:pPr>
      <w:r>
        <w:rPr>
          <w:rFonts w:ascii="Arial" w:eastAsia="Arial" w:hAnsi="Arial" w:cs="Arial"/>
          <w:b/>
          <w:color w:val="000000"/>
        </w:rPr>
        <w:lastRenderedPageBreak/>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u w:val="single"/>
        </w:rPr>
        <w:t>Annex A</w:t>
      </w:r>
      <w:r>
        <w:rPr>
          <w:rFonts w:ascii="Arial" w:eastAsia="Arial" w:hAnsi="Arial" w:cs="Arial"/>
          <w:b/>
        </w:rPr>
        <w:t xml:space="preserve"> </w:t>
      </w:r>
    </w:p>
    <w:p w14:paraId="3E23954C" w14:textId="77777777" w:rsidR="009C6D88" w:rsidRDefault="00000000">
      <w:pPr>
        <w:widowControl/>
        <w:pBdr>
          <w:top w:val="nil"/>
          <w:left w:val="nil"/>
          <w:bottom w:val="nil"/>
          <w:right w:val="nil"/>
          <w:between w:val="nil"/>
        </w:pBdr>
        <w:spacing w:before="280" w:after="280" w:line="276" w:lineRule="auto"/>
        <w:ind w:hanging="2"/>
        <w:jc w:val="left"/>
        <w:rPr>
          <w:rFonts w:ascii="Arial" w:eastAsia="Arial" w:hAnsi="Arial" w:cs="Arial"/>
          <w:b/>
          <w:color w:val="000000"/>
        </w:rPr>
      </w:pPr>
      <w:r>
        <w:rPr>
          <w:rFonts w:ascii="Arial" w:eastAsia="Arial" w:hAnsi="Arial" w:cs="Arial"/>
          <w:b/>
          <w:color w:val="000000"/>
        </w:rPr>
        <w:t xml:space="preserve">Guide on control process for Pivotal Role Allowance </w:t>
      </w:r>
    </w:p>
    <w:p w14:paraId="762362CB" w14:textId="77777777" w:rsidR="009C6D88" w:rsidRDefault="00000000">
      <w:pPr>
        <w:widowControl/>
        <w:pBdr>
          <w:top w:val="nil"/>
          <w:left w:val="nil"/>
          <w:bottom w:val="nil"/>
          <w:right w:val="nil"/>
          <w:between w:val="nil"/>
        </w:pBdr>
        <w:spacing w:before="280" w:after="280" w:line="276" w:lineRule="auto"/>
        <w:ind w:hanging="2"/>
        <w:jc w:val="left"/>
        <w:rPr>
          <w:rFonts w:ascii="Arial" w:eastAsia="Arial" w:hAnsi="Arial" w:cs="Arial"/>
          <w:color w:val="000000"/>
          <w:u w:val="single"/>
        </w:rPr>
      </w:pPr>
      <w:r>
        <w:rPr>
          <w:rFonts w:ascii="Arial" w:eastAsia="Arial" w:hAnsi="Arial" w:cs="Arial"/>
          <w:color w:val="000000"/>
          <w:u w:val="single"/>
        </w:rPr>
        <w:t>Background</w:t>
      </w:r>
    </w:p>
    <w:p w14:paraId="4691EBF3" w14:textId="77777777" w:rsidR="009C6D88" w:rsidRDefault="00000000">
      <w:pPr>
        <w:widowControl/>
        <w:numPr>
          <w:ilvl w:val="0"/>
          <w:numId w:val="20"/>
        </w:numPr>
        <w:pBdr>
          <w:top w:val="nil"/>
          <w:left w:val="nil"/>
          <w:bottom w:val="nil"/>
          <w:right w:val="nil"/>
          <w:between w:val="nil"/>
        </w:pBdr>
        <w:shd w:val="clear" w:color="auto" w:fill="FFFFFF"/>
        <w:spacing w:line="276" w:lineRule="auto"/>
        <w:jc w:val="left"/>
        <w:rPr>
          <w:rFonts w:ascii="Arial" w:eastAsia="Arial" w:hAnsi="Arial" w:cs="Arial"/>
          <w:color w:val="000000"/>
        </w:rPr>
      </w:pPr>
      <w:r>
        <w:rPr>
          <w:rFonts w:ascii="Arial" w:eastAsia="Arial" w:hAnsi="Arial" w:cs="Arial"/>
          <w:color w:val="000000"/>
        </w:rPr>
        <w:t xml:space="preserve">The purpose of Pivotal Role Allowance is to retain experienced members of the SCS in highly specialised roles and those delivering the riskiest major projects across government and other priorities. </w:t>
      </w:r>
    </w:p>
    <w:p w14:paraId="671599D3" w14:textId="77777777" w:rsidR="009C6D88" w:rsidRDefault="00000000">
      <w:pPr>
        <w:widowControl/>
        <w:numPr>
          <w:ilvl w:val="0"/>
          <w:numId w:val="20"/>
        </w:numPr>
        <w:pBdr>
          <w:top w:val="nil"/>
          <w:left w:val="nil"/>
          <w:bottom w:val="nil"/>
          <w:right w:val="nil"/>
          <w:between w:val="nil"/>
        </w:pBdr>
        <w:shd w:val="clear" w:color="auto" w:fill="FFFFFF"/>
        <w:spacing w:line="276" w:lineRule="auto"/>
        <w:jc w:val="left"/>
        <w:rPr>
          <w:rFonts w:ascii="Arial" w:eastAsia="Arial" w:hAnsi="Arial" w:cs="Arial"/>
          <w:color w:val="000000"/>
        </w:rPr>
      </w:pPr>
      <w:r>
        <w:rPr>
          <w:rFonts w:ascii="Arial" w:eastAsia="Arial" w:hAnsi="Arial" w:cs="Arial"/>
          <w:color w:val="000000"/>
        </w:rPr>
        <w:t xml:space="preserve">The non-consolidated allowance is removable and non-pensionable and is strictly controlled within a notional central pot set at 0.5% of the overall SCS pay bill. </w:t>
      </w:r>
    </w:p>
    <w:p w14:paraId="42BB179B" w14:textId="77777777" w:rsidR="009C6D88" w:rsidRDefault="00000000">
      <w:pPr>
        <w:widowControl/>
        <w:numPr>
          <w:ilvl w:val="0"/>
          <w:numId w:val="20"/>
        </w:numPr>
        <w:pBdr>
          <w:top w:val="nil"/>
          <w:left w:val="nil"/>
          <w:bottom w:val="nil"/>
          <w:right w:val="nil"/>
          <w:between w:val="nil"/>
        </w:pBdr>
        <w:shd w:val="clear" w:color="auto" w:fill="FFFFFF"/>
        <w:spacing w:line="276" w:lineRule="auto"/>
        <w:jc w:val="left"/>
        <w:rPr>
          <w:rFonts w:ascii="Arial" w:eastAsia="Arial" w:hAnsi="Arial" w:cs="Arial"/>
          <w:color w:val="000000"/>
        </w:rPr>
      </w:pPr>
      <w:r>
        <w:rPr>
          <w:rFonts w:ascii="Arial" w:eastAsia="Arial" w:hAnsi="Arial" w:cs="Arial"/>
          <w:color w:val="000000"/>
        </w:rPr>
        <w:t>The allowance relates to the role, not the individual. The allowance should be removed when the recipient leaves the role or the role is longer business critical to the organisation. This ensures that funds are recycled back into the central notional pot for future cases.</w:t>
      </w:r>
    </w:p>
    <w:p w14:paraId="1E857AFD" w14:textId="77777777" w:rsidR="009C6D88" w:rsidRDefault="00000000">
      <w:pPr>
        <w:widowControl/>
        <w:numPr>
          <w:ilvl w:val="0"/>
          <w:numId w:val="20"/>
        </w:numPr>
        <w:pBdr>
          <w:top w:val="nil"/>
          <w:left w:val="nil"/>
          <w:bottom w:val="nil"/>
          <w:right w:val="nil"/>
          <w:between w:val="nil"/>
        </w:pBdr>
        <w:shd w:val="clear" w:color="auto" w:fill="FFFFFF"/>
        <w:spacing w:line="276" w:lineRule="auto"/>
        <w:jc w:val="left"/>
        <w:rPr>
          <w:rFonts w:ascii="Arial" w:eastAsia="Arial" w:hAnsi="Arial" w:cs="Arial"/>
          <w:color w:val="000000"/>
        </w:rPr>
      </w:pPr>
      <w:r>
        <w:rPr>
          <w:rFonts w:ascii="Arial" w:eastAsia="Arial" w:hAnsi="Arial" w:cs="Arial"/>
          <w:color w:val="000000"/>
        </w:rPr>
        <w:t xml:space="preserve">All cases require the approval of a Cabinet Office minister (and the Chief Secretary to the Treasury for cases with an annual value exceeding £15,000). All cases need prior clearance from a Permanent Secretary Sub-Group, currently comprising the Civil Service Chief Operating Officer and the Permanent Secretary of the Treasury. </w:t>
      </w:r>
    </w:p>
    <w:p w14:paraId="01CC020C" w14:textId="77777777" w:rsidR="009C6D88" w:rsidRDefault="00000000">
      <w:pPr>
        <w:spacing w:before="280" w:after="280" w:line="276" w:lineRule="auto"/>
        <w:ind w:hanging="2"/>
        <w:rPr>
          <w:rFonts w:ascii="Arial" w:eastAsia="Arial" w:hAnsi="Arial" w:cs="Arial"/>
          <w:u w:val="single"/>
        </w:rPr>
      </w:pPr>
      <w:r>
        <w:rPr>
          <w:rFonts w:ascii="Arial" w:eastAsia="Arial" w:hAnsi="Arial" w:cs="Arial"/>
          <w:u w:val="single"/>
        </w:rPr>
        <w:t>Qualifying criteria</w:t>
      </w:r>
    </w:p>
    <w:p w14:paraId="0A773A70" w14:textId="77777777" w:rsidR="009C6D88" w:rsidRDefault="00000000">
      <w:pPr>
        <w:widowControl/>
        <w:numPr>
          <w:ilvl w:val="0"/>
          <w:numId w:val="20"/>
        </w:numPr>
        <w:pBdr>
          <w:top w:val="nil"/>
          <w:left w:val="nil"/>
          <w:bottom w:val="nil"/>
          <w:right w:val="nil"/>
          <w:between w:val="nil"/>
        </w:pBdr>
        <w:shd w:val="clear" w:color="auto" w:fill="FFFFFF"/>
        <w:spacing w:line="276" w:lineRule="auto"/>
        <w:jc w:val="left"/>
        <w:rPr>
          <w:rFonts w:ascii="Arial" w:eastAsia="Arial" w:hAnsi="Arial" w:cs="Arial"/>
          <w:color w:val="000000"/>
        </w:rPr>
      </w:pPr>
      <w:r>
        <w:rPr>
          <w:rFonts w:ascii="Arial" w:eastAsia="Arial" w:hAnsi="Arial" w:cs="Arial"/>
          <w:color w:val="000000"/>
        </w:rPr>
        <w:t>Any proposal to pay the allowance must meet four qualifying criteria:</w:t>
      </w:r>
    </w:p>
    <w:p w14:paraId="1B099762" w14:textId="77777777" w:rsidR="009C6D88" w:rsidRDefault="00000000">
      <w:pPr>
        <w:numPr>
          <w:ilvl w:val="1"/>
          <w:numId w:val="1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The role is critical to delivering the strategic goals of the organisation. </w:t>
      </w:r>
    </w:p>
    <w:p w14:paraId="5A015A04" w14:textId="77777777" w:rsidR="009C6D88" w:rsidRDefault="00000000">
      <w:pPr>
        <w:numPr>
          <w:ilvl w:val="1"/>
          <w:numId w:val="1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There will be a disproportionately large impact on the business if left unfilled.</w:t>
      </w:r>
    </w:p>
    <w:p w14:paraId="00E72ABB" w14:textId="77777777" w:rsidR="009C6D88" w:rsidRDefault="00000000">
      <w:pPr>
        <w:numPr>
          <w:ilvl w:val="1"/>
          <w:numId w:val="1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The role requires specific skills that are not easily available in the Civil Service. </w:t>
      </w:r>
    </w:p>
    <w:p w14:paraId="3F5EE681" w14:textId="77777777" w:rsidR="009C6D88" w:rsidRDefault="00000000">
      <w:pPr>
        <w:numPr>
          <w:ilvl w:val="1"/>
          <w:numId w:val="19"/>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There is a genuine flight risk.</w:t>
      </w:r>
    </w:p>
    <w:p w14:paraId="36BDC0E6" w14:textId="77777777" w:rsidR="009C6D88" w:rsidRDefault="00000000">
      <w:pPr>
        <w:spacing w:before="280" w:after="280" w:line="276" w:lineRule="auto"/>
        <w:ind w:hanging="2"/>
        <w:rPr>
          <w:rFonts w:ascii="Arial" w:eastAsia="Arial" w:hAnsi="Arial" w:cs="Arial"/>
          <w:color w:val="222222"/>
        </w:rPr>
      </w:pPr>
      <w:r>
        <w:rPr>
          <w:rFonts w:ascii="Arial" w:eastAsia="Arial" w:hAnsi="Arial" w:cs="Arial"/>
          <w:u w:val="single"/>
        </w:rPr>
        <w:t xml:space="preserve">Key conditions  </w:t>
      </w:r>
    </w:p>
    <w:p w14:paraId="289E1B49" w14:textId="77777777" w:rsidR="009C6D88" w:rsidRDefault="00000000">
      <w:pPr>
        <w:widowControl/>
        <w:numPr>
          <w:ilvl w:val="0"/>
          <w:numId w:val="20"/>
        </w:numPr>
        <w:pBdr>
          <w:top w:val="nil"/>
          <w:left w:val="nil"/>
          <w:bottom w:val="nil"/>
          <w:right w:val="nil"/>
          <w:between w:val="nil"/>
        </w:pBdr>
        <w:shd w:val="clear" w:color="auto" w:fill="FFFFFF"/>
        <w:spacing w:line="276" w:lineRule="auto"/>
        <w:jc w:val="left"/>
        <w:rPr>
          <w:rFonts w:ascii="Arial" w:eastAsia="Arial" w:hAnsi="Arial" w:cs="Arial"/>
          <w:color w:val="222222"/>
        </w:rPr>
      </w:pPr>
      <w:r>
        <w:rPr>
          <w:rFonts w:ascii="Arial" w:eastAsia="Arial" w:hAnsi="Arial" w:cs="Arial"/>
          <w:color w:val="222222"/>
        </w:rPr>
        <w:t xml:space="preserve">PRA is a retention tool to retain skills and experience in role. It is not an attraction measure or incentive for new staff. </w:t>
      </w:r>
    </w:p>
    <w:p w14:paraId="5489904B" w14:textId="77777777" w:rsidR="009C6D88" w:rsidRDefault="00000000">
      <w:pPr>
        <w:widowControl/>
        <w:numPr>
          <w:ilvl w:val="0"/>
          <w:numId w:val="20"/>
        </w:numPr>
        <w:pBdr>
          <w:top w:val="nil"/>
          <w:left w:val="nil"/>
          <w:bottom w:val="nil"/>
          <w:right w:val="nil"/>
          <w:between w:val="nil"/>
        </w:pBdr>
        <w:shd w:val="clear" w:color="auto" w:fill="FFFFFF"/>
        <w:spacing w:line="276" w:lineRule="auto"/>
        <w:jc w:val="left"/>
        <w:rPr>
          <w:rFonts w:ascii="Arial" w:eastAsia="Arial" w:hAnsi="Arial" w:cs="Arial"/>
          <w:color w:val="222222"/>
        </w:rPr>
      </w:pPr>
      <w:r>
        <w:rPr>
          <w:rFonts w:ascii="Arial" w:eastAsia="Arial" w:hAnsi="Arial" w:cs="Arial"/>
          <w:color w:val="222222"/>
        </w:rPr>
        <w:t>The flight risk must be demonstrated (evidence that the incumbent is looking for a new role or being headhunted etc).</w:t>
      </w:r>
    </w:p>
    <w:p w14:paraId="3C715FBE" w14:textId="77777777" w:rsidR="009C6D88" w:rsidRDefault="00000000">
      <w:pPr>
        <w:widowControl/>
        <w:numPr>
          <w:ilvl w:val="0"/>
          <w:numId w:val="20"/>
        </w:numPr>
        <w:pBdr>
          <w:top w:val="nil"/>
          <w:left w:val="nil"/>
          <w:bottom w:val="nil"/>
          <w:right w:val="nil"/>
          <w:between w:val="nil"/>
        </w:pBdr>
        <w:shd w:val="clear" w:color="auto" w:fill="FFFFFF"/>
        <w:spacing w:line="276" w:lineRule="auto"/>
        <w:jc w:val="left"/>
        <w:rPr>
          <w:rFonts w:ascii="Arial" w:eastAsia="Arial" w:hAnsi="Arial" w:cs="Arial"/>
          <w:color w:val="222222"/>
        </w:rPr>
      </w:pPr>
      <w:r>
        <w:rPr>
          <w:rFonts w:ascii="Arial" w:eastAsia="Arial" w:hAnsi="Arial" w:cs="Arial"/>
          <w:color w:val="222222"/>
        </w:rPr>
        <w:t xml:space="preserve">PRAs must be linked to clearly defined and easily understood outcomes, supported by specific, measurable and meaningful milestones. These must be set out in the business case.  </w:t>
      </w:r>
    </w:p>
    <w:p w14:paraId="6472D556" w14:textId="77777777" w:rsidR="009C6D88" w:rsidRDefault="00000000">
      <w:pPr>
        <w:widowControl/>
        <w:numPr>
          <w:ilvl w:val="0"/>
          <w:numId w:val="20"/>
        </w:numPr>
        <w:pBdr>
          <w:top w:val="nil"/>
          <w:left w:val="nil"/>
          <w:bottom w:val="nil"/>
          <w:right w:val="nil"/>
          <w:between w:val="nil"/>
        </w:pBdr>
        <w:shd w:val="clear" w:color="auto" w:fill="FFFFFF"/>
        <w:spacing w:line="276" w:lineRule="auto"/>
        <w:jc w:val="left"/>
        <w:rPr>
          <w:rFonts w:ascii="Arial" w:eastAsia="Arial" w:hAnsi="Arial" w:cs="Arial"/>
          <w:color w:val="222222"/>
        </w:rPr>
      </w:pPr>
      <w:r>
        <w:rPr>
          <w:rFonts w:ascii="Arial" w:eastAsia="Arial" w:hAnsi="Arial" w:cs="Arial"/>
          <w:color w:val="222222"/>
        </w:rPr>
        <w:t>Payment should be in instalments and tied explicitly to achievement of milestones that will support outcomes. Equal payments paid with salary will not normally be agreed.  </w:t>
      </w:r>
    </w:p>
    <w:p w14:paraId="246F31DD" w14:textId="77777777" w:rsidR="009C6D88" w:rsidRDefault="00000000">
      <w:pPr>
        <w:widowControl/>
        <w:numPr>
          <w:ilvl w:val="0"/>
          <w:numId w:val="20"/>
        </w:numPr>
        <w:pBdr>
          <w:top w:val="nil"/>
          <w:left w:val="nil"/>
          <w:bottom w:val="nil"/>
          <w:right w:val="nil"/>
          <w:between w:val="nil"/>
        </w:pBdr>
        <w:shd w:val="clear" w:color="auto" w:fill="FFFFFF"/>
        <w:spacing w:line="276" w:lineRule="auto"/>
        <w:jc w:val="left"/>
        <w:rPr>
          <w:rFonts w:ascii="Arial" w:eastAsia="Arial" w:hAnsi="Arial" w:cs="Arial"/>
          <w:color w:val="222222"/>
        </w:rPr>
      </w:pPr>
      <w:r>
        <w:rPr>
          <w:rFonts w:ascii="Arial" w:eastAsia="Arial" w:hAnsi="Arial" w:cs="Arial"/>
          <w:color w:val="222222"/>
        </w:rPr>
        <w:t>Where appropriate, the level of instalments should be backloaded to incentivise recipients to remain in post.</w:t>
      </w:r>
    </w:p>
    <w:p w14:paraId="58D8BB28" w14:textId="77777777" w:rsidR="009C6D88" w:rsidRDefault="00000000">
      <w:pPr>
        <w:widowControl/>
        <w:numPr>
          <w:ilvl w:val="0"/>
          <w:numId w:val="20"/>
        </w:numPr>
        <w:pBdr>
          <w:top w:val="nil"/>
          <w:left w:val="nil"/>
          <w:bottom w:val="nil"/>
          <w:right w:val="nil"/>
          <w:between w:val="nil"/>
        </w:pBdr>
        <w:shd w:val="clear" w:color="auto" w:fill="FFFFFF"/>
        <w:spacing w:line="276" w:lineRule="auto"/>
        <w:jc w:val="left"/>
        <w:rPr>
          <w:rFonts w:ascii="Arial" w:eastAsia="Arial" w:hAnsi="Arial" w:cs="Arial"/>
          <w:color w:val="222222"/>
        </w:rPr>
      </w:pPr>
      <w:r>
        <w:rPr>
          <w:rFonts w:ascii="Arial" w:eastAsia="Arial" w:hAnsi="Arial" w:cs="Arial"/>
          <w:color w:val="222222"/>
        </w:rPr>
        <w:t>The Accounting Officer is responsible for assessing and authorising payment. </w:t>
      </w:r>
    </w:p>
    <w:p w14:paraId="0D90DF80" w14:textId="77777777" w:rsidR="009C6D88" w:rsidRDefault="00000000">
      <w:pPr>
        <w:widowControl/>
        <w:numPr>
          <w:ilvl w:val="0"/>
          <w:numId w:val="20"/>
        </w:numPr>
        <w:pBdr>
          <w:top w:val="nil"/>
          <w:left w:val="nil"/>
          <w:bottom w:val="nil"/>
          <w:right w:val="nil"/>
          <w:between w:val="nil"/>
        </w:pBdr>
        <w:shd w:val="clear" w:color="auto" w:fill="FFFFFF"/>
        <w:spacing w:line="276" w:lineRule="auto"/>
        <w:jc w:val="left"/>
        <w:rPr>
          <w:rFonts w:ascii="Arial" w:eastAsia="Arial" w:hAnsi="Arial" w:cs="Arial"/>
          <w:color w:val="222222"/>
        </w:rPr>
      </w:pPr>
      <w:r>
        <w:rPr>
          <w:rFonts w:ascii="Arial" w:eastAsia="Arial" w:hAnsi="Arial" w:cs="Arial"/>
          <w:color w:val="222222"/>
        </w:rPr>
        <w:t>For specialist roles, Heads of Professions (</w:t>
      </w:r>
      <w:proofErr w:type="spellStart"/>
      <w:r>
        <w:rPr>
          <w:rFonts w:ascii="Arial" w:eastAsia="Arial" w:hAnsi="Arial" w:cs="Arial"/>
          <w:color w:val="222222"/>
        </w:rPr>
        <w:t>HoP</w:t>
      </w:r>
      <w:proofErr w:type="spellEnd"/>
      <w:r>
        <w:rPr>
          <w:rFonts w:ascii="Arial" w:eastAsia="Arial" w:hAnsi="Arial" w:cs="Arial"/>
          <w:color w:val="222222"/>
        </w:rPr>
        <w:t xml:space="preserve">) should be consulted first. The role of the </w:t>
      </w:r>
      <w:proofErr w:type="spellStart"/>
      <w:r>
        <w:rPr>
          <w:rFonts w:ascii="Arial" w:eastAsia="Arial" w:hAnsi="Arial" w:cs="Arial"/>
          <w:color w:val="222222"/>
        </w:rPr>
        <w:t>HoP</w:t>
      </w:r>
      <w:proofErr w:type="spellEnd"/>
      <w:r>
        <w:rPr>
          <w:rFonts w:ascii="Arial" w:eastAsia="Arial" w:hAnsi="Arial" w:cs="Arial"/>
          <w:color w:val="222222"/>
        </w:rPr>
        <w:t xml:space="preserve"> in this process is to provide both technical and profession specific insights on the role in terms of its responsibilities, scope and technical capabilities; which is considered alongside the flight risk and the business impact of the incumbent leaving.  </w:t>
      </w:r>
    </w:p>
    <w:p w14:paraId="09DAEF8B" w14:textId="77777777" w:rsidR="009C6D88" w:rsidRDefault="00000000">
      <w:pPr>
        <w:widowControl/>
        <w:numPr>
          <w:ilvl w:val="0"/>
          <w:numId w:val="20"/>
        </w:numPr>
        <w:pBdr>
          <w:top w:val="nil"/>
          <w:left w:val="nil"/>
          <w:bottom w:val="nil"/>
          <w:right w:val="nil"/>
          <w:between w:val="nil"/>
        </w:pBdr>
        <w:shd w:val="clear" w:color="auto" w:fill="FFFFFF"/>
        <w:spacing w:line="276" w:lineRule="auto"/>
        <w:jc w:val="left"/>
        <w:rPr>
          <w:rFonts w:ascii="Arial" w:eastAsia="Arial" w:hAnsi="Arial" w:cs="Arial"/>
          <w:color w:val="222222"/>
        </w:rPr>
      </w:pPr>
      <w:bookmarkStart w:id="2" w:name="_tyjcwt" w:colFirst="0" w:colLast="0"/>
      <w:bookmarkEnd w:id="2"/>
      <w:r>
        <w:rPr>
          <w:rFonts w:ascii="Arial" w:eastAsia="Arial" w:hAnsi="Arial" w:cs="Arial"/>
          <w:color w:val="222222"/>
        </w:rPr>
        <w:lastRenderedPageBreak/>
        <w:t>The payment level is not prescribed, but should be proportionate to timescales. For illustrative purposes: 24 months - up to £20,000 in total; 18 months - up to £15,000; 12 months - up to £10,000; 6 months - up to £5,000. This is a guide only and the criticality of the role, scarcity of skills and flight risk will be considered for cases proposing to exceed these indicative rates. </w:t>
      </w:r>
    </w:p>
    <w:p w14:paraId="2F246A42" w14:textId="77777777" w:rsidR="009C6D88" w:rsidRDefault="00000000">
      <w:pPr>
        <w:widowControl/>
        <w:numPr>
          <w:ilvl w:val="0"/>
          <w:numId w:val="20"/>
        </w:numPr>
        <w:pBdr>
          <w:top w:val="nil"/>
          <w:left w:val="nil"/>
          <w:bottom w:val="nil"/>
          <w:right w:val="nil"/>
          <w:between w:val="nil"/>
        </w:pBdr>
        <w:shd w:val="clear" w:color="auto" w:fill="FFFFFF"/>
        <w:spacing w:line="276" w:lineRule="auto"/>
        <w:jc w:val="left"/>
        <w:rPr>
          <w:rFonts w:ascii="Arial" w:eastAsia="Arial" w:hAnsi="Arial" w:cs="Arial"/>
          <w:color w:val="222222"/>
        </w:rPr>
      </w:pPr>
      <w:r>
        <w:rPr>
          <w:rFonts w:ascii="Arial" w:eastAsia="Arial" w:hAnsi="Arial" w:cs="Arial"/>
          <w:color w:val="222222"/>
          <w:highlight w:val="white"/>
        </w:rPr>
        <w:t>In certain cases, for example where the level of the payment is high and/or the timescale is unusually short, there may be a greater reporting role to Cabinet Office Ministers</w:t>
      </w:r>
    </w:p>
    <w:p w14:paraId="230D39C0" w14:textId="77777777" w:rsidR="009C6D88" w:rsidRDefault="00000000">
      <w:pPr>
        <w:pBdr>
          <w:top w:val="nil"/>
          <w:left w:val="nil"/>
          <w:bottom w:val="nil"/>
          <w:right w:val="nil"/>
          <w:between w:val="nil"/>
        </w:pBdr>
        <w:tabs>
          <w:tab w:val="left" w:pos="1418"/>
        </w:tabs>
        <w:spacing w:before="280" w:after="280" w:line="276" w:lineRule="auto"/>
        <w:ind w:hanging="2"/>
        <w:jc w:val="left"/>
        <w:rPr>
          <w:rFonts w:ascii="Arial" w:eastAsia="Arial" w:hAnsi="Arial" w:cs="Arial"/>
          <w:color w:val="000000"/>
          <w:u w:val="single"/>
        </w:rPr>
      </w:pPr>
      <w:r>
        <w:rPr>
          <w:rFonts w:ascii="Arial" w:eastAsia="Arial" w:hAnsi="Arial" w:cs="Arial"/>
          <w:color w:val="000000"/>
          <w:u w:val="single"/>
        </w:rPr>
        <w:t>Monitoring</w:t>
      </w:r>
    </w:p>
    <w:p w14:paraId="4D6D3113" w14:textId="77777777" w:rsidR="009C6D88" w:rsidRDefault="00000000">
      <w:pPr>
        <w:widowControl/>
        <w:numPr>
          <w:ilvl w:val="0"/>
          <w:numId w:val="20"/>
        </w:numPr>
        <w:pBdr>
          <w:top w:val="nil"/>
          <w:left w:val="nil"/>
          <w:bottom w:val="nil"/>
          <w:right w:val="nil"/>
          <w:between w:val="nil"/>
        </w:pBdr>
        <w:shd w:val="clear" w:color="auto" w:fill="FFFFFF"/>
        <w:spacing w:line="276" w:lineRule="auto"/>
        <w:jc w:val="left"/>
        <w:rPr>
          <w:rFonts w:ascii="Arial" w:eastAsia="Arial" w:hAnsi="Arial" w:cs="Arial"/>
          <w:color w:val="222222"/>
          <w:highlight w:val="white"/>
        </w:rPr>
      </w:pPr>
      <w:r>
        <w:rPr>
          <w:rFonts w:ascii="Arial" w:eastAsia="Arial" w:hAnsi="Arial" w:cs="Arial"/>
          <w:color w:val="222222"/>
          <w:highlight w:val="white"/>
        </w:rPr>
        <w:t>Accounting Officers must be able to properly measure the milestones that are set alongside the award. As part of evidence gathering for the annual Review Body process, Cabinet Office will conduct annual surveys to ensure that the PRA is being used effectively.</w:t>
      </w:r>
    </w:p>
    <w:p w14:paraId="710073D3" w14:textId="77777777" w:rsidR="009C6D88" w:rsidRDefault="00000000">
      <w:pPr>
        <w:widowControl/>
        <w:numPr>
          <w:ilvl w:val="0"/>
          <w:numId w:val="20"/>
        </w:numPr>
        <w:pBdr>
          <w:top w:val="nil"/>
          <w:left w:val="nil"/>
          <w:bottom w:val="nil"/>
          <w:right w:val="nil"/>
          <w:between w:val="nil"/>
        </w:pBdr>
        <w:shd w:val="clear" w:color="auto" w:fill="FFFFFF"/>
        <w:spacing w:line="276" w:lineRule="auto"/>
        <w:jc w:val="left"/>
        <w:rPr>
          <w:rFonts w:ascii="Arial" w:eastAsia="Arial" w:hAnsi="Arial" w:cs="Arial"/>
          <w:color w:val="000000"/>
        </w:rPr>
      </w:pPr>
      <w:r>
        <w:rPr>
          <w:rFonts w:ascii="Arial" w:eastAsia="Arial" w:hAnsi="Arial" w:cs="Arial"/>
          <w:color w:val="000000"/>
        </w:rPr>
        <w:t>Departments must review the PRA every six months to ensure that the role remains business critical to the organisation and to ensure that outcomes and milestones are up to date.</w:t>
      </w:r>
    </w:p>
    <w:p w14:paraId="39686242" w14:textId="77777777" w:rsidR="009C6D88" w:rsidRDefault="00000000">
      <w:pPr>
        <w:spacing w:before="280" w:after="280" w:line="276" w:lineRule="auto"/>
        <w:ind w:hanging="2"/>
        <w:rPr>
          <w:rFonts w:ascii="Arial" w:eastAsia="Arial" w:hAnsi="Arial" w:cs="Arial"/>
          <w:u w:val="single"/>
        </w:rPr>
      </w:pPr>
      <w:r>
        <w:rPr>
          <w:rFonts w:ascii="Arial" w:eastAsia="Arial" w:hAnsi="Arial" w:cs="Arial"/>
          <w:u w:val="single"/>
        </w:rPr>
        <w:t>Process</w:t>
      </w:r>
    </w:p>
    <w:p w14:paraId="748E5A83" w14:textId="77777777" w:rsidR="009C6D88" w:rsidRDefault="00000000">
      <w:pPr>
        <w:widowControl/>
        <w:numPr>
          <w:ilvl w:val="0"/>
          <w:numId w:val="20"/>
        </w:numPr>
        <w:pBdr>
          <w:top w:val="nil"/>
          <w:left w:val="nil"/>
          <w:bottom w:val="nil"/>
          <w:right w:val="nil"/>
          <w:between w:val="nil"/>
        </w:pBdr>
        <w:shd w:val="clear" w:color="auto" w:fill="FFFFFF"/>
        <w:spacing w:line="276" w:lineRule="auto"/>
        <w:jc w:val="left"/>
        <w:rPr>
          <w:rFonts w:ascii="Arial" w:eastAsia="Arial" w:hAnsi="Arial" w:cs="Arial"/>
          <w:color w:val="000000"/>
        </w:rPr>
      </w:pPr>
      <w:r>
        <w:rPr>
          <w:rFonts w:ascii="Arial" w:eastAsia="Arial" w:hAnsi="Arial" w:cs="Arial"/>
          <w:color w:val="000000"/>
        </w:rPr>
        <w:t xml:space="preserve">The approval process operates as follows: </w:t>
      </w:r>
    </w:p>
    <w:p w14:paraId="143339F2" w14:textId="77777777" w:rsidR="009C6D88" w:rsidRDefault="00000000">
      <w:pPr>
        <w:numPr>
          <w:ilvl w:val="1"/>
          <w:numId w:val="20"/>
        </w:numPr>
        <w:pBdr>
          <w:top w:val="nil"/>
          <w:left w:val="nil"/>
          <w:bottom w:val="nil"/>
          <w:right w:val="nil"/>
          <w:between w:val="nil"/>
        </w:pBdr>
        <w:spacing w:line="276" w:lineRule="auto"/>
        <w:jc w:val="left"/>
        <w:rPr>
          <w:rFonts w:ascii="Arial" w:eastAsia="Arial" w:hAnsi="Arial" w:cs="Arial"/>
          <w:color w:val="000000"/>
        </w:rPr>
      </w:pPr>
      <w:r>
        <w:rPr>
          <w:rFonts w:ascii="Arial" w:eastAsia="Arial" w:hAnsi="Arial" w:cs="Arial"/>
          <w:color w:val="000000"/>
        </w:rPr>
        <w:t xml:space="preserve">Department identifies a role that meets all four eligibility criteria and develops a business case using the </w:t>
      </w:r>
      <w:r>
        <w:rPr>
          <w:rFonts w:ascii="Arial" w:eastAsia="Arial" w:hAnsi="Arial" w:cs="Arial"/>
          <w:color w:val="000000"/>
          <w:u w:val="single"/>
        </w:rPr>
        <w:t>standard pro-forma below</w:t>
      </w:r>
      <w:r>
        <w:rPr>
          <w:rFonts w:ascii="Arial" w:eastAsia="Arial" w:hAnsi="Arial" w:cs="Arial"/>
          <w:color w:val="000000"/>
        </w:rPr>
        <w:t>.</w:t>
      </w:r>
    </w:p>
    <w:p w14:paraId="0C42B130" w14:textId="77777777" w:rsidR="009C6D88" w:rsidRDefault="00000000">
      <w:pPr>
        <w:numPr>
          <w:ilvl w:val="1"/>
          <w:numId w:val="20"/>
        </w:numPr>
        <w:pBdr>
          <w:top w:val="nil"/>
          <w:left w:val="nil"/>
          <w:bottom w:val="nil"/>
          <w:right w:val="nil"/>
          <w:between w:val="nil"/>
        </w:pBdr>
        <w:spacing w:line="276" w:lineRule="auto"/>
        <w:jc w:val="left"/>
        <w:rPr>
          <w:rFonts w:ascii="Arial" w:eastAsia="Arial" w:hAnsi="Arial" w:cs="Arial"/>
          <w:color w:val="000000"/>
        </w:rPr>
      </w:pPr>
      <w:r>
        <w:rPr>
          <w:rFonts w:ascii="Arial" w:eastAsia="Arial" w:hAnsi="Arial" w:cs="Arial"/>
          <w:color w:val="000000"/>
        </w:rPr>
        <w:t xml:space="preserve">Department gains approval of the Accounting Officer/the Permanent Secretary and Minister for the proposed allowance. For specialist skills, the Heads of Professions should be consulted (particularly project management, commercial, digital and finance roles). </w:t>
      </w:r>
    </w:p>
    <w:p w14:paraId="759441B8" w14:textId="77777777" w:rsidR="009C6D88" w:rsidRDefault="00000000">
      <w:pPr>
        <w:numPr>
          <w:ilvl w:val="1"/>
          <w:numId w:val="20"/>
        </w:numPr>
        <w:pBdr>
          <w:top w:val="nil"/>
          <w:left w:val="nil"/>
          <w:bottom w:val="nil"/>
          <w:right w:val="nil"/>
          <w:between w:val="nil"/>
        </w:pBdr>
        <w:spacing w:line="276" w:lineRule="auto"/>
        <w:jc w:val="left"/>
        <w:rPr>
          <w:rFonts w:ascii="Arial" w:eastAsia="Arial" w:hAnsi="Arial" w:cs="Arial"/>
          <w:color w:val="000000"/>
        </w:rPr>
      </w:pPr>
      <w:r>
        <w:rPr>
          <w:rFonts w:ascii="Arial" w:eastAsia="Arial" w:hAnsi="Arial" w:cs="Arial"/>
          <w:color w:val="000000"/>
        </w:rPr>
        <w:t xml:space="preserve">Department formally submits their case to Civil Service HR (Cabinet Office).  </w:t>
      </w:r>
    </w:p>
    <w:p w14:paraId="53AA3464" w14:textId="77777777" w:rsidR="009C6D88" w:rsidRDefault="00000000">
      <w:pPr>
        <w:numPr>
          <w:ilvl w:val="1"/>
          <w:numId w:val="20"/>
        </w:numPr>
        <w:pBdr>
          <w:top w:val="nil"/>
          <w:left w:val="nil"/>
          <w:bottom w:val="nil"/>
          <w:right w:val="nil"/>
          <w:between w:val="nil"/>
        </w:pBdr>
        <w:spacing w:line="276" w:lineRule="auto"/>
        <w:jc w:val="left"/>
        <w:rPr>
          <w:rFonts w:ascii="Arial" w:eastAsia="Arial" w:hAnsi="Arial" w:cs="Arial"/>
          <w:color w:val="000000"/>
        </w:rPr>
      </w:pPr>
      <w:r>
        <w:rPr>
          <w:rFonts w:ascii="Arial" w:eastAsia="Arial" w:hAnsi="Arial" w:cs="Arial"/>
          <w:color w:val="000000"/>
        </w:rPr>
        <w:t>A Subgroup of the Civil Service Board is consulted before any proposal is put to ministers. This currently comprises Alex Chisholm (Civil Service Chief Operating Officer) and Tom Scholar (Permanent Secretary, Treasury).</w:t>
      </w:r>
    </w:p>
    <w:p w14:paraId="43A8C69B" w14:textId="77777777" w:rsidR="009C6D88" w:rsidRDefault="00000000">
      <w:pPr>
        <w:numPr>
          <w:ilvl w:val="1"/>
          <w:numId w:val="20"/>
        </w:numPr>
        <w:pBdr>
          <w:top w:val="nil"/>
          <w:left w:val="nil"/>
          <w:bottom w:val="nil"/>
          <w:right w:val="nil"/>
          <w:between w:val="nil"/>
        </w:pBdr>
        <w:spacing w:line="276" w:lineRule="auto"/>
        <w:jc w:val="left"/>
        <w:rPr>
          <w:rFonts w:ascii="Arial" w:eastAsia="Arial" w:hAnsi="Arial" w:cs="Arial"/>
          <w:color w:val="000000"/>
        </w:rPr>
      </w:pPr>
      <w:r>
        <w:rPr>
          <w:rFonts w:ascii="Arial" w:eastAsia="Arial" w:hAnsi="Arial" w:cs="Arial"/>
          <w:color w:val="000000"/>
        </w:rPr>
        <w:t>If Sub-Group consensus is to reject, departments are told at this stage and provided with appropriate feedback.</w:t>
      </w:r>
    </w:p>
    <w:p w14:paraId="3CD7FFD3" w14:textId="77777777" w:rsidR="009C6D88" w:rsidRDefault="00000000">
      <w:pPr>
        <w:numPr>
          <w:ilvl w:val="1"/>
          <w:numId w:val="20"/>
        </w:numPr>
        <w:pBdr>
          <w:top w:val="nil"/>
          <w:left w:val="nil"/>
          <w:bottom w:val="nil"/>
          <w:right w:val="nil"/>
          <w:between w:val="nil"/>
        </w:pBdr>
        <w:spacing w:line="276" w:lineRule="auto"/>
        <w:jc w:val="left"/>
        <w:rPr>
          <w:rFonts w:ascii="Arial" w:eastAsia="Arial" w:hAnsi="Arial" w:cs="Arial"/>
          <w:color w:val="000000"/>
        </w:rPr>
      </w:pPr>
      <w:r>
        <w:rPr>
          <w:rFonts w:ascii="Arial" w:eastAsia="Arial" w:hAnsi="Arial" w:cs="Arial"/>
          <w:color w:val="000000"/>
        </w:rPr>
        <w:t>If the consensus is to approve, Civil Service HR submits the case to a Cabinet Office minister (and the Chief Secretary where appropriate) for approval.</w:t>
      </w:r>
    </w:p>
    <w:p w14:paraId="457E217C" w14:textId="77777777" w:rsidR="009C6D88" w:rsidRDefault="00000000">
      <w:pPr>
        <w:numPr>
          <w:ilvl w:val="1"/>
          <w:numId w:val="20"/>
        </w:numPr>
        <w:pBdr>
          <w:top w:val="nil"/>
          <w:left w:val="nil"/>
          <w:bottom w:val="nil"/>
          <w:right w:val="nil"/>
          <w:between w:val="nil"/>
        </w:pBdr>
        <w:tabs>
          <w:tab w:val="left" w:pos="1418"/>
        </w:tabs>
        <w:spacing w:line="276" w:lineRule="auto"/>
        <w:jc w:val="left"/>
        <w:rPr>
          <w:rFonts w:ascii="Arial" w:eastAsia="Arial" w:hAnsi="Arial" w:cs="Arial"/>
          <w:color w:val="000000"/>
        </w:rPr>
      </w:pPr>
      <w:r>
        <w:rPr>
          <w:rFonts w:ascii="Arial" w:eastAsia="Arial" w:hAnsi="Arial" w:cs="Arial"/>
          <w:color w:val="000000"/>
        </w:rPr>
        <w:t>The Cabinet Office minister (and the Chief Secretary where appropriate) approves the proposed allowance. Civil Service HR informs the department.</w:t>
      </w:r>
    </w:p>
    <w:p w14:paraId="12D7781A" w14:textId="77777777" w:rsidR="009C6D88" w:rsidRDefault="009C6D88">
      <w:pPr>
        <w:tabs>
          <w:tab w:val="left" w:pos="1418"/>
        </w:tabs>
        <w:spacing w:before="280" w:after="280" w:line="276" w:lineRule="auto"/>
        <w:ind w:hanging="2"/>
        <w:jc w:val="left"/>
        <w:rPr>
          <w:rFonts w:ascii="Arial" w:eastAsia="Arial" w:hAnsi="Arial" w:cs="Arial"/>
        </w:rPr>
      </w:pPr>
    </w:p>
    <w:p w14:paraId="6F27400E" w14:textId="77777777" w:rsidR="009C6D88" w:rsidRDefault="00000000">
      <w:pPr>
        <w:tabs>
          <w:tab w:val="left" w:pos="1418"/>
        </w:tabs>
        <w:spacing w:before="280" w:after="280" w:line="276" w:lineRule="auto"/>
        <w:ind w:hanging="2"/>
        <w:jc w:val="left"/>
        <w:rPr>
          <w:rFonts w:ascii="Arial" w:eastAsia="Arial" w:hAnsi="Arial" w:cs="Arial"/>
          <w:sz w:val="22"/>
          <w:szCs w:val="22"/>
        </w:rPr>
      </w:pPr>
      <w:r>
        <w:br w:type="page"/>
      </w:r>
      <w:r>
        <w:rPr>
          <w:rFonts w:ascii="Arial" w:eastAsia="Arial" w:hAnsi="Arial" w:cs="Arial"/>
          <w:b/>
          <w:sz w:val="22"/>
          <w:szCs w:val="22"/>
        </w:rPr>
        <w:lastRenderedPageBreak/>
        <w:t>PROFORMA FOR APPLICATION FOR PIVOTAL ROLE ALLOWANCE</w:t>
      </w:r>
    </w:p>
    <w:tbl>
      <w:tblPr>
        <w:tblStyle w:val="a2"/>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5833"/>
      </w:tblGrid>
      <w:tr w:rsidR="009C6D88" w14:paraId="126C23E9" w14:textId="77777777">
        <w:tc>
          <w:tcPr>
            <w:tcW w:w="2689" w:type="dxa"/>
          </w:tcPr>
          <w:p w14:paraId="4FD14548" w14:textId="77777777" w:rsidR="009C6D88" w:rsidRDefault="00000000">
            <w:pPr>
              <w:spacing w:after="280" w:line="276" w:lineRule="auto"/>
              <w:ind w:hanging="2"/>
              <w:rPr>
                <w:rFonts w:ascii="Arial" w:eastAsia="Arial" w:hAnsi="Arial" w:cs="Arial"/>
                <w:sz w:val="22"/>
                <w:szCs w:val="22"/>
              </w:rPr>
            </w:pPr>
            <w:r>
              <w:rPr>
                <w:rFonts w:ascii="Arial" w:eastAsia="Arial" w:hAnsi="Arial" w:cs="Arial"/>
                <w:sz w:val="22"/>
                <w:szCs w:val="22"/>
              </w:rPr>
              <w:t>Title of role</w:t>
            </w:r>
          </w:p>
          <w:p w14:paraId="2A5BC016" w14:textId="77777777" w:rsidR="009C6D88" w:rsidRDefault="009C6D88">
            <w:pPr>
              <w:spacing w:before="280" w:line="276" w:lineRule="auto"/>
              <w:ind w:hanging="2"/>
              <w:rPr>
                <w:rFonts w:ascii="Arial" w:eastAsia="Arial" w:hAnsi="Arial" w:cs="Arial"/>
                <w:sz w:val="22"/>
                <w:szCs w:val="22"/>
              </w:rPr>
            </w:pPr>
          </w:p>
        </w:tc>
        <w:tc>
          <w:tcPr>
            <w:tcW w:w="5833" w:type="dxa"/>
          </w:tcPr>
          <w:p w14:paraId="1CE4D92C" w14:textId="77777777" w:rsidR="009C6D88" w:rsidRDefault="009C6D88">
            <w:pPr>
              <w:spacing w:line="276" w:lineRule="auto"/>
              <w:ind w:hanging="2"/>
              <w:rPr>
                <w:rFonts w:ascii="Arial" w:eastAsia="Arial" w:hAnsi="Arial" w:cs="Arial"/>
                <w:sz w:val="22"/>
                <w:szCs w:val="22"/>
              </w:rPr>
            </w:pPr>
          </w:p>
        </w:tc>
      </w:tr>
      <w:tr w:rsidR="009C6D88" w14:paraId="3650FC29" w14:textId="77777777">
        <w:tc>
          <w:tcPr>
            <w:tcW w:w="2689" w:type="dxa"/>
          </w:tcPr>
          <w:p w14:paraId="59AA5A97" w14:textId="77777777" w:rsidR="009C6D88" w:rsidRDefault="00000000">
            <w:pPr>
              <w:spacing w:line="276" w:lineRule="auto"/>
              <w:ind w:hanging="2"/>
              <w:rPr>
                <w:rFonts w:ascii="Arial" w:eastAsia="Arial" w:hAnsi="Arial" w:cs="Arial"/>
                <w:sz w:val="22"/>
                <w:szCs w:val="22"/>
              </w:rPr>
            </w:pPr>
            <w:r>
              <w:rPr>
                <w:rFonts w:ascii="Arial" w:eastAsia="Arial" w:hAnsi="Arial" w:cs="Arial"/>
                <w:sz w:val="22"/>
                <w:szCs w:val="22"/>
              </w:rPr>
              <w:t xml:space="preserve">Employing department </w:t>
            </w:r>
          </w:p>
        </w:tc>
        <w:tc>
          <w:tcPr>
            <w:tcW w:w="5833" w:type="dxa"/>
          </w:tcPr>
          <w:p w14:paraId="77622E7D" w14:textId="77777777" w:rsidR="009C6D88" w:rsidRDefault="009C6D88">
            <w:pPr>
              <w:spacing w:after="280" w:line="276" w:lineRule="auto"/>
              <w:ind w:hanging="2"/>
              <w:rPr>
                <w:rFonts w:ascii="Arial" w:eastAsia="Arial" w:hAnsi="Arial" w:cs="Arial"/>
                <w:sz w:val="22"/>
                <w:szCs w:val="22"/>
              </w:rPr>
            </w:pPr>
          </w:p>
          <w:p w14:paraId="0C9E773C" w14:textId="77777777" w:rsidR="009C6D88" w:rsidRDefault="009C6D88">
            <w:pPr>
              <w:spacing w:before="280" w:line="276" w:lineRule="auto"/>
              <w:ind w:hanging="2"/>
              <w:rPr>
                <w:rFonts w:ascii="Arial" w:eastAsia="Arial" w:hAnsi="Arial" w:cs="Arial"/>
                <w:sz w:val="22"/>
                <w:szCs w:val="22"/>
              </w:rPr>
            </w:pPr>
          </w:p>
        </w:tc>
      </w:tr>
      <w:tr w:rsidR="009C6D88" w14:paraId="660D81F9" w14:textId="77777777">
        <w:trPr>
          <w:trHeight w:val="917"/>
        </w:trPr>
        <w:tc>
          <w:tcPr>
            <w:tcW w:w="2689" w:type="dxa"/>
          </w:tcPr>
          <w:p w14:paraId="5BE66FAF" w14:textId="77777777" w:rsidR="009C6D88" w:rsidRDefault="00000000">
            <w:pPr>
              <w:spacing w:after="280" w:line="276" w:lineRule="auto"/>
              <w:ind w:hanging="2"/>
              <w:rPr>
                <w:rFonts w:ascii="Arial" w:eastAsia="Arial" w:hAnsi="Arial" w:cs="Arial"/>
                <w:sz w:val="22"/>
                <w:szCs w:val="22"/>
              </w:rPr>
            </w:pPr>
            <w:r>
              <w:rPr>
                <w:rFonts w:ascii="Arial" w:eastAsia="Arial" w:hAnsi="Arial" w:cs="Arial"/>
                <w:sz w:val="22"/>
                <w:szCs w:val="22"/>
              </w:rPr>
              <w:t xml:space="preserve">Brief Description of the role.  </w:t>
            </w:r>
          </w:p>
          <w:p w14:paraId="32576EA8" w14:textId="77777777" w:rsidR="009C6D88" w:rsidRDefault="009C6D88">
            <w:pPr>
              <w:spacing w:before="280" w:line="276" w:lineRule="auto"/>
              <w:ind w:hanging="2"/>
              <w:rPr>
                <w:rFonts w:ascii="Arial" w:eastAsia="Arial" w:hAnsi="Arial" w:cs="Arial"/>
                <w:sz w:val="22"/>
                <w:szCs w:val="22"/>
              </w:rPr>
            </w:pPr>
          </w:p>
        </w:tc>
        <w:tc>
          <w:tcPr>
            <w:tcW w:w="5833" w:type="dxa"/>
          </w:tcPr>
          <w:p w14:paraId="5F3CF3F4" w14:textId="77777777" w:rsidR="009C6D88" w:rsidRDefault="009C6D88">
            <w:pPr>
              <w:widowControl/>
              <w:pBdr>
                <w:top w:val="nil"/>
                <w:left w:val="nil"/>
                <w:bottom w:val="nil"/>
                <w:right w:val="nil"/>
                <w:between w:val="nil"/>
              </w:pBdr>
              <w:spacing w:after="280" w:line="276" w:lineRule="auto"/>
              <w:ind w:hanging="2"/>
              <w:jc w:val="left"/>
              <w:rPr>
                <w:rFonts w:ascii="Arial" w:eastAsia="Arial" w:hAnsi="Arial" w:cs="Arial"/>
                <w:color w:val="000000"/>
                <w:sz w:val="22"/>
                <w:szCs w:val="22"/>
              </w:rPr>
            </w:pPr>
          </w:p>
          <w:p w14:paraId="4067B813" w14:textId="77777777" w:rsidR="009C6D88" w:rsidRDefault="009C6D88">
            <w:pPr>
              <w:spacing w:before="280" w:line="276" w:lineRule="auto"/>
              <w:ind w:hanging="2"/>
              <w:rPr>
                <w:rFonts w:ascii="Arial" w:eastAsia="Arial" w:hAnsi="Arial" w:cs="Arial"/>
                <w:sz w:val="22"/>
                <w:szCs w:val="22"/>
              </w:rPr>
            </w:pPr>
          </w:p>
        </w:tc>
      </w:tr>
      <w:tr w:rsidR="009C6D88" w14:paraId="637297A4" w14:textId="77777777">
        <w:trPr>
          <w:trHeight w:val="366"/>
        </w:trPr>
        <w:tc>
          <w:tcPr>
            <w:tcW w:w="2689" w:type="dxa"/>
          </w:tcPr>
          <w:p w14:paraId="2F401BD4" w14:textId="77777777" w:rsidR="009C6D88" w:rsidRDefault="00000000">
            <w:pPr>
              <w:spacing w:after="280" w:line="276" w:lineRule="auto"/>
              <w:ind w:hanging="2"/>
              <w:rPr>
                <w:rFonts w:ascii="Arial" w:eastAsia="Arial" w:hAnsi="Arial" w:cs="Arial"/>
                <w:sz w:val="22"/>
                <w:szCs w:val="22"/>
              </w:rPr>
            </w:pPr>
            <w:r>
              <w:rPr>
                <w:rFonts w:ascii="Arial" w:eastAsia="Arial" w:hAnsi="Arial" w:cs="Arial"/>
                <w:sz w:val="22"/>
                <w:szCs w:val="22"/>
              </w:rPr>
              <w:t>Profession of role</w:t>
            </w:r>
          </w:p>
          <w:p w14:paraId="49785CD8" w14:textId="77777777" w:rsidR="009C6D88" w:rsidRDefault="009C6D88">
            <w:pPr>
              <w:spacing w:before="280" w:line="276" w:lineRule="auto"/>
              <w:ind w:hanging="2"/>
              <w:rPr>
                <w:rFonts w:ascii="Arial" w:eastAsia="Arial" w:hAnsi="Arial" w:cs="Arial"/>
                <w:sz w:val="22"/>
                <w:szCs w:val="22"/>
              </w:rPr>
            </w:pPr>
          </w:p>
        </w:tc>
        <w:tc>
          <w:tcPr>
            <w:tcW w:w="5833" w:type="dxa"/>
          </w:tcPr>
          <w:p w14:paraId="298EB997" w14:textId="77777777" w:rsidR="009C6D88" w:rsidRDefault="009C6D88">
            <w:pPr>
              <w:spacing w:line="276" w:lineRule="auto"/>
              <w:ind w:hanging="2"/>
              <w:rPr>
                <w:rFonts w:ascii="Arial" w:eastAsia="Arial" w:hAnsi="Arial" w:cs="Arial"/>
                <w:sz w:val="22"/>
                <w:szCs w:val="22"/>
              </w:rPr>
            </w:pPr>
          </w:p>
        </w:tc>
      </w:tr>
      <w:tr w:rsidR="009C6D88" w14:paraId="25384F93" w14:textId="77777777">
        <w:trPr>
          <w:trHeight w:val="366"/>
        </w:trPr>
        <w:tc>
          <w:tcPr>
            <w:tcW w:w="2689" w:type="dxa"/>
          </w:tcPr>
          <w:p w14:paraId="3E305ADA" w14:textId="77777777" w:rsidR="009C6D88" w:rsidRDefault="00000000">
            <w:pPr>
              <w:spacing w:after="280" w:line="276" w:lineRule="auto"/>
              <w:ind w:hanging="2"/>
              <w:rPr>
                <w:rFonts w:ascii="Arial" w:eastAsia="Arial" w:hAnsi="Arial" w:cs="Arial"/>
                <w:sz w:val="22"/>
                <w:szCs w:val="22"/>
              </w:rPr>
            </w:pPr>
            <w:r>
              <w:rPr>
                <w:rFonts w:ascii="Arial" w:eastAsia="Arial" w:hAnsi="Arial" w:cs="Arial"/>
                <w:sz w:val="22"/>
                <w:szCs w:val="22"/>
              </w:rPr>
              <w:t xml:space="preserve">Is this a designated SRO role </w:t>
            </w:r>
            <w:proofErr w:type="gramStart"/>
            <w:r>
              <w:rPr>
                <w:rFonts w:ascii="Arial" w:eastAsia="Arial" w:hAnsi="Arial" w:cs="Arial"/>
                <w:sz w:val="22"/>
                <w:szCs w:val="22"/>
              </w:rPr>
              <w:t>e.g.</w:t>
            </w:r>
            <w:proofErr w:type="gramEnd"/>
            <w:r>
              <w:rPr>
                <w:rFonts w:ascii="Arial" w:eastAsia="Arial" w:hAnsi="Arial" w:cs="Arial"/>
                <w:sz w:val="22"/>
                <w:szCs w:val="22"/>
              </w:rPr>
              <w:t xml:space="preserve"> leading a project in the government major projects portfolio? If yes, please name the project</w:t>
            </w:r>
          </w:p>
          <w:p w14:paraId="601A22BA" w14:textId="77777777" w:rsidR="009C6D88" w:rsidRDefault="009C6D88">
            <w:pPr>
              <w:spacing w:before="280" w:line="276" w:lineRule="auto"/>
              <w:ind w:hanging="2"/>
              <w:rPr>
                <w:rFonts w:ascii="Arial" w:eastAsia="Arial" w:hAnsi="Arial" w:cs="Arial"/>
                <w:sz w:val="22"/>
                <w:szCs w:val="22"/>
              </w:rPr>
            </w:pPr>
          </w:p>
        </w:tc>
        <w:tc>
          <w:tcPr>
            <w:tcW w:w="5833" w:type="dxa"/>
          </w:tcPr>
          <w:p w14:paraId="65B328FD" w14:textId="77777777" w:rsidR="009C6D88" w:rsidRDefault="009C6D88">
            <w:pPr>
              <w:spacing w:line="276" w:lineRule="auto"/>
              <w:ind w:hanging="2"/>
              <w:rPr>
                <w:rFonts w:ascii="Arial" w:eastAsia="Arial" w:hAnsi="Arial" w:cs="Arial"/>
                <w:sz w:val="22"/>
                <w:szCs w:val="22"/>
              </w:rPr>
            </w:pPr>
          </w:p>
        </w:tc>
      </w:tr>
      <w:tr w:rsidR="009C6D88" w14:paraId="53CF4E44" w14:textId="77777777">
        <w:trPr>
          <w:trHeight w:val="366"/>
        </w:trPr>
        <w:tc>
          <w:tcPr>
            <w:tcW w:w="2689" w:type="dxa"/>
            <w:vMerge w:val="restart"/>
          </w:tcPr>
          <w:p w14:paraId="7C516FD3" w14:textId="77777777" w:rsidR="009C6D88" w:rsidRDefault="00000000">
            <w:pPr>
              <w:spacing w:line="276" w:lineRule="auto"/>
              <w:ind w:hanging="2"/>
              <w:rPr>
                <w:rFonts w:ascii="Arial" w:eastAsia="Arial" w:hAnsi="Arial" w:cs="Arial"/>
                <w:sz w:val="22"/>
                <w:szCs w:val="22"/>
              </w:rPr>
            </w:pPr>
            <w:r>
              <w:rPr>
                <w:rFonts w:ascii="Arial" w:eastAsia="Arial" w:hAnsi="Arial" w:cs="Arial"/>
                <w:sz w:val="22"/>
                <w:szCs w:val="22"/>
              </w:rPr>
              <w:t>Please describe how each of the eligibility criterion has been met</w:t>
            </w:r>
          </w:p>
        </w:tc>
        <w:tc>
          <w:tcPr>
            <w:tcW w:w="5833" w:type="dxa"/>
          </w:tcPr>
          <w:p w14:paraId="5B3BDF0C" w14:textId="77777777" w:rsidR="009C6D88" w:rsidRDefault="00000000">
            <w:pPr>
              <w:spacing w:after="280" w:line="276" w:lineRule="auto"/>
              <w:ind w:hanging="2"/>
              <w:rPr>
                <w:rFonts w:ascii="Arial" w:eastAsia="Arial" w:hAnsi="Arial" w:cs="Arial"/>
                <w:sz w:val="22"/>
                <w:szCs w:val="22"/>
              </w:rPr>
            </w:pPr>
            <w:r>
              <w:rPr>
                <w:rFonts w:ascii="Arial" w:eastAsia="Arial" w:hAnsi="Arial" w:cs="Arial"/>
                <w:i/>
                <w:sz w:val="22"/>
                <w:szCs w:val="22"/>
              </w:rPr>
              <w:t xml:space="preserve">How the role is critical to delivering the strategic goals of the organisation </w:t>
            </w:r>
          </w:p>
          <w:p w14:paraId="22E8B0B1" w14:textId="77777777" w:rsidR="009C6D88" w:rsidRDefault="009C6D88">
            <w:pPr>
              <w:spacing w:before="280" w:line="276" w:lineRule="auto"/>
              <w:ind w:hanging="2"/>
              <w:rPr>
                <w:rFonts w:ascii="Arial" w:eastAsia="Arial" w:hAnsi="Arial" w:cs="Arial"/>
                <w:sz w:val="22"/>
                <w:szCs w:val="22"/>
              </w:rPr>
            </w:pPr>
          </w:p>
        </w:tc>
      </w:tr>
      <w:tr w:rsidR="009C6D88" w14:paraId="469E2FF0" w14:textId="77777777">
        <w:trPr>
          <w:trHeight w:val="363"/>
        </w:trPr>
        <w:tc>
          <w:tcPr>
            <w:tcW w:w="2689" w:type="dxa"/>
            <w:vMerge/>
          </w:tcPr>
          <w:p w14:paraId="52FA69FB" w14:textId="77777777" w:rsidR="009C6D88" w:rsidRDefault="009C6D88">
            <w:pPr>
              <w:pBdr>
                <w:top w:val="nil"/>
                <w:left w:val="nil"/>
                <w:bottom w:val="nil"/>
                <w:right w:val="nil"/>
                <w:between w:val="nil"/>
              </w:pBdr>
              <w:spacing w:line="276" w:lineRule="auto"/>
              <w:ind w:firstLine="0"/>
              <w:jc w:val="left"/>
              <w:rPr>
                <w:rFonts w:ascii="Arial" w:eastAsia="Arial" w:hAnsi="Arial" w:cs="Arial"/>
                <w:sz w:val="22"/>
                <w:szCs w:val="22"/>
              </w:rPr>
            </w:pPr>
          </w:p>
        </w:tc>
        <w:tc>
          <w:tcPr>
            <w:tcW w:w="5833" w:type="dxa"/>
          </w:tcPr>
          <w:p w14:paraId="6BC0B5DF" w14:textId="77777777" w:rsidR="009C6D88" w:rsidRDefault="00000000">
            <w:pPr>
              <w:spacing w:after="280" w:line="276" w:lineRule="auto"/>
              <w:ind w:hanging="2"/>
              <w:rPr>
                <w:rFonts w:ascii="Arial" w:eastAsia="Arial" w:hAnsi="Arial" w:cs="Arial"/>
                <w:sz w:val="22"/>
                <w:szCs w:val="22"/>
              </w:rPr>
            </w:pPr>
            <w:r>
              <w:rPr>
                <w:rFonts w:ascii="Arial" w:eastAsia="Arial" w:hAnsi="Arial" w:cs="Arial"/>
                <w:i/>
                <w:sz w:val="22"/>
                <w:szCs w:val="22"/>
              </w:rPr>
              <w:t>The impact on the business if the role is left unfilled</w:t>
            </w:r>
            <w:r>
              <w:rPr>
                <w:rFonts w:ascii="Arial" w:eastAsia="Arial" w:hAnsi="Arial" w:cs="Arial"/>
                <w:sz w:val="22"/>
                <w:szCs w:val="22"/>
              </w:rPr>
              <w:t xml:space="preserve">. </w:t>
            </w:r>
          </w:p>
          <w:p w14:paraId="5B0E173C" w14:textId="77777777" w:rsidR="009C6D88" w:rsidRDefault="009C6D88">
            <w:pPr>
              <w:spacing w:before="280" w:line="276" w:lineRule="auto"/>
              <w:ind w:hanging="2"/>
              <w:rPr>
                <w:rFonts w:ascii="Arial" w:eastAsia="Arial" w:hAnsi="Arial" w:cs="Arial"/>
                <w:sz w:val="22"/>
                <w:szCs w:val="22"/>
              </w:rPr>
            </w:pPr>
          </w:p>
        </w:tc>
      </w:tr>
      <w:tr w:rsidR="009C6D88" w14:paraId="6D1CF17C" w14:textId="77777777">
        <w:trPr>
          <w:trHeight w:val="363"/>
        </w:trPr>
        <w:tc>
          <w:tcPr>
            <w:tcW w:w="2689" w:type="dxa"/>
            <w:vMerge/>
          </w:tcPr>
          <w:p w14:paraId="3DA1ED8B" w14:textId="77777777" w:rsidR="009C6D88" w:rsidRDefault="009C6D88">
            <w:pPr>
              <w:pBdr>
                <w:top w:val="nil"/>
                <w:left w:val="nil"/>
                <w:bottom w:val="nil"/>
                <w:right w:val="nil"/>
                <w:between w:val="nil"/>
              </w:pBdr>
              <w:spacing w:line="276" w:lineRule="auto"/>
              <w:ind w:firstLine="0"/>
              <w:jc w:val="left"/>
              <w:rPr>
                <w:rFonts w:ascii="Arial" w:eastAsia="Arial" w:hAnsi="Arial" w:cs="Arial"/>
                <w:sz w:val="22"/>
                <w:szCs w:val="22"/>
              </w:rPr>
            </w:pPr>
          </w:p>
        </w:tc>
        <w:tc>
          <w:tcPr>
            <w:tcW w:w="5833" w:type="dxa"/>
          </w:tcPr>
          <w:p w14:paraId="0822C1CB" w14:textId="77777777" w:rsidR="009C6D88" w:rsidRDefault="00000000">
            <w:pPr>
              <w:spacing w:after="280" w:line="276" w:lineRule="auto"/>
              <w:ind w:hanging="2"/>
              <w:rPr>
                <w:rFonts w:ascii="Arial" w:eastAsia="Arial" w:hAnsi="Arial" w:cs="Arial"/>
                <w:sz w:val="22"/>
                <w:szCs w:val="22"/>
              </w:rPr>
            </w:pPr>
            <w:r>
              <w:rPr>
                <w:rFonts w:ascii="Arial" w:eastAsia="Arial" w:hAnsi="Arial" w:cs="Arial"/>
                <w:i/>
                <w:sz w:val="22"/>
                <w:szCs w:val="22"/>
              </w:rPr>
              <w:t>The specific skills for this role that are not easily available in the Civil Service</w:t>
            </w:r>
            <w:r>
              <w:rPr>
                <w:rFonts w:ascii="Arial" w:eastAsia="Arial" w:hAnsi="Arial" w:cs="Arial"/>
                <w:sz w:val="22"/>
                <w:szCs w:val="22"/>
              </w:rPr>
              <w:t>.</w:t>
            </w:r>
          </w:p>
          <w:p w14:paraId="3871497C" w14:textId="77777777" w:rsidR="009C6D88" w:rsidRDefault="009C6D88">
            <w:pPr>
              <w:spacing w:before="280" w:line="276" w:lineRule="auto"/>
              <w:ind w:hanging="2"/>
              <w:rPr>
                <w:rFonts w:ascii="Arial" w:eastAsia="Arial" w:hAnsi="Arial" w:cs="Arial"/>
                <w:sz w:val="22"/>
                <w:szCs w:val="22"/>
              </w:rPr>
            </w:pPr>
          </w:p>
        </w:tc>
      </w:tr>
      <w:tr w:rsidR="009C6D88" w14:paraId="0564754D" w14:textId="77777777">
        <w:trPr>
          <w:trHeight w:val="363"/>
        </w:trPr>
        <w:tc>
          <w:tcPr>
            <w:tcW w:w="2689" w:type="dxa"/>
            <w:vMerge/>
          </w:tcPr>
          <w:p w14:paraId="0A692147" w14:textId="77777777" w:rsidR="009C6D88" w:rsidRDefault="009C6D88">
            <w:pPr>
              <w:pBdr>
                <w:top w:val="nil"/>
                <w:left w:val="nil"/>
                <w:bottom w:val="nil"/>
                <w:right w:val="nil"/>
                <w:between w:val="nil"/>
              </w:pBdr>
              <w:spacing w:line="276" w:lineRule="auto"/>
              <w:ind w:firstLine="0"/>
              <w:jc w:val="left"/>
              <w:rPr>
                <w:rFonts w:ascii="Arial" w:eastAsia="Arial" w:hAnsi="Arial" w:cs="Arial"/>
                <w:sz w:val="22"/>
                <w:szCs w:val="22"/>
              </w:rPr>
            </w:pPr>
          </w:p>
        </w:tc>
        <w:tc>
          <w:tcPr>
            <w:tcW w:w="5833" w:type="dxa"/>
          </w:tcPr>
          <w:p w14:paraId="7E2E64C0" w14:textId="77777777" w:rsidR="009C6D88" w:rsidRDefault="00000000">
            <w:pPr>
              <w:spacing w:after="280" w:line="276" w:lineRule="auto"/>
              <w:ind w:hanging="2"/>
              <w:rPr>
                <w:rFonts w:ascii="Arial" w:eastAsia="Arial" w:hAnsi="Arial" w:cs="Arial"/>
                <w:sz w:val="22"/>
                <w:szCs w:val="22"/>
              </w:rPr>
            </w:pPr>
            <w:r>
              <w:rPr>
                <w:rFonts w:ascii="Arial" w:eastAsia="Arial" w:hAnsi="Arial" w:cs="Arial"/>
                <w:i/>
                <w:sz w:val="22"/>
                <w:szCs w:val="22"/>
              </w:rPr>
              <w:t>The flight risk for this role (evidence that the incumbent is looking for a new role or being headhunted etc).</w:t>
            </w:r>
          </w:p>
          <w:p w14:paraId="54DC1049" w14:textId="77777777" w:rsidR="009C6D88" w:rsidRDefault="009C6D88">
            <w:pPr>
              <w:widowControl/>
              <w:pBdr>
                <w:top w:val="nil"/>
                <w:left w:val="nil"/>
                <w:bottom w:val="nil"/>
                <w:right w:val="nil"/>
                <w:between w:val="nil"/>
              </w:pBdr>
              <w:spacing w:before="280" w:after="280" w:line="276" w:lineRule="auto"/>
              <w:ind w:hanging="2"/>
              <w:rPr>
                <w:rFonts w:ascii="Arial" w:eastAsia="Arial" w:hAnsi="Arial" w:cs="Arial"/>
                <w:color w:val="000000"/>
                <w:sz w:val="22"/>
                <w:szCs w:val="22"/>
              </w:rPr>
            </w:pPr>
          </w:p>
          <w:p w14:paraId="1969A826" w14:textId="77777777" w:rsidR="009C6D88" w:rsidRDefault="009C6D88">
            <w:pPr>
              <w:spacing w:before="280" w:line="276" w:lineRule="auto"/>
              <w:ind w:hanging="2"/>
              <w:rPr>
                <w:rFonts w:ascii="Arial" w:eastAsia="Arial" w:hAnsi="Arial" w:cs="Arial"/>
                <w:sz w:val="22"/>
                <w:szCs w:val="22"/>
              </w:rPr>
            </w:pPr>
          </w:p>
        </w:tc>
      </w:tr>
      <w:tr w:rsidR="009C6D88" w14:paraId="418382F6" w14:textId="77777777">
        <w:tc>
          <w:tcPr>
            <w:tcW w:w="2689" w:type="dxa"/>
          </w:tcPr>
          <w:p w14:paraId="79F4C6FD" w14:textId="77777777" w:rsidR="009C6D88" w:rsidRDefault="00000000">
            <w:pPr>
              <w:spacing w:after="280" w:line="276" w:lineRule="auto"/>
              <w:ind w:hanging="2"/>
              <w:rPr>
                <w:rFonts w:ascii="Arial" w:eastAsia="Arial" w:hAnsi="Arial" w:cs="Arial"/>
                <w:sz w:val="22"/>
                <w:szCs w:val="22"/>
              </w:rPr>
            </w:pPr>
            <w:r>
              <w:rPr>
                <w:rFonts w:ascii="Arial" w:eastAsia="Arial" w:hAnsi="Arial" w:cs="Arial"/>
                <w:sz w:val="22"/>
                <w:szCs w:val="22"/>
              </w:rPr>
              <w:t>Level of allowance being sought and supporting justification, including market evidence</w:t>
            </w:r>
          </w:p>
          <w:p w14:paraId="3E82C4B5" w14:textId="77777777" w:rsidR="009C6D88" w:rsidRDefault="009C6D88">
            <w:pPr>
              <w:spacing w:before="280" w:line="276" w:lineRule="auto"/>
              <w:ind w:hanging="2"/>
              <w:rPr>
                <w:rFonts w:ascii="Arial" w:eastAsia="Arial" w:hAnsi="Arial" w:cs="Arial"/>
                <w:sz w:val="22"/>
                <w:szCs w:val="22"/>
              </w:rPr>
            </w:pPr>
          </w:p>
        </w:tc>
        <w:tc>
          <w:tcPr>
            <w:tcW w:w="5833" w:type="dxa"/>
          </w:tcPr>
          <w:p w14:paraId="39C123B4" w14:textId="77777777" w:rsidR="009C6D88" w:rsidRDefault="009C6D88">
            <w:pPr>
              <w:spacing w:line="276" w:lineRule="auto"/>
              <w:ind w:hanging="2"/>
              <w:rPr>
                <w:rFonts w:ascii="Arial" w:eastAsia="Arial" w:hAnsi="Arial" w:cs="Arial"/>
                <w:sz w:val="22"/>
                <w:szCs w:val="22"/>
              </w:rPr>
            </w:pPr>
          </w:p>
        </w:tc>
      </w:tr>
      <w:tr w:rsidR="009C6D88" w14:paraId="1E00E7B4" w14:textId="77777777">
        <w:tc>
          <w:tcPr>
            <w:tcW w:w="2689" w:type="dxa"/>
          </w:tcPr>
          <w:p w14:paraId="6D43F7A6" w14:textId="77777777" w:rsidR="009C6D88" w:rsidRDefault="00000000">
            <w:pPr>
              <w:spacing w:line="276" w:lineRule="auto"/>
              <w:ind w:hanging="2"/>
              <w:jc w:val="left"/>
              <w:rPr>
                <w:rFonts w:ascii="Arial" w:eastAsia="Arial" w:hAnsi="Arial" w:cs="Arial"/>
                <w:sz w:val="22"/>
                <w:szCs w:val="22"/>
              </w:rPr>
            </w:pPr>
            <w:r>
              <w:rPr>
                <w:rFonts w:ascii="Arial" w:eastAsia="Arial" w:hAnsi="Arial" w:cs="Arial"/>
                <w:sz w:val="22"/>
                <w:szCs w:val="22"/>
              </w:rPr>
              <w:t xml:space="preserve">Please provide details of the remuneration package currently received by the incumbent (including base salary, performance pay opportunity and any other </w:t>
            </w:r>
            <w:r>
              <w:rPr>
                <w:rFonts w:ascii="Arial" w:eastAsia="Arial" w:hAnsi="Arial" w:cs="Arial"/>
                <w:sz w:val="22"/>
                <w:szCs w:val="22"/>
              </w:rPr>
              <w:lastRenderedPageBreak/>
              <w:t xml:space="preserve">benefits/allowances) </w:t>
            </w:r>
          </w:p>
        </w:tc>
        <w:tc>
          <w:tcPr>
            <w:tcW w:w="5833" w:type="dxa"/>
          </w:tcPr>
          <w:p w14:paraId="638084CD" w14:textId="77777777" w:rsidR="009C6D88" w:rsidRDefault="009C6D88">
            <w:pPr>
              <w:spacing w:after="280" w:line="276" w:lineRule="auto"/>
              <w:ind w:hanging="2"/>
              <w:rPr>
                <w:rFonts w:ascii="Arial" w:eastAsia="Arial" w:hAnsi="Arial" w:cs="Arial"/>
                <w:sz w:val="22"/>
                <w:szCs w:val="22"/>
              </w:rPr>
            </w:pPr>
          </w:p>
          <w:p w14:paraId="5473A315" w14:textId="77777777" w:rsidR="009C6D88" w:rsidRDefault="009C6D88">
            <w:pPr>
              <w:spacing w:before="280" w:after="280" w:line="276" w:lineRule="auto"/>
              <w:ind w:hanging="2"/>
              <w:rPr>
                <w:rFonts w:ascii="Arial" w:eastAsia="Arial" w:hAnsi="Arial" w:cs="Arial"/>
                <w:sz w:val="22"/>
                <w:szCs w:val="22"/>
              </w:rPr>
            </w:pPr>
          </w:p>
          <w:p w14:paraId="73444B12" w14:textId="77777777" w:rsidR="009C6D88" w:rsidRDefault="009C6D88">
            <w:pPr>
              <w:spacing w:before="280" w:line="276" w:lineRule="auto"/>
              <w:ind w:hanging="2"/>
              <w:rPr>
                <w:rFonts w:ascii="Arial" w:eastAsia="Arial" w:hAnsi="Arial" w:cs="Arial"/>
                <w:sz w:val="22"/>
                <w:szCs w:val="22"/>
              </w:rPr>
            </w:pPr>
          </w:p>
        </w:tc>
      </w:tr>
      <w:tr w:rsidR="009C6D88" w14:paraId="7238B1A5" w14:textId="77777777">
        <w:tc>
          <w:tcPr>
            <w:tcW w:w="2689" w:type="dxa"/>
          </w:tcPr>
          <w:p w14:paraId="23C5A91A" w14:textId="77777777" w:rsidR="009C6D88" w:rsidRDefault="00000000">
            <w:pPr>
              <w:widowControl/>
              <w:pBdr>
                <w:top w:val="nil"/>
                <w:left w:val="nil"/>
                <w:bottom w:val="nil"/>
                <w:right w:val="nil"/>
                <w:between w:val="nil"/>
              </w:pBdr>
              <w:spacing w:after="280" w:line="276" w:lineRule="auto"/>
              <w:ind w:hanging="2"/>
              <w:jc w:val="left"/>
              <w:rPr>
                <w:rFonts w:ascii="Arial" w:eastAsia="Arial" w:hAnsi="Arial" w:cs="Arial"/>
                <w:color w:val="000000"/>
                <w:sz w:val="22"/>
                <w:szCs w:val="22"/>
              </w:rPr>
            </w:pPr>
            <w:r>
              <w:rPr>
                <w:rFonts w:ascii="Arial" w:eastAsia="Arial" w:hAnsi="Arial" w:cs="Arial"/>
                <w:color w:val="000000"/>
                <w:sz w:val="22"/>
                <w:szCs w:val="22"/>
              </w:rPr>
              <w:t>Please define clearly the outcome this PRA is intended to achieve.</w:t>
            </w:r>
          </w:p>
          <w:p w14:paraId="70F51393" w14:textId="77777777" w:rsidR="009C6D88" w:rsidRDefault="009C6D88">
            <w:pPr>
              <w:widowControl/>
              <w:pBdr>
                <w:top w:val="nil"/>
                <w:left w:val="nil"/>
                <w:bottom w:val="nil"/>
                <w:right w:val="nil"/>
                <w:between w:val="nil"/>
              </w:pBdr>
              <w:spacing w:before="280" w:line="276" w:lineRule="auto"/>
              <w:ind w:hanging="2"/>
              <w:jc w:val="left"/>
              <w:rPr>
                <w:rFonts w:ascii="Arial" w:eastAsia="Arial" w:hAnsi="Arial" w:cs="Arial"/>
                <w:sz w:val="22"/>
                <w:szCs w:val="22"/>
              </w:rPr>
            </w:pPr>
          </w:p>
        </w:tc>
        <w:tc>
          <w:tcPr>
            <w:tcW w:w="5833" w:type="dxa"/>
          </w:tcPr>
          <w:p w14:paraId="04FCD309" w14:textId="77777777" w:rsidR="009C6D88" w:rsidRDefault="009C6D88">
            <w:pPr>
              <w:spacing w:line="276" w:lineRule="auto"/>
              <w:ind w:hanging="2"/>
              <w:rPr>
                <w:rFonts w:ascii="Arial" w:eastAsia="Arial" w:hAnsi="Arial" w:cs="Arial"/>
                <w:sz w:val="22"/>
                <w:szCs w:val="22"/>
              </w:rPr>
            </w:pPr>
          </w:p>
        </w:tc>
      </w:tr>
      <w:tr w:rsidR="009C6D88" w14:paraId="13462C15" w14:textId="77777777">
        <w:tc>
          <w:tcPr>
            <w:tcW w:w="2689" w:type="dxa"/>
          </w:tcPr>
          <w:p w14:paraId="0403FBAF" w14:textId="77777777" w:rsidR="009C6D88" w:rsidRDefault="00000000">
            <w:pPr>
              <w:widowControl/>
              <w:pBdr>
                <w:top w:val="nil"/>
                <w:left w:val="nil"/>
                <w:bottom w:val="nil"/>
                <w:right w:val="nil"/>
                <w:between w:val="nil"/>
              </w:pBdr>
              <w:spacing w:after="280" w:line="276" w:lineRule="auto"/>
              <w:ind w:hanging="2"/>
              <w:jc w:val="left"/>
              <w:rPr>
                <w:rFonts w:ascii="Arial" w:eastAsia="Arial" w:hAnsi="Arial" w:cs="Arial"/>
                <w:color w:val="000000"/>
                <w:sz w:val="22"/>
                <w:szCs w:val="22"/>
              </w:rPr>
            </w:pPr>
            <w:r>
              <w:rPr>
                <w:rFonts w:ascii="Arial" w:eastAsia="Arial" w:hAnsi="Arial" w:cs="Arial"/>
                <w:color w:val="000000"/>
                <w:sz w:val="22"/>
                <w:szCs w:val="22"/>
              </w:rPr>
              <w:t xml:space="preserve">Please set out each instalment of the PRA against each milestone that must be achieved.  </w:t>
            </w:r>
          </w:p>
          <w:p w14:paraId="27DB1C0D" w14:textId="77777777" w:rsidR="009C6D88" w:rsidRDefault="009C6D88">
            <w:pPr>
              <w:widowControl/>
              <w:pBdr>
                <w:top w:val="nil"/>
                <w:left w:val="nil"/>
                <w:bottom w:val="nil"/>
                <w:right w:val="nil"/>
                <w:between w:val="nil"/>
              </w:pBdr>
              <w:spacing w:before="280" w:line="276" w:lineRule="auto"/>
              <w:ind w:hanging="2"/>
              <w:jc w:val="left"/>
              <w:rPr>
                <w:rFonts w:ascii="Arial" w:eastAsia="Arial" w:hAnsi="Arial" w:cs="Arial"/>
                <w:color w:val="000000"/>
                <w:sz w:val="22"/>
                <w:szCs w:val="22"/>
              </w:rPr>
            </w:pPr>
          </w:p>
        </w:tc>
        <w:tc>
          <w:tcPr>
            <w:tcW w:w="5833" w:type="dxa"/>
          </w:tcPr>
          <w:p w14:paraId="1BCFF066" w14:textId="77777777" w:rsidR="009C6D88" w:rsidRDefault="009C6D88">
            <w:pPr>
              <w:spacing w:line="276" w:lineRule="auto"/>
              <w:ind w:hanging="2"/>
              <w:rPr>
                <w:rFonts w:ascii="Arial" w:eastAsia="Arial" w:hAnsi="Arial" w:cs="Arial"/>
                <w:sz w:val="22"/>
                <w:szCs w:val="22"/>
              </w:rPr>
            </w:pPr>
          </w:p>
        </w:tc>
      </w:tr>
      <w:tr w:rsidR="009C6D88" w14:paraId="05C45585" w14:textId="77777777">
        <w:tc>
          <w:tcPr>
            <w:tcW w:w="2689" w:type="dxa"/>
          </w:tcPr>
          <w:p w14:paraId="0615EFDC" w14:textId="77777777" w:rsidR="009C6D88" w:rsidRDefault="00000000">
            <w:pPr>
              <w:widowControl/>
              <w:pBdr>
                <w:top w:val="nil"/>
                <w:left w:val="nil"/>
                <w:bottom w:val="nil"/>
                <w:right w:val="nil"/>
                <w:between w:val="nil"/>
              </w:pBdr>
              <w:spacing w:after="280" w:line="276" w:lineRule="auto"/>
              <w:ind w:hanging="2"/>
              <w:jc w:val="left"/>
              <w:rPr>
                <w:rFonts w:ascii="Arial" w:eastAsia="Arial" w:hAnsi="Arial" w:cs="Arial"/>
                <w:color w:val="000000"/>
                <w:sz w:val="22"/>
                <w:szCs w:val="22"/>
              </w:rPr>
            </w:pPr>
            <w:r>
              <w:rPr>
                <w:rFonts w:ascii="Arial" w:eastAsia="Arial" w:hAnsi="Arial" w:cs="Arial"/>
                <w:color w:val="000000"/>
                <w:sz w:val="22"/>
                <w:szCs w:val="22"/>
              </w:rPr>
              <w:t xml:space="preserve">Please describe how you will monitor performance against the outcomes/milestones and who will be accountable for this.  </w:t>
            </w:r>
          </w:p>
          <w:p w14:paraId="129F7050" w14:textId="77777777" w:rsidR="009C6D88" w:rsidRDefault="009C6D88">
            <w:pPr>
              <w:widowControl/>
              <w:pBdr>
                <w:top w:val="nil"/>
                <w:left w:val="nil"/>
                <w:bottom w:val="nil"/>
                <w:right w:val="nil"/>
                <w:between w:val="nil"/>
              </w:pBdr>
              <w:spacing w:before="280" w:line="276" w:lineRule="auto"/>
              <w:ind w:hanging="2"/>
              <w:jc w:val="left"/>
              <w:rPr>
                <w:rFonts w:ascii="Arial" w:eastAsia="Arial" w:hAnsi="Arial" w:cs="Arial"/>
                <w:color w:val="000000"/>
                <w:sz w:val="22"/>
                <w:szCs w:val="22"/>
              </w:rPr>
            </w:pPr>
          </w:p>
        </w:tc>
        <w:tc>
          <w:tcPr>
            <w:tcW w:w="5833" w:type="dxa"/>
          </w:tcPr>
          <w:p w14:paraId="09A4790B" w14:textId="77777777" w:rsidR="009C6D88" w:rsidRDefault="009C6D88">
            <w:pPr>
              <w:spacing w:line="276" w:lineRule="auto"/>
              <w:ind w:hanging="2"/>
              <w:rPr>
                <w:rFonts w:ascii="Arial" w:eastAsia="Arial" w:hAnsi="Arial" w:cs="Arial"/>
                <w:sz w:val="22"/>
                <w:szCs w:val="22"/>
              </w:rPr>
            </w:pPr>
          </w:p>
        </w:tc>
      </w:tr>
      <w:tr w:rsidR="009C6D88" w14:paraId="23DA232C" w14:textId="77777777">
        <w:tc>
          <w:tcPr>
            <w:tcW w:w="2689" w:type="dxa"/>
          </w:tcPr>
          <w:p w14:paraId="58117D79" w14:textId="77777777" w:rsidR="009C6D88" w:rsidRDefault="00000000">
            <w:pPr>
              <w:widowControl/>
              <w:pBdr>
                <w:top w:val="nil"/>
                <w:left w:val="nil"/>
                <w:bottom w:val="nil"/>
                <w:right w:val="nil"/>
                <w:between w:val="nil"/>
              </w:pBdr>
              <w:spacing w:after="280" w:line="276" w:lineRule="auto"/>
              <w:ind w:hanging="2"/>
              <w:jc w:val="left"/>
              <w:rPr>
                <w:rFonts w:ascii="Arial" w:eastAsia="Arial" w:hAnsi="Arial" w:cs="Arial"/>
                <w:color w:val="000000"/>
                <w:sz w:val="22"/>
                <w:szCs w:val="22"/>
              </w:rPr>
            </w:pPr>
            <w:r>
              <w:rPr>
                <w:rFonts w:ascii="Arial" w:eastAsia="Arial" w:hAnsi="Arial" w:cs="Arial"/>
                <w:color w:val="000000"/>
                <w:sz w:val="22"/>
                <w:szCs w:val="22"/>
              </w:rPr>
              <w:t>Number of SCS in the department already in receipt of a Pivotal Role Allowance</w:t>
            </w:r>
          </w:p>
          <w:p w14:paraId="3207609A" w14:textId="77777777" w:rsidR="009C6D88" w:rsidRDefault="009C6D88">
            <w:pPr>
              <w:widowControl/>
              <w:pBdr>
                <w:top w:val="nil"/>
                <w:left w:val="nil"/>
                <w:bottom w:val="nil"/>
                <w:right w:val="nil"/>
                <w:between w:val="nil"/>
              </w:pBdr>
              <w:spacing w:before="280" w:line="276" w:lineRule="auto"/>
              <w:ind w:hanging="2"/>
              <w:jc w:val="left"/>
              <w:rPr>
                <w:rFonts w:ascii="Arial" w:eastAsia="Arial" w:hAnsi="Arial" w:cs="Arial"/>
                <w:color w:val="000000"/>
                <w:sz w:val="22"/>
                <w:szCs w:val="22"/>
              </w:rPr>
            </w:pPr>
          </w:p>
        </w:tc>
        <w:tc>
          <w:tcPr>
            <w:tcW w:w="5833" w:type="dxa"/>
          </w:tcPr>
          <w:p w14:paraId="6011BF06" w14:textId="77777777" w:rsidR="009C6D88" w:rsidRDefault="009C6D88">
            <w:pPr>
              <w:spacing w:line="276" w:lineRule="auto"/>
              <w:ind w:hanging="2"/>
              <w:rPr>
                <w:rFonts w:ascii="Arial" w:eastAsia="Arial" w:hAnsi="Arial" w:cs="Arial"/>
                <w:sz w:val="22"/>
                <w:szCs w:val="22"/>
              </w:rPr>
            </w:pPr>
          </w:p>
        </w:tc>
      </w:tr>
      <w:tr w:rsidR="009C6D88" w14:paraId="11E3AE86" w14:textId="77777777">
        <w:tc>
          <w:tcPr>
            <w:tcW w:w="2689" w:type="dxa"/>
          </w:tcPr>
          <w:p w14:paraId="0284083C" w14:textId="77777777" w:rsidR="009C6D88" w:rsidRDefault="00000000">
            <w:pPr>
              <w:spacing w:after="280" w:line="276" w:lineRule="auto"/>
              <w:ind w:hanging="2"/>
              <w:rPr>
                <w:rFonts w:ascii="Arial" w:eastAsia="Arial" w:hAnsi="Arial" w:cs="Arial"/>
                <w:sz w:val="22"/>
                <w:szCs w:val="22"/>
              </w:rPr>
            </w:pPr>
            <w:r>
              <w:rPr>
                <w:rFonts w:ascii="Arial" w:eastAsia="Arial" w:hAnsi="Arial" w:cs="Arial"/>
                <w:sz w:val="22"/>
                <w:szCs w:val="22"/>
              </w:rPr>
              <w:t>For specialist roles, please confirm that Head of Profession is supporting</w:t>
            </w:r>
          </w:p>
          <w:p w14:paraId="1E3C9095" w14:textId="77777777" w:rsidR="009C6D88" w:rsidRDefault="009C6D88">
            <w:pPr>
              <w:spacing w:before="280" w:line="276" w:lineRule="auto"/>
              <w:ind w:hanging="2"/>
              <w:rPr>
                <w:rFonts w:ascii="Arial" w:eastAsia="Arial" w:hAnsi="Arial" w:cs="Arial"/>
                <w:sz w:val="22"/>
                <w:szCs w:val="22"/>
              </w:rPr>
            </w:pPr>
          </w:p>
        </w:tc>
        <w:tc>
          <w:tcPr>
            <w:tcW w:w="5833" w:type="dxa"/>
          </w:tcPr>
          <w:p w14:paraId="1483731C" w14:textId="77777777" w:rsidR="009C6D88" w:rsidRDefault="009C6D88">
            <w:pPr>
              <w:spacing w:line="276" w:lineRule="auto"/>
              <w:ind w:hanging="2"/>
              <w:rPr>
                <w:rFonts w:ascii="Arial" w:eastAsia="Arial" w:hAnsi="Arial" w:cs="Arial"/>
                <w:sz w:val="22"/>
                <w:szCs w:val="22"/>
              </w:rPr>
            </w:pPr>
          </w:p>
        </w:tc>
      </w:tr>
      <w:tr w:rsidR="009C6D88" w14:paraId="73201471" w14:textId="77777777">
        <w:tc>
          <w:tcPr>
            <w:tcW w:w="2689" w:type="dxa"/>
          </w:tcPr>
          <w:p w14:paraId="66AB0ABE" w14:textId="77777777" w:rsidR="009C6D88" w:rsidRDefault="00000000">
            <w:pPr>
              <w:spacing w:after="280" w:line="276" w:lineRule="auto"/>
              <w:ind w:hanging="2"/>
              <w:rPr>
                <w:rFonts w:ascii="Arial" w:eastAsia="Arial" w:hAnsi="Arial" w:cs="Arial"/>
                <w:sz w:val="22"/>
                <w:szCs w:val="22"/>
              </w:rPr>
            </w:pPr>
            <w:r>
              <w:rPr>
                <w:rFonts w:ascii="Arial" w:eastAsia="Arial" w:hAnsi="Arial" w:cs="Arial"/>
                <w:sz w:val="22"/>
                <w:szCs w:val="22"/>
              </w:rPr>
              <w:t>Name of Accounting Officer supporting this application</w:t>
            </w:r>
          </w:p>
          <w:p w14:paraId="4AC8007A" w14:textId="77777777" w:rsidR="009C6D88" w:rsidRDefault="009C6D88">
            <w:pPr>
              <w:spacing w:before="280" w:line="276" w:lineRule="auto"/>
              <w:ind w:hanging="2"/>
              <w:rPr>
                <w:rFonts w:ascii="Arial" w:eastAsia="Arial" w:hAnsi="Arial" w:cs="Arial"/>
                <w:sz w:val="22"/>
                <w:szCs w:val="22"/>
              </w:rPr>
            </w:pPr>
          </w:p>
        </w:tc>
        <w:tc>
          <w:tcPr>
            <w:tcW w:w="5833" w:type="dxa"/>
          </w:tcPr>
          <w:p w14:paraId="75C71FE9" w14:textId="77777777" w:rsidR="009C6D88" w:rsidRDefault="009C6D88">
            <w:pPr>
              <w:spacing w:line="276" w:lineRule="auto"/>
              <w:ind w:hanging="2"/>
              <w:rPr>
                <w:rFonts w:ascii="Arial" w:eastAsia="Arial" w:hAnsi="Arial" w:cs="Arial"/>
                <w:sz w:val="22"/>
                <w:szCs w:val="22"/>
              </w:rPr>
            </w:pPr>
          </w:p>
        </w:tc>
      </w:tr>
      <w:tr w:rsidR="009C6D88" w14:paraId="36F543A9" w14:textId="77777777">
        <w:tc>
          <w:tcPr>
            <w:tcW w:w="2689" w:type="dxa"/>
          </w:tcPr>
          <w:p w14:paraId="30BD3B59" w14:textId="77777777" w:rsidR="009C6D88" w:rsidRDefault="00000000">
            <w:pPr>
              <w:spacing w:after="280" w:line="276" w:lineRule="auto"/>
              <w:ind w:hanging="2"/>
              <w:rPr>
                <w:rFonts w:ascii="Arial" w:eastAsia="Arial" w:hAnsi="Arial" w:cs="Arial"/>
                <w:sz w:val="22"/>
                <w:szCs w:val="22"/>
              </w:rPr>
            </w:pPr>
            <w:r>
              <w:rPr>
                <w:rFonts w:ascii="Arial" w:eastAsia="Arial" w:hAnsi="Arial" w:cs="Arial"/>
                <w:sz w:val="22"/>
                <w:szCs w:val="22"/>
              </w:rPr>
              <w:t>Name of Permanent Secretary supporting this application</w:t>
            </w:r>
          </w:p>
          <w:p w14:paraId="669A8864" w14:textId="77777777" w:rsidR="009C6D88" w:rsidRDefault="009C6D88">
            <w:pPr>
              <w:spacing w:before="280" w:line="276" w:lineRule="auto"/>
              <w:ind w:hanging="2"/>
              <w:rPr>
                <w:rFonts w:ascii="Arial" w:eastAsia="Arial" w:hAnsi="Arial" w:cs="Arial"/>
                <w:sz w:val="22"/>
                <w:szCs w:val="22"/>
              </w:rPr>
            </w:pPr>
          </w:p>
        </w:tc>
        <w:tc>
          <w:tcPr>
            <w:tcW w:w="5833" w:type="dxa"/>
          </w:tcPr>
          <w:p w14:paraId="516F53F8" w14:textId="77777777" w:rsidR="009C6D88" w:rsidRDefault="009C6D88">
            <w:pPr>
              <w:spacing w:line="276" w:lineRule="auto"/>
              <w:ind w:hanging="2"/>
              <w:rPr>
                <w:rFonts w:ascii="Arial" w:eastAsia="Arial" w:hAnsi="Arial" w:cs="Arial"/>
                <w:sz w:val="22"/>
                <w:szCs w:val="22"/>
              </w:rPr>
            </w:pPr>
          </w:p>
        </w:tc>
      </w:tr>
      <w:tr w:rsidR="009C6D88" w14:paraId="6B7B0475" w14:textId="77777777">
        <w:tc>
          <w:tcPr>
            <w:tcW w:w="2689" w:type="dxa"/>
          </w:tcPr>
          <w:p w14:paraId="7A3179D1" w14:textId="77777777" w:rsidR="009C6D88" w:rsidRDefault="00000000">
            <w:pPr>
              <w:spacing w:after="280" w:line="276" w:lineRule="auto"/>
              <w:ind w:hanging="2"/>
              <w:rPr>
                <w:rFonts w:ascii="Arial" w:eastAsia="Arial" w:hAnsi="Arial" w:cs="Arial"/>
                <w:sz w:val="22"/>
                <w:szCs w:val="22"/>
              </w:rPr>
            </w:pPr>
            <w:r>
              <w:rPr>
                <w:rFonts w:ascii="Arial" w:eastAsia="Arial" w:hAnsi="Arial" w:cs="Arial"/>
                <w:sz w:val="22"/>
                <w:szCs w:val="22"/>
              </w:rPr>
              <w:t>View of Departmental Minister</w:t>
            </w:r>
          </w:p>
          <w:p w14:paraId="571B3572" w14:textId="77777777" w:rsidR="009C6D88" w:rsidRDefault="009C6D88">
            <w:pPr>
              <w:spacing w:before="280" w:line="276" w:lineRule="auto"/>
              <w:ind w:hanging="2"/>
              <w:rPr>
                <w:rFonts w:ascii="Arial" w:eastAsia="Arial" w:hAnsi="Arial" w:cs="Arial"/>
                <w:sz w:val="22"/>
                <w:szCs w:val="22"/>
              </w:rPr>
            </w:pPr>
          </w:p>
        </w:tc>
        <w:tc>
          <w:tcPr>
            <w:tcW w:w="5833" w:type="dxa"/>
          </w:tcPr>
          <w:p w14:paraId="49DE2D41" w14:textId="77777777" w:rsidR="009C6D88" w:rsidRDefault="009C6D88">
            <w:pPr>
              <w:spacing w:line="276" w:lineRule="auto"/>
              <w:ind w:hanging="2"/>
              <w:rPr>
                <w:rFonts w:ascii="Arial" w:eastAsia="Arial" w:hAnsi="Arial" w:cs="Arial"/>
                <w:sz w:val="22"/>
                <w:szCs w:val="22"/>
              </w:rPr>
            </w:pPr>
          </w:p>
        </w:tc>
      </w:tr>
      <w:tr w:rsidR="009C6D88" w14:paraId="56F852D0" w14:textId="77777777">
        <w:tc>
          <w:tcPr>
            <w:tcW w:w="2689" w:type="dxa"/>
          </w:tcPr>
          <w:p w14:paraId="6966E148" w14:textId="77777777" w:rsidR="009C6D88" w:rsidRDefault="00000000">
            <w:pPr>
              <w:spacing w:after="280" w:line="276" w:lineRule="auto"/>
              <w:ind w:hanging="2"/>
              <w:rPr>
                <w:rFonts w:ascii="Arial" w:eastAsia="Arial" w:hAnsi="Arial" w:cs="Arial"/>
                <w:sz w:val="22"/>
                <w:szCs w:val="22"/>
              </w:rPr>
            </w:pPr>
            <w:r>
              <w:rPr>
                <w:rFonts w:ascii="Arial" w:eastAsia="Arial" w:hAnsi="Arial" w:cs="Arial"/>
                <w:sz w:val="22"/>
                <w:szCs w:val="22"/>
              </w:rPr>
              <w:t>Name and post of person submitting this application</w:t>
            </w:r>
          </w:p>
          <w:p w14:paraId="2ADD6CD6" w14:textId="77777777" w:rsidR="009C6D88" w:rsidRDefault="009C6D88">
            <w:pPr>
              <w:spacing w:before="280" w:line="276" w:lineRule="auto"/>
              <w:ind w:hanging="2"/>
              <w:rPr>
                <w:rFonts w:ascii="Arial" w:eastAsia="Arial" w:hAnsi="Arial" w:cs="Arial"/>
                <w:sz w:val="22"/>
                <w:szCs w:val="22"/>
              </w:rPr>
            </w:pPr>
          </w:p>
        </w:tc>
        <w:tc>
          <w:tcPr>
            <w:tcW w:w="5833" w:type="dxa"/>
          </w:tcPr>
          <w:p w14:paraId="0BA513E1" w14:textId="77777777" w:rsidR="009C6D88" w:rsidRDefault="009C6D88">
            <w:pPr>
              <w:spacing w:line="276" w:lineRule="auto"/>
              <w:ind w:hanging="2"/>
              <w:rPr>
                <w:rFonts w:ascii="Arial" w:eastAsia="Arial" w:hAnsi="Arial" w:cs="Arial"/>
                <w:sz w:val="22"/>
                <w:szCs w:val="22"/>
              </w:rPr>
            </w:pPr>
          </w:p>
        </w:tc>
      </w:tr>
      <w:tr w:rsidR="009C6D88" w14:paraId="498A498D" w14:textId="77777777">
        <w:tc>
          <w:tcPr>
            <w:tcW w:w="2689" w:type="dxa"/>
          </w:tcPr>
          <w:p w14:paraId="0F8DD89F" w14:textId="77777777" w:rsidR="009C6D88" w:rsidRDefault="00000000">
            <w:pPr>
              <w:spacing w:after="280" w:line="276" w:lineRule="auto"/>
              <w:ind w:hanging="2"/>
              <w:rPr>
                <w:rFonts w:ascii="Arial" w:eastAsia="Arial" w:hAnsi="Arial" w:cs="Arial"/>
                <w:sz w:val="22"/>
                <w:szCs w:val="22"/>
              </w:rPr>
            </w:pPr>
            <w:r>
              <w:rPr>
                <w:rFonts w:ascii="Arial" w:eastAsia="Arial" w:hAnsi="Arial" w:cs="Arial"/>
                <w:sz w:val="22"/>
                <w:szCs w:val="22"/>
              </w:rPr>
              <w:t xml:space="preserve">Contact telephone and email </w:t>
            </w:r>
          </w:p>
          <w:p w14:paraId="4FBC042F" w14:textId="77777777" w:rsidR="009C6D88" w:rsidRDefault="009C6D88">
            <w:pPr>
              <w:spacing w:before="280" w:line="276" w:lineRule="auto"/>
              <w:ind w:hanging="2"/>
              <w:rPr>
                <w:rFonts w:ascii="Arial" w:eastAsia="Arial" w:hAnsi="Arial" w:cs="Arial"/>
                <w:sz w:val="22"/>
                <w:szCs w:val="22"/>
              </w:rPr>
            </w:pPr>
          </w:p>
        </w:tc>
        <w:tc>
          <w:tcPr>
            <w:tcW w:w="5833" w:type="dxa"/>
          </w:tcPr>
          <w:p w14:paraId="7AF9504B" w14:textId="77777777" w:rsidR="009C6D88" w:rsidRDefault="00000000">
            <w:pPr>
              <w:spacing w:line="276" w:lineRule="auto"/>
              <w:ind w:hanging="2"/>
              <w:rPr>
                <w:rFonts w:ascii="Arial" w:eastAsia="Arial" w:hAnsi="Arial" w:cs="Arial"/>
                <w:sz w:val="22"/>
                <w:szCs w:val="22"/>
              </w:rPr>
            </w:pPr>
            <w:r>
              <w:rPr>
                <w:rFonts w:ascii="Arial" w:eastAsia="Arial" w:hAnsi="Arial" w:cs="Arial"/>
                <w:sz w:val="22"/>
                <w:szCs w:val="22"/>
              </w:rPr>
              <w:lastRenderedPageBreak/>
              <w:t xml:space="preserve"> </w:t>
            </w:r>
          </w:p>
        </w:tc>
      </w:tr>
      <w:tr w:rsidR="009C6D88" w14:paraId="29E75F9A" w14:textId="77777777">
        <w:tc>
          <w:tcPr>
            <w:tcW w:w="2689" w:type="dxa"/>
          </w:tcPr>
          <w:p w14:paraId="59348D3F" w14:textId="77777777" w:rsidR="009C6D88" w:rsidRDefault="00000000">
            <w:pPr>
              <w:spacing w:after="280" w:line="276" w:lineRule="auto"/>
              <w:ind w:hanging="2"/>
              <w:rPr>
                <w:rFonts w:ascii="Arial" w:eastAsia="Arial" w:hAnsi="Arial" w:cs="Arial"/>
                <w:sz w:val="22"/>
                <w:szCs w:val="22"/>
              </w:rPr>
            </w:pPr>
            <w:r>
              <w:rPr>
                <w:rFonts w:ascii="Arial" w:eastAsia="Arial" w:hAnsi="Arial" w:cs="Arial"/>
                <w:sz w:val="22"/>
                <w:szCs w:val="22"/>
              </w:rPr>
              <w:t>Date of application</w:t>
            </w:r>
          </w:p>
          <w:p w14:paraId="501BA0B9" w14:textId="77777777" w:rsidR="009C6D88" w:rsidRDefault="009C6D88">
            <w:pPr>
              <w:spacing w:before="280" w:line="276" w:lineRule="auto"/>
              <w:ind w:hanging="2"/>
              <w:rPr>
                <w:rFonts w:ascii="Arial" w:eastAsia="Arial" w:hAnsi="Arial" w:cs="Arial"/>
                <w:sz w:val="22"/>
                <w:szCs w:val="22"/>
              </w:rPr>
            </w:pPr>
          </w:p>
        </w:tc>
        <w:tc>
          <w:tcPr>
            <w:tcW w:w="5833" w:type="dxa"/>
          </w:tcPr>
          <w:p w14:paraId="4EF1B631" w14:textId="77777777" w:rsidR="009C6D88" w:rsidRDefault="009C6D88">
            <w:pPr>
              <w:spacing w:line="276" w:lineRule="auto"/>
              <w:ind w:hanging="2"/>
              <w:rPr>
                <w:rFonts w:ascii="Arial" w:eastAsia="Arial" w:hAnsi="Arial" w:cs="Arial"/>
                <w:sz w:val="22"/>
                <w:szCs w:val="22"/>
              </w:rPr>
            </w:pPr>
          </w:p>
        </w:tc>
      </w:tr>
    </w:tbl>
    <w:p w14:paraId="2C4B5CB5" w14:textId="77777777" w:rsidR="009C6D88" w:rsidRDefault="009C6D88">
      <w:pPr>
        <w:ind w:hanging="2"/>
        <w:rPr>
          <w:rFonts w:ascii="Arial" w:eastAsia="Arial" w:hAnsi="Arial" w:cs="Arial"/>
        </w:rPr>
      </w:pPr>
    </w:p>
    <w:p w14:paraId="62304359" w14:textId="77777777" w:rsidR="009C6D88" w:rsidRDefault="00000000">
      <w:pPr>
        <w:widowControl/>
        <w:ind w:firstLine="0"/>
        <w:jc w:val="left"/>
        <w:rPr>
          <w:rFonts w:ascii="Arial" w:eastAsia="Arial" w:hAnsi="Arial" w:cs="Arial"/>
        </w:rPr>
      </w:pPr>
      <w:r>
        <w:br w:type="page"/>
      </w:r>
    </w:p>
    <w:p w14:paraId="7094A4FD" w14:textId="77777777" w:rsidR="009C6D88" w:rsidRDefault="00000000">
      <w:pPr>
        <w:ind w:left="6480" w:firstLine="720"/>
        <w:rPr>
          <w:rFonts w:ascii="Arial" w:eastAsia="Arial" w:hAnsi="Arial" w:cs="Arial"/>
          <w:u w:val="single"/>
        </w:rPr>
      </w:pPr>
      <w:r>
        <w:rPr>
          <w:rFonts w:ascii="Arial" w:eastAsia="Arial" w:hAnsi="Arial" w:cs="Arial"/>
          <w:b/>
          <w:u w:val="single"/>
        </w:rPr>
        <w:lastRenderedPageBreak/>
        <w:t>Annex B</w:t>
      </w:r>
    </w:p>
    <w:p w14:paraId="118A8130" w14:textId="77777777" w:rsidR="009C6D88" w:rsidRDefault="00000000">
      <w:pPr>
        <w:widowControl/>
        <w:pBdr>
          <w:top w:val="nil"/>
          <w:left w:val="nil"/>
          <w:bottom w:val="nil"/>
          <w:right w:val="nil"/>
          <w:between w:val="nil"/>
        </w:pBdr>
        <w:tabs>
          <w:tab w:val="center" w:pos="4153"/>
          <w:tab w:val="right" w:pos="8306"/>
        </w:tabs>
        <w:ind w:hanging="2"/>
        <w:rPr>
          <w:rFonts w:ascii="Arial" w:eastAsia="Arial" w:hAnsi="Arial" w:cs="Arial"/>
          <w:b/>
          <w:color w:val="000000"/>
        </w:rPr>
      </w:pPr>
      <w:r>
        <w:rPr>
          <w:rFonts w:ascii="Arial" w:eastAsia="Arial" w:hAnsi="Arial" w:cs="Arial"/>
          <w:b/>
          <w:color w:val="000000"/>
        </w:rPr>
        <w:t>Additional SCS pay flexibilities</w:t>
      </w:r>
    </w:p>
    <w:p w14:paraId="098ACAE9"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2C96F029" w14:textId="77777777" w:rsidR="009C6D88" w:rsidRDefault="00000000">
      <w:pPr>
        <w:widowControl/>
        <w:pBdr>
          <w:top w:val="nil"/>
          <w:left w:val="nil"/>
          <w:bottom w:val="nil"/>
          <w:right w:val="nil"/>
          <w:between w:val="nil"/>
        </w:pBdr>
        <w:tabs>
          <w:tab w:val="center" w:pos="4153"/>
          <w:tab w:val="right" w:pos="8306"/>
        </w:tabs>
        <w:ind w:hanging="2"/>
        <w:rPr>
          <w:rFonts w:ascii="Arial" w:eastAsia="Arial" w:hAnsi="Arial" w:cs="Arial"/>
          <w:i/>
          <w:color w:val="000000"/>
          <w:u w:val="single"/>
        </w:rPr>
      </w:pPr>
      <w:r>
        <w:rPr>
          <w:rFonts w:ascii="Arial" w:eastAsia="Arial" w:hAnsi="Arial" w:cs="Arial"/>
          <w:i/>
          <w:color w:val="000000"/>
          <w:u w:val="single"/>
        </w:rPr>
        <w:t>Converting non-consolidated funding into consolidated pay</w:t>
      </w:r>
    </w:p>
    <w:p w14:paraId="3588327B"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u w:val="single"/>
        </w:rPr>
      </w:pPr>
    </w:p>
    <w:p w14:paraId="45056D81" w14:textId="77777777" w:rsidR="009C6D88" w:rsidRDefault="00000000">
      <w:pPr>
        <w:widowControl/>
        <w:pBdr>
          <w:top w:val="nil"/>
          <w:left w:val="nil"/>
          <w:bottom w:val="nil"/>
          <w:right w:val="nil"/>
          <w:between w:val="nil"/>
        </w:pBdr>
        <w:tabs>
          <w:tab w:val="center" w:pos="4153"/>
          <w:tab w:val="right" w:pos="8306"/>
        </w:tabs>
        <w:ind w:hanging="2"/>
        <w:rPr>
          <w:rFonts w:ascii="Arial" w:eastAsia="Arial" w:hAnsi="Arial" w:cs="Arial"/>
          <w:color w:val="222222"/>
        </w:rPr>
      </w:pPr>
      <w:r>
        <w:rPr>
          <w:rFonts w:ascii="Arial" w:eastAsia="Arial" w:hAnsi="Arial" w:cs="Arial"/>
          <w:color w:val="000000"/>
        </w:rPr>
        <w:t xml:space="preserve">The Cabinet Office and HM Treasury will consider, on an exceptional basis, requests from departments for the flexibility to address specific recruitment and retention pressures and other pay anomalies by re-allocating some limited funding within their overall SCS </w:t>
      </w:r>
      <w:proofErr w:type="spellStart"/>
      <w:r>
        <w:rPr>
          <w:rFonts w:ascii="Arial" w:eastAsia="Arial" w:hAnsi="Arial" w:cs="Arial"/>
          <w:color w:val="000000"/>
        </w:rPr>
        <w:t>paybill</w:t>
      </w:r>
      <w:proofErr w:type="spellEnd"/>
      <w:r>
        <w:rPr>
          <w:rFonts w:ascii="Arial" w:eastAsia="Arial" w:hAnsi="Arial" w:cs="Arial"/>
          <w:color w:val="000000"/>
        </w:rPr>
        <w:t>.</w:t>
      </w:r>
    </w:p>
    <w:p w14:paraId="7C46B903" w14:textId="77777777" w:rsidR="009C6D88" w:rsidRDefault="00000000">
      <w:pPr>
        <w:pBdr>
          <w:top w:val="nil"/>
          <w:left w:val="nil"/>
          <w:bottom w:val="nil"/>
          <w:right w:val="nil"/>
          <w:between w:val="nil"/>
        </w:pBdr>
        <w:shd w:val="clear" w:color="auto" w:fill="FFFFFF"/>
        <w:tabs>
          <w:tab w:val="center" w:pos="4153"/>
          <w:tab w:val="right" w:pos="8306"/>
        </w:tabs>
        <w:ind w:hanging="2"/>
        <w:rPr>
          <w:rFonts w:ascii="Arial" w:eastAsia="Arial" w:hAnsi="Arial" w:cs="Arial"/>
          <w:color w:val="222222"/>
        </w:rPr>
      </w:pPr>
      <w:r>
        <w:rPr>
          <w:rFonts w:ascii="Arial" w:eastAsia="Arial" w:hAnsi="Arial" w:cs="Arial"/>
          <w:color w:val="000000"/>
        </w:rPr>
        <w:t xml:space="preserve"> </w:t>
      </w:r>
    </w:p>
    <w:p w14:paraId="4034AF69" w14:textId="77777777" w:rsidR="009C6D88" w:rsidRDefault="00000000">
      <w:pPr>
        <w:widowControl/>
        <w:pBdr>
          <w:top w:val="nil"/>
          <w:left w:val="nil"/>
          <w:bottom w:val="nil"/>
          <w:right w:val="nil"/>
          <w:between w:val="nil"/>
        </w:pBdr>
        <w:tabs>
          <w:tab w:val="center" w:pos="4153"/>
          <w:tab w:val="right" w:pos="8306"/>
        </w:tabs>
        <w:ind w:hanging="2"/>
        <w:rPr>
          <w:rFonts w:ascii="Arial" w:eastAsia="Arial" w:hAnsi="Arial" w:cs="Arial"/>
          <w:color w:val="222222"/>
        </w:rPr>
      </w:pPr>
      <w:r>
        <w:rPr>
          <w:rFonts w:ascii="Arial" w:eastAsia="Arial" w:hAnsi="Arial" w:cs="Arial"/>
          <w:color w:val="222222"/>
        </w:rPr>
        <w:t>Departments wishing to convert part of their non-consolidated pot to address recruitment and retention pressures are required to submit a business case to the Cabinet Office. This should meet all three of the following eligibility criteria:</w:t>
      </w:r>
    </w:p>
    <w:p w14:paraId="403A2AC8" w14:textId="77777777" w:rsidR="009C6D88" w:rsidRDefault="009C6D88">
      <w:pPr>
        <w:pBdr>
          <w:top w:val="nil"/>
          <w:left w:val="nil"/>
          <w:bottom w:val="nil"/>
          <w:right w:val="nil"/>
          <w:between w:val="nil"/>
        </w:pBdr>
        <w:shd w:val="clear" w:color="auto" w:fill="FFFFFF"/>
        <w:tabs>
          <w:tab w:val="center" w:pos="4153"/>
          <w:tab w:val="right" w:pos="8306"/>
        </w:tabs>
        <w:ind w:hanging="2"/>
        <w:rPr>
          <w:rFonts w:ascii="Arial" w:eastAsia="Arial" w:hAnsi="Arial" w:cs="Arial"/>
          <w:color w:val="222222"/>
        </w:rPr>
      </w:pPr>
    </w:p>
    <w:p w14:paraId="12881A1E" w14:textId="77777777" w:rsidR="009C6D88" w:rsidRDefault="00000000">
      <w:pPr>
        <w:widowControl/>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The roles should be business critical.</w:t>
      </w:r>
    </w:p>
    <w:p w14:paraId="0A5EB41D" w14:textId="77777777" w:rsidR="009C6D88" w:rsidRDefault="00000000">
      <w:pPr>
        <w:widowControl/>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Current pay should be below the median for the whole SCS population at the relevant pay band</w:t>
      </w:r>
      <w:r>
        <w:rPr>
          <w:rFonts w:ascii="Arial" w:eastAsia="Arial" w:hAnsi="Arial" w:cs="Arial"/>
        </w:rPr>
        <w:t>.</w:t>
      </w:r>
    </w:p>
    <w:p w14:paraId="6E306D63" w14:textId="77777777" w:rsidR="009C6D88" w:rsidRDefault="00000000">
      <w:pPr>
        <w:widowControl/>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Subject to performance of individuals.</w:t>
      </w:r>
    </w:p>
    <w:p w14:paraId="52E1594A" w14:textId="77777777" w:rsidR="009C6D88" w:rsidRDefault="009C6D88">
      <w:pPr>
        <w:shd w:val="clear" w:color="auto" w:fill="FFFFFF"/>
        <w:ind w:hanging="2"/>
        <w:rPr>
          <w:rFonts w:ascii="Arial" w:eastAsia="Arial" w:hAnsi="Arial" w:cs="Arial"/>
          <w:color w:val="222222"/>
        </w:rPr>
      </w:pPr>
    </w:p>
    <w:p w14:paraId="2A2B3C22" w14:textId="77777777" w:rsidR="009C6D88" w:rsidRDefault="00000000">
      <w:pPr>
        <w:widowControl/>
        <w:pBdr>
          <w:top w:val="nil"/>
          <w:left w:val="nil"/>
          <w:bottom w:val="nil"/>
          <w:right w:val="nil"/>
          <w:between w:val="nil"/>
        </w:pBdr>
        <w:tabs>
          <w:tab w:val="center" w:pos="4153"/>
          <w:tab w:val="right" w:pos="8306"/>
        </w:tabs>
        <w:ind w:hanging="2"/>
        <w:rPr>
          <w:rFonts w:ascii="Arial" w:eastAsia="Arial" w:hAnsi="Arial" w:cs="Arial"/>
          <w:color w:val="222222"/>
        </w:rPr>
      </w:pPr>
      <w:r>
        <w:rPr>
          <w:rFonts w:ascii="Arial" w:eastAsia="Arial" w:hAnsi="Arial" w:cs="Arial"/>
          <w:color w:val="222222"/>
        </w:rPr>
        <w:t xml:space="preserve">The flexibility is also available to address equal pay liabilities where these can be fully evidenced and supported by legal advice. </w:t>
      </w:r>
    </w:p>
    <w:p w14:paraId="57AEAC6E" w14:textId="77777777" w:rsidR="009C6D88" w:rsidRDefault="009C6D88">
      <w:pPr>
        <w:pBdr>
          <w:top w:val="nil"/>
          <w:left w:val="nil"/>
          <w:bottom w:val="nil"/>
          <w:right w:val="nil"/>
          <w:between w:val="nil"/>
        </w:pBdr>
        <w:shd w:val="clear" w:color="auto" w:fill="FFFFFF"/>
        <w:tabs>
          <w:tab w:val="center" w:pos="4153"/>
          <w:tab w:val="right" w:pos="8306"/>
        </w:tabs>
        <w:ind w:hanging="2"/>
        <w:rPr>
          <w:rFonts w:ascii="Arial" w:eastAsia="Arial" w:hAnsi="Arial" w:cs="Arial"/>
          <w:color w:val="222222"/>
        </w:rPr>
      </w:pPr>
    </w:p>
    <w:p w14:paraId="6319EE1F" w14:textId="77777777" w:rsidR="009C6D88" w:rsidRDefault="00000000">
      <w:pPr>
        <w:widowControl/>
        <w:pBdr>
          <w:top w:val="nil"/>
          <w:left w:val="nil"/>
          <w:bottom w:val="nil"/>
          <w:right w:val="nil"/>
          <w:between w:val="nil"/>
        </w:pBdr>
        <w:tabs>
          <w:tab w:val="center" w:pos="4153"/>
          <w:tab w:val="right" w:pos="8306"/>
        </w:tabs>
        <w:ind w:hanging="2"/>
        <w:rPr>
          <w:rFonts w:ascii="Arial" w:eastAsia="Arial" w:hAnsi="Arial" w:cs="Arial"/>
          <w:color w:val="222222"/>
        </w:rPr>
      </w:pPr>
      <w:r>
        <w:rPr>
          <w:rFonts w:ascii="Arial" w:eastAsia="Arial" w:hAnsi="Arial" w:cs="Arial"/>
          <w:color w:val="222222"/>
        </w:rPr>
        <w:t xml:space="preserve">Conversion is limited to a maximum of 0.5% of the 3.3% performance pay pot available. Any agreed conversion permanently reduces the NCPRP pot. Departments must be satisfied that the proposed reduction in the pot will not jeopardise the operation and effectiveness of their performance-related pay arrangements. </w:t>
      </w:r>
    </w:p>
    <w:p w14:paraId="74D10642" w14:textId="77777777" w:rsidR="009C6D88" w:rsidRDefault="009C6D88">
      <w:pPr>
        <w:pBdr>
          <w:top w:val="nil"/>
          <w:left w:val="nil"/>
          <w:bottom w:val="nil"/>
          <w:right w:val="nil"/>
          <w:between w:val="nil"/>
        </w:pBdr>
        <w:shd w:val="clear" w:color="auto" w:fill="FFFFFF"/>
        <w:tabs>
          <w:tab w:val="center" w:pos="4153"/>
          <w:tab w:val="right" w:pos="8306"/>
        </w:tabs>
        <w:ind w:hanging="2"/>
        <w:rPr>
          <w:rFonts w:ascii="Arial" w:eastAsia="Arial" w:hAnsi="Arial" w:cs="Arial"/>
          <w:color w:val="222222"/>
        </w:rPr>
      </w:pPr>
    </w:p>
    <w:p w14:paraId="11E9FA81" w14:textId="77777777" w:rsidR="009C6D88" w:rsidRDefault="00000000">
      <w:pPr>
        <w:widowControl/>
        <w:pBdr>
          <w:top w:val="nil"/>
          <w:left w:val="nil"/>
          <w:bottom w:val="nil"/>
          <w:right w:val="nil"/>
          <w:between w:val="nil"/>
        </w:pBdr>
        <w:tabs>
          <w:tab w:val="center" w:pos="4153"/>
          <w:tab w:val="right" w:pos="8306"/>
        </w:tabs>
        <w:ind w:hanging="2"/>
        <w:rPr>
          <w:rFonts w:ascii="Arial" w:eastAsia="Arial" w:hAnsi="Arial" w:cs="Arial"/>
          <w:color w:val="222222"/>
        </w:rPr>
      </w:pPr>
      <w:r>
        <w:rPr>
          <w:rFonts w:ascii="Arial" w:eastAsia="Arial" w:hAnsi="Arial" w:cs="Arial"/>
          <w:color w:val="222222"/>
        </w:rPr>
        <w:t>HM Treasury will be consulted on all cases and will want to consider the relative pay position of applicant departments compared to other departments. But that does not rule out higher paying departments if the eligibility criteria are met.</w:t>
      </w:r>
    </w:p>
    <w:p w14:paraId="583BE953" w14:textId="77777777" w:rsidR="009C6D88" w:rsidRDefault="00000000">
      <w:pPr>
        <w:pBdr>
          <w:top w:val="nil"/>
          <w:left w:val="nil"/>
          <w:bottom w:val="nil"/>
          <w:right w:val="nil"/>
          <w:between w:val="nil"/>
        </w:pBdr>
        <w:shd w:val="clear" w:color="auto" w:fill="FFFFFF"/>
        <w:tabs>
          <w:tab w:val="center" w:pos="4153"/>
          <w:tab w:val="right" w:pos="8306"/>
        </w:tabs>
        <w:ind w:hanging="2"/>
        <w:rPr>
          <w:rFonts w:ascii="Arial" w:eastAsia="Arial" w:hAnsi="Arial" w:cs="Arial"/>
          <w:color w:val="222222"/>
        </w:rPr>
      </w:pPr>
      <w:r>
        <w:rPr>
          <w:rFonts w:ascii="Arial" w:eastAsia="Arial" w:hAnsi="Arial" w:cs="Arial"/>
          <w:color w:val="222222"/>
        </w:rPr>
        <w:t xml:space="preserve"> </w:t>
      </w:r>
    </w:p>
    <w:p w14:paraId="0D72F36A" w14:textId="77777777" w:rsidR="009C6D88" w:rsidRDefault="00000000">
      <w:pPr>
        <w:widowControl/>
        <w:pBdr>
          <w:top w:val="nil"/>
          <w:left w:val="nil"/>
          <w:bottom w:val="nil"/>
          <w:right w:val="nil"/>
          <w:between w:val="nil"/>
        </w:pBdr>
        <w:tabs>
          <w:tab w:val="center" w:pos="4153"/>
          <w:tab w:val="right" w:pos="8306"/>
        </w:tabs>
        <w:ind w:hanging="2"/>
        <w:rPr>
          <w:rFonts w:ascii="Arial" w:eastAsia="Arial" w:hAnsi="Arial" w:cs="Arial"/>
          <w:color w:val="222222"/>
        </w:rPr>
      </w:pPr>
      <w:r>
        <w:rPr>
          <w:rFonts w:ascii="Arial" w:eastAsia="Arial" w:hAnsi="Arial" w:cs="Arial"/>
          <w:color w:val="222222"/>
        </w:rPr>
        <w:t>Departments should support their business case with the following information and data:</w:t>
      </w:r>
    </w:p>
    <w:p w14:paraId="0DF0F052" w14:textId="77777777" w:rsidR="009C6D88" w:rsidRDefault="009C6D88">
      <w:pPr>
        <w:pBdr>
          <w:top w:val="nil"/>
          <w:left w:val="nil"/>
          <w:bottom w:val="nil"/>
          <w:right w:val="nil"/>
          <w:between w:val="nil"/>
        </w:pBdr>
        <w:shd w:val="clear" w:color="auto" w:fill="FFFFFF"/>
        <w:tabs>
          <w:tab w:val="center" w:pos="4153"/>
          <w:tab w:val="right" w:pos="8306"/>
        </w:tabs>
        <w:ind w:hanging="2"/>
        <w:rPr>
          <w:rFonts w:ascii="Arial" w:eastAsia="Arial" w:hAnsi="Arial" w:cs="Arial"/>
          <w:color w:val="222222"/>
        </w:rPr>
      </w:pPr>
    </w:p>
    <w:p w14:paraId="6F401FDA" w14:textId="77777777" w:rsidR="009C6D88" w:rsidRDefault="00000000">
      <w:pPr>
        <w:numPr>
          <w:ilvl w:val="0"/>
          <w:numId w:val="10"/>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 xml:space="preserve">Details of the recruitment or retention pressure to be addressed and details of the </w:t>
      </w:r>
      <w:proofErr w:type="gramStart"/>
      <w:r>
        <w:rPr>
          <w:rFonts w:ascii="Arial" w:eastAsia="Arial" w:hAnsi="Arial" w:cs="Arial"/>
          <w:color w:val="222222"/>
        </w:rPr>
        <w:t>business critical</w:t>
      </w:r>
      <w:proofErr w:type="gramEnd"/>
      <w:r>
        <w:rPr>
          <w:rFonts w:ascii="Arial" w:eastAsia="Arial" w:hAnsi="Arial" w:cs="Arial"/>
          <w:color w:val="222222"/>
        </w:rPr>
        <w:t xml:space="preserve"> area(s) involved.</w:t>
      </w:r>
    </w:p>
    <w:p w14:paraId="0A12D287" w14:textId="77777777" w:rsidR="009C6D88" w:rsidRDefault="00000000">
      <w:pPr>
        <w:numPr>
          <w:ilvl w:val="0"/>
          <w:numId w:val="10"/>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 xml:space="preserve">The number and nature of posts involved; existing and proposed pay rates and the level of adjustments involved; the proposed reduction in the PRP pot; and the cost to the consolidated pay bill including on-costs (employer pension contributions and ERNICS). </w:t>
      </w:r>
    </w:p>
    <w:p w14:paraId="0F2340EA" w14:textId="77777777" w:rsidR="009C6D88" w:rsidRDefault="00000000">
      <w:pPr>
        <w:numPr>
          <w:ilvl w:val="0"/>
          <w:numId w:val="10"/>
        </w:num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 xml:space="preserve">The amount of the existing NCPRP pot calculated as a percentage of current SCS </w:t>
      </w:r>
      <w:proofErr w:type="spellStart"/>
      <w:r>
        <w:rPr>
          <w:rFonts w:ascii="Arial" w:eastAsia="Arial" w:hAnsi="Arial" w:cs="Arial"/>
          <w:color w:val="222222"/>
        </w:rPr>
        <w:t>paybill</w:t>
      </w:r>
      <w:proofErr w:type="spellEnd"/>
      <w:r>
        <w:rPr>
          <w:rFonts w:ascii="Arial" w:eastAsia="Arial" w:hAnsi="Arial" w:cs="Arial"/>
          <w:color w:val="222222"/>
        </w:rPr>
        <w:t xml:space="preserve">. </w:t>
      </w:r>
    </w:p>
    <w:p w14:paraId="567E0981" w14:textId="77777777" w:rsidR="009C6D88" w:rsidRDefault="00000000">
      <w:pPr>
        <w:numPr>
          <w:ilvl w:val="0"/>
          <w:numId w:val="10"/>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222222"/>
        </w:rPr>
        <w:t xml:space="preserve">Demonstrate how the pay award is already being targeted to reflect position in pay range and performance, and to address any other anomalies.  </w:t>
      </w:r>
    </w:p>
    <w:p w14:paraId="3C3F720E"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u w:val="single"/>
        </w:rPr>
      </w:pPr>
    </w:p>
    <w:p w14:paraId="690754E8" w14:textId="77777777" w:rsidR="009C6D88" w:rsidRDefault="00000000">
      <w:pPr>
        <w:widowControl/>
        <w:pBdr>
          <w:top w:val="nil"/>
          <w:left w:val="nil"/>
          <w:bottom w:val="nil"/>
          <w:right w:val="nil"/>
          <w:between w:val="nil"/>
        </w:pBdr>
        <w:tabs>
          <w:tab w:val="center" w:pos="4153"/>
          <w:tab w:val="right" w:pos="8306"/>
        </w:tabs>
        <w:ind w:hanging="2"/>
        <w:rPr>
          <w:rFonts w:ascii="Arial" w:eastAsia="Arial" w:hAnsi="Arial" w:cs="Arial"/>
          <w:color w:val="000000"/>
          <w:u w:val="single"/>
        </w:rPr>
      </w:pPr>
      <w:r>
        <w:rPr>
          <w:rFonts w:ascii="Arial" w:eastAsia="Arial" w:hAnsi="Arial" w:cs="Arial"/>
          <w:i/>
          <w:color w:val="000000"/>
          <w:u w:val="single"/>
        </w:rPr>
        <w:t>The timing of NCPRP awards for top performers</w:t>
      </w:r>
    </w:p>
    <w:p w14:paraId="59512F9B" w14:textId="77777777" w:rsidR="009C6D88" w:rsidRDefault="009C6D88">
      <w:pPr>
        <w:widowControl/>
        <w:pBdr>
          <w:top w:val="nil"/>
          <w:left w:val="nil"/>
          <w:bottom w:val="nil"/>
          <w:right w:val="nil"/>
          <w:between w:val="nil"/>
        </w:pBdr>
        <w:tabs>
          <w:tab w:val="center" w:pos="4153"/>
          <w:tab w:val="right" w:pos="8306"/>
        </w:tabs>
        <w:ind w:hanging="2"/>
        <w:rPr>
          <w:rFonts w:ascii="Arial" w:eastAsia="Arial" w:hAnsi="Arial" w:cs="Arial"/>
          <w:color w:val="000000"/>
        </w:rPr>
      </w:pPr>
    </w:p>
    <w:p w14:paraId="1A9C39A8" w14:textId="77777777" w:rsidR="009C6D88" w:rsidRDefault="00000000">
      <w:pPr>
        <w:widowControl/>
        <w:pBdr>
          <w:top w:val="nil"/>
          <w:left w:val="nil"/>
          <w:bottom w:val="nil"/>
          <w:right w:val="nil"/>
          <w:between w:val="nil"/>
        </w:pBdr>
        <w:ind w:hanging="2"/>
        <w:rPr>
          <w:rFonts w:ascii="Arial" w:eastAsia="Arial" w:hAnsi="Arial" w:cs="Arial"/>
        </w:rPr>
      </w:pPr>
      <w:r>
        <w:rPr>
          <w:rFonts w:ascii="Arial" w:eastAsia="Arial" w:hAnsi="Arial" w:cs="Arial"/>
          <w:color w:val="222222"/>
          <w:highlight w:val="white"/>
        </w:rPr>
        <w:t xml:space="preserve">To strengthen the link between key achievement and reward departments are able to stage NCPRP awards to top performers so that some payments can be made at the mid-year point or held over to other points to be determined. This is particularly relevant to project work with key milestones. This will be for departments to manage within the existing framework for NCPRP. If you would like to discuss how this flexibility might operate within your department, please contact the Cabinet Office. </w:t>
      </w:r>
    </w:p>
    <w:p w14:paraId="765CAE88" w14:textId="77777777" w:rsidR="009C6D88" w:rsidRDefault="009C6D88">
      <w:pPr>
        <w:ind w:hanging="2"/>
        <w:rPr>
          <w:rFonts w:ascii="Arial" w:eastAsia="Arial" w:hAnsi="Arial" w:cs="Arial"/>
          <w:b/>
        </w:rPr>
      </w:pPr>
    </w:p>
    <w:p w14:paraId="5CA082B4" w14:textId="77777777" w:rsidR="009C6D88" w:rsidRDefault="009C6D88">
      <w:pPr>
        <w:ind w:hanging="2"/>
        <w:rPr>
          <w:rFonts w:ascii="Arial" w:eastAsia="Arial" w:hAnsi="Arial" w:cs="Arial"/>
          <w:b/>
        </w:rPr>
      </w:pPr>
    </w:p>
    <w:p w14:paraId="14C3116E" w14:textId="77777777" w:rsidR="009C6D88" w:rsidRDefault="009C6D88">
      <w:pPr>
        <w:ind w:left="6480" w:firstLine="720"/>
        <w:rPr>
          <w:rFonts w:ascii="Arial" w:eastAsia="Arial" w:hAnsi="Arial" w:cs="Arial"/>
          <w:b/>
        </w:rPr>
      </w:pPr>
    </w:p>
    <w:p w14:paraId="5B287CF1" w14:textId="77777777" w:rsidR="00476C78" w:rsidRDefault="00476C78">
      <w:pPr>
        <w:ind w:left="6480" w:firstLine="720"/>
        <w:rPr>
          <w:rFonts w:ascii="Arial" w:eastAsia="Arial" w:hAnsi="Arial" w:cs="Arial"/>
          <w:b/>
          <w:u w:val="single"/>
        </w:rPr>
      </w:pPr>
    </w:p>
    <w:p w14:paraId="1A805ADE" w14:textId="4839596D" w:rsidR="009C6D88" w:rsidRDefault="00000000">
      <w:pPr>
        <w:ind w:left="6480" w:firstLine="720"/>
        <w:rPr>
          <w:rFonts w:ascii="Arial" w:eastAsia="Arial" w:hAnsi="Arial" w:cs="Arial"/>
          <w:u w:val="single"/>
        </w:rPr>
      </w:pPr>
      <w:r>
        <w:rPr>
          <w:rFonts w:ascii="Arial" w:eastAsia="Arial" w:hAnsi="Arial" w:cs="Arial"/>
          <w:b/>
          <w:u w:val="single"/>
        </w:rPr>
        <w:lastRenderedPageBreak/>
        <w:t>Annex C</w:t>
      </w:r>
    </w:p>
    <w:p w14:paraId="492AA913" w14:textId="77777777" w:rsidR="009C6D88" w:rsidRDefault="009C6D88">
      <w:pPr>
        <w:ind w:hanging="2"/>
        <w:rPr>
          <w:rFonts w:ascii="Arial" w:eastAsia="Arial" w:hAnsi="Arial" w:cs="Arial"/>
          <w:b/>
        </w:rPr>
      </w:pPr>
    </w:p>
    <w:p w14:paraId="04A5211D" w14:textId="77777777" w:rsidR="009C6D88" w:rsidRDefault="00000000">
      <w:pPr>
        <w:ind w:hanging="2"/>
        <w:rPr>
          <w:rFonts w:ascii="Arial" w:eastAsia="Arial" w:hAnsi="Arial" w:cs="Arial"/>
          <w:b/>
        </w:rPr>
      </w:pPr>
      <w:r>
        <w:rPr>
          <w:rFonts w:ascii="Arial" w:eastAsia="Arial" w:hAnsi="Arial" w:cs="Arial"/>
          <w:b/>
        </w:rPr>
        <w:t xml:space="preserve">Salary controls for SCS </w:t>
      </w:r>
    </w:p>
    <w:p w14:paraId="4DF3F587" w14:textId="77777777" w:rsidR="009C6D88" w:rsidRDefault="009C6D88">
      <w:pPr>
        <w:ind w:hanging="2"/>
        <w:rPr>
          <w:rFonts w:ascii="Arial" w:eastAsia="Arial" w:hAnsi="Arial" w:cs="Arial"/>
        </w:rPr>
      </w:pPr>
    </w:p>
    <w:tbl>
      <w:tblPr>
        <w:tblStyle w:val="a3"/>
        <w:tblW w:w="8723" w:type="dxa"/>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8"/>
        <w:gridCol w:w="2325"/>
        <w:gridCol w:w="2296"/>
        <w:gridCol w:w="2514"/>
      </w:tblGrid>
      <w:tr w:rsidR="009C6D88" w14:paraId="1CD093E1" w14:textId="77777777">
        <w:trPr>
          <w:trHeight w:val="2147"/>
        </w:trPr>
        <w:tc>
          <w:tcPr>
            <w:tcW w:w="1588" w:type="dxa"/>
          </w:tcPr>
          <w:p w14:paraId="231F2B63" w14:textId="77777777" w:rsidR="009C6D88" w:rsidRDefault="00000000">
            <w:pPr>
              <w:ind w:hanging="2"/>
              <w:jc w:val="center"/>
              <w:rPr>
                <w:rFonts w:ascii="Arial" w:eastAsia="Arial" w:hAnsi="Arial" w:cs="Arial"/>
              </w:rPr>
            </w:pPr>
            <w:r>
              <w:rPr>
                <w:rFonts w:ascii="Arial" w:eastAsia="Arial" w:hAnsi="Arial" w:cs="Arial"/>
                <w:b/>
              </w:rPr>
              <w:t>Level</w:t>
            </w:r>
          </w:p>
        </w:tc>
        <w:tc>
          <w:tcPr>
            <w:tcW w:w="2325" w:type="dxa"/>
          </w:tcPr>
          <w:p w14:paraId="7DD04BA7" w14:textId="77777777" w:rsidR="009C6D88" w:rsidRDefault="00000000">
            <w:pPr>
              <w:ind w:hanging="2"/>
              <w:jc w:val="center"/>
              <w:rPr>
                <w:rFonts w:ascii="Arial" w:eastAsia="Arial" w:hAnsi="Arial" w:cs="Arial"/>
              </w:rPr>
            </w:pPr>
            <w:r>
              <w:rPr>
                <w:rFonts w:ascii="Arial" w:eastAsia="Arial" w:hAnsi="Arial" w:cs="Arial"/>
                <w:b/>
              </w:rPr>
              <w:t>Approval by Department</w:t>
            </w:r>
          </w:p>
          <w:p w14:paraId="3AF34BF1" w14:textId="77777777" w:rsidR="009C6D88" w:rsidRDefault="00000000">
            <w:pPr>
              <w:ind w:hanging="2"/>
              <w:jc w:val="center"/>
              <w:rPr>
                <w:rFonts w:ascii="Arial" w:eastAsia="Arial" w:hAnsi="Arial" w:cs="Arial"/>
              </w:rPr>
            </w:pPr>
            <w:r>
              <w:rPr>
                <w:rFonts w:ascii="Arial" w:eastAsia="Arial" w:hAnsi="Arial" w:cs="Arial"/>
              </w:rPr>
              <w:t>(All appointments above former CO reference points to be signed-off by Accounting Officer)</w:t>
            </w:r>
          </w:p>
        </w:tc>
        <w:tc>
          <w:tcPr>
            <w:tcW w:w="2296" w:type="dxa"/>
          </w:tcPr>
          <w:p w14:paraId="22B52336" w14:textId="77777777" w:rsidR="009C6D88" w:rsidRDefault="00000000">
            <w:pPr>
              <w:ind w:hanging="2"/>
              <w:jc w:val="center"/>
              <w:rPr>
                <w:rFonts w:ascii="Arial" w:eastAsia="Arial" w:hAnsi="Arial" w:cs="Arial"/>
              </w:rPr>
            </w:pPr>
            <w:r>
              <w:rPr>
                <w:rFonts w:ascii="Arial" w:eastAsia="Arial" w:hAnsi="Arial" w:cs="Arial"/>
                <w:b/>
              </w:rPr>
              <w:t>Approval by Cabinet Office</w:t>
            </w:r>
          </w:p>
          <w:p w14:paraId="1A148D1C" w14:textId="77777777" w:rsidR="009C6D88" w:rsidRDefault="00000000">
            <w:pPr>
              <w:ind w:hanging="2"/>
              <w:jc w:val="center"/>
              <w:rPr>
                <w:rFonts w:ascii="Arial" w:eastAsia="Arial" w:hAnsi="Arial" w:cs="Arial"/>
              </w:rPr>
            </w:pPr>
            <w:r>
              <w:rPr>
                <w:rFonts w:ascii="Arial" w:eastAsia="Arial" w:hAnsi="Arial" w:cs="Arial"/>
              </w:rPr>
              <w:t xml:space="preserve">(All requests for approval to be made </w:t>
            </w:r>
            <w:r>
              <w:rPr>
                <w:rFonts w:ascii="Arial" w:eastAsia="Arial" w:hAnsi="Arial" w:cs="Arial"/>
                <w:u w:val="single"/>
              </w:rPr>
              <w:t>before</w:t>
            </w:r>
            <w:r>
              <w:rPr>
                <w:rFonts w:ascii="Arial" w:eastAsia="Arial" w:hAnsi="Arial" w:cs="Arial"/>
              </w:rPr>
              <w:t xml:space="preserve"> hiring process commences)</w:t>
            </w:r>
          </w:p>
        </w:tc>
        <w:tc>
          <w:tcPr>
            <w:tcW w:w="2514" w:type="dxa"/>
          </w:tcPr>
          <w:p w14:paraId="21763162" w14:textId="77777777" w:rsidR="009C6D88" w:rsidRDefault="00000000">
            <w:pPr>
              <w:ind w:hanging="2"/>
              <w:jc w:val="center"/>
              <w:rPr>
                <w:rFonts w:ascii="Arial" w:eastAsia="Arial" w:hAnsi="Arial" w:cs="Arial"/>
              </w:rPr>
            </w:pPr>
            <w:r>
              <w:rPr>
                <w:rFonts w:ascii="Arial" w:eastAsia="Arial" w:hAnsi="Arial" w:cs="Arial"/>
                <w:b/>
              </w:rPr>
              <w:t>Approval by the Chief Secretary to the Treasury</w:t>
            </w:r>
          </w:p>
          <w:p w14:paraId="4E5137A5" w14:textId="77777777" w:rsidR="009C6D88" w:rsidRDefault="00000000">
            <w:pPr>
              <w:ind w:hanging="2"/>
              <w:jc w:val="center"/>
              <w:rPr>
                <w:rFonts w:ascii="Arial" w:eastAsia="Arial" w:hAnsi="Arial" w:cs="Arial"/>
              </w:rPr>
            </w:pPr>
            <w:r>
              <w:rPr>
                <w:rFonts w:ascii="Arial" w:eastAsia="Arial" w:hAnsi="Arial" w:cs="Arial"/>
              </w:rPr>
              <w:t xml:space="preserve">(All requests for approval to be made </w:t>
            </w:r>
            <w:r>
              <w:rPr>
                <w:rFonts w:ascii="Arial" w:eastAsia="Arial" w:hAnsi="Arial" w:cs="Arial"/>
                <w:u w:val="single"/>
              </w:rPr>
              <w:t>before</w:t>
            </w:r>
            <w:r>
              <w:rPr>
                <w:rFonts w:ascii="Arial" w:eastAsia="Arial" w:hAnsi="Arial" w:cs="Arial"/>
              </w:rPr>
              <w:t xml:space="preserve"> hiring process commences)</w:t>
            </w:r>
          </w:p>
        </w:tc>
      </w:tr>
      <w:tr w:rsidR="009C6D88" w14:paraId="4A9FA954" w14:textId="77777777">
        <w:trPr>
          <w:trHeight w:val="2124"/>
        </w:trPr>
        <w:tc>
          <w:tcPr>
            <w:tcW w:w="1588" w:type="dxa"/>
          </w:tcPr>
          <w:p w14:paraId="08C5D78A" w14:textId="77777777" w:rsidR="009C6D88" w:rsidRDefault="00000000">
            <w:pPr>
              <w:ind w:hanging="2"/>
              <w:jc w:val="center"/>
              <w:rPr>
                <w:rFonts w:ascii="Arial" w:eastAsia="Arial" w:hAnsi="Arial" w:cs="Arial"/>
              </w:rPr>
            </w:pPr>
            <w:r>
              <w:rPr>
                <w:rFonts w:ascii="Arial" w:eastAsia="Arial" w:hAnsi="Arial" w:cs="Arial"/>
              </w:rPr>
              <w:t>Deputy Director</w:t>
            </w:r>
          </w:p>
          <w:p w14:paraId="28EA7079" w14:textId="77777777" w:rsidR="009C6D88" w:rsidRDefault="00000000">
            <w:pPr>
              <w:ind w:hanging="2"/>
              <w:jc w:val="center"/>
              <w:rPr>
                <w:rFonts w:ascii="Arial" w:eastAsia="Arial" w:hAnsi="Arial" w:cs="Arial"/>
              </w:rPr>
            </w:pPr>
            <w:r>
              <w:rPr>
                <w:rFonts w:ascii="Arial" w:eastAsia="Arial" w:hAnsi="Arial" w:cs="Arial"/>
              </w:rPr>
              <w:t>Pay band 1</w:t>
            </w:r>
          </w:p>
          <w:p w14:paraId="44E9934B" w14:textId="77777777" w:rsidR="009C6D88" w:rsidRDefault="009C6D88">
            <w:pPr>
              <w:ind w:hanging="2"/>
              <w:jc w:val="center"/>
              <w:rPr>
                <w:rFonts w:ascii="Arial" w:eastAsia="Arial" w:hAnsi="Arial" w:cs="Arial"/>
              </w:rPr>
            </w:pPr>
          </w:p>
        </w:tc>
        <w:tc>
          <w:tcPr>
            <w:tcW w:w="2325" w:type="dxa"/>
          </w:tcPr>
          <w:p w14:paraId="4FC48D12" w14:textId="77777777" w:rsidR="009C6D88" w:rsidRDefault="00000000">
            <w:pPr>
              <w:ind w:hanging="2"/>
              <w:jc w:val="center"/>
              <w:rPr>
                <w:rFonts w:ascii="Arial" w:eastAsia="Arial" w:hAnsi="Arial" w:cs="Arial"/>
              </w:rPr>
            </w:pPr>
            <w:r>
              <w:rPr>
                <w:rFonts w:ascii="Arial" w:eastAsia="Arial" w:hAnsi="Arial" w:cs="Arial"/>
              </w:rPr>
              <w:t>Salary up to £117,800pa</w:t>
            </w:r>
          </w:p>
          <w:p w14:paraId="4264C9CD" w14:textId="77777777" w:rsidR="009C6D88" w:rsidRDefault="009C6D88">
            <w:pPr>
              <w:ind w:hanging="2"/>
              <w:jc w:val="center"/>
              <w:rPr>
                <w:rFonts w:ascii="Arial" w:eastAsia="Arial" w:hAnsi="Arial" w:cs="Arial"/>
              </w:rPr>
            </w:pPr>
          </w:p>
          <w:p w14:paraId="2F9E8448" w14:textId="77777777" w:rsidR="009C6D88" w:rsidRDefault="00000000">
            <w:pPr>
              <w:ind w:hanging="2"/>
              <w:jc w:val="center"/>
              <w:rPr>
                <w:rFonts w:ascii="Arial" w:eastAsia="Arial" w:hAnsi="Arial" w:cs="Arial"/>
              </w:rPr>
            </w:pPr>
            <w:r>
              <w:rPr>
                <w:rFonts w:ascii="Arial" w:eastAsia="Arial" w:hAnsi="Arial" w:cs="Arial"/>
              </w:rPr>
              <w:t>(</w:t>
            </w:r>
            <w:proofErr w:type="gramStart"/>
            <w:r>
              <w:rPr>
                <w:rFonts w:ascii="Arial" w:eastAsia="Arial" w:hAnsi="Arial" w:cs="Arial"/>
                <w:i/>
              </w:rPr>
              <w:t>salaries</w:t>
            </w:r>
            <w:proofErr w:type="gramEnd"/>
            <w:r>
              <w:rPr>
                <w:rFonts w:ascii="Arial" w:eastAsia="Arial" w:hAnsi="Arial" w:cs="Arial"/>
                <w:i/>
              </w:rPr>
              <w:t xml:space="preserve"> above £90,000 to be approved by Accounting Officer</w:t>
            </w:r>
            <w:r>
              <w:rPr>
                <w:rFonts w:ascii="Arial" w:eastAsia="Arial" w:hAnsi="Arial" w:cs="Arial"/>
              </w:rPr>
              <w:t>)</w:t>
            </w:r>
          </w:p>
        </w:tc>
        <w:tc>
          <w:tcPr>
            <w:tcW w:w="2296" w:type="dxa"/>
          </w:tcPr>
          <w:p w14:paraId="6F458A95" w14:textId="77777777" w:rsidR="009C6D88" w:rsidRDefault="00000000">
            <w:pPr>
              <w:ind w:hanging="2"/>
              <w:jc w:val="center"/>
              <w:rPr>
                <w:rFonts w:ascii="Arial" w:eastAsia="Arial" w:hAnsi="Arial" w:cs="Arial"/>
              </w:rPr>
            </w:pPr>
            <w:r>
              <w:rPr>
                <w:rFonts w:ascii="Arial" w:eastAsia="Arial" w:hAnsi="Arial" w:cs="Arial"/>
              </w:rPr>
              <w:t>Salary above £117,800pa - £149,999</w:t>
            </w:r>
          </w:p>
          <w:p w14:paraId="59E25A75" w14:textId="77777777" w:rsidR="009C6D88" w:rsidRDefault="009C6D88">
            <w:pPr>
              <w:ind w:hanging="2"/>
              <w:jc w:val="center"/>
              <w:rPr>
                <w:rFonts w:ascii="Arial" w:eastAsia="Arial" w:hAnsi="Arial" w:cs="Arial"/>
              </w:rPr>
            </w:pPr>
          </w:p>
        </w:tc>
        <w:tc>
          <w:tcPr>
            <w:tcW w:w="2514" w:type="dxa"/>
            <w:vMerge w:val="restart"/>
          </w:tcPr>
          <w:p w14:paraId="5BB51CBC" w14:textId="77777777" w:rsidR="009C6D88" w:rsidRDefault="009C6D88">
            <w:pPr>
              <w:ind w:hanging="2"/>
              <w:jc w:val="center"/>
              <w:rPr>
                <w:rFonts w:ascii="Arial" w:eastAsia="Arial" w:hAnsi="Arial" w:cs="Arial"/>
              </w:rPr>
            </w:pPr>
          </w:p>
          <w:p w14:paraId="4E1C3728" w14:textId="77777777" w:rsidR="009C6D88" w:rsidRDefault="009C6D88">
            <w:pPr>
              <w:ind w:hanging="2"/>
              <w:jc w:val="center"/>
              <w:rPr>
                <w:rFonts w:ascii="Arial" w:eastAsia="Arial" w:hAnsi="Arial" w:cs="Arial"/>
              </w:rPr>
            </w:pPr>
          </w:p>
          <w:p w14:paraId="2B7CD1B9" w14:textId="77777777" w:rsidR="009C6D88" w:rsidRDefault="009C6D88">
            <w:pPr>
              <w:ind w:hanging="2"/>
              <w:jc w:val="center"/>
              <w:rPr>
                <w:rFonts w:ascii="Arial" w:eastAsia="Arial" w:hAnsi="Arial" w:cs="Arial"/>
              </w:rPr>
            </w:pPr>
          </w:p>
          <w:p w14:paraId="6E867807" w14:textId="77777777" w:rsidR="009C6D88" w:rsidRDefault="009C6D88">
            <w:pPr>
              <w:ind w:hanging="2"/>
              <w:jc w:val="center"/>
              <w:rPr>
                <w:rFonts w:ascii="Arial" w:eastAsia="Arial" w:hAnsi="Arial" w:cs="Arial"/>
              </w:rPr>
            </w:pPr>
          </w:p>
          <w:p w14:paraId="37B78BDF" w14:textId="77777777" w:rsidR="009C6D88" w:rsidRDefault="009C6D88">
            <w:pPr>
              <w:ind w:hanging="2"/>
              <w:jc w:val="center"/>
              <w:rPr>
                <w:rFonts w:ascii="Arial" w:eastAsia="Arial" w:hAnsi="Arial" w:cs="Arial"/>
              </w:rPr>
            </w:pPr>
          </w:p>
          <w:p w14:paraId="177DB013" w14:textId="77777777" w:rsidR="009C6D88" w:rsidRDefault="009C6D88">
            <w:pPr>
              <w:ind w:hanging="2"/>
              <w:jc w:val="center"/>
              <w:rPr>
                <w:rFonts w:ascii="Arial" w:eastAsia="Arial" w:hAnsi="Arial" w:cs="Arial"/>
              </w:rPr>
            </w:pPr>
          </w:p>
          <w:p w14:paraId="4BD87602" w14:textId="77777777" w:rsidR="009C6D88" w:rsidRDefault="009C6D88">
            <w:pPr>
              <w:ind w:hanging="2"/>
              <w:jc w:val="center"/>
              <w:rPr>
                <w:rFonts w:ascii="Arial" w:eastAsia="Arial" w:hAnsi="Arial" w:cs="Arial"/>
              </w:rPr>
            </w:pPr>
          </w:p>
          <w:p w14:paraId="4A3411E7" w14:textId="77777777" w:rsidR="009C6D88" w:rsidRDefault="00000000">
            <w:pPr>
              <w:ind w:hanging="2"/>
              <w:jc w:val="center"/>
              <w:rPr>
                <w:rFonts w:ascii="Arial" w:eastAsia="Arial" w:hAnsi="Arial" w:cs="Arial"/>
              </w:rPr>
            </w:pPr>
            <w:r>
              <w:rPr>
                <w:rFonts w:ascii="Arial" w:eastAsia="Arial" w:hAnsi="Arial" w:cs="Arial"/>
              </w:rPr>
              <w:t>All posts with a package worth £150,000 or more as defined in the Treasury guidance</w:t>
            </w:r>
          </w:p>
        </w:tc>
      </w:tr>
      <w:tr w:rsidR="009C6D88" w14:paraId="4B1AB067" w14:textId="77777777">
        <w:trPr>
          <w:trHeight w:val="2126"/>
        </w:trPr>
        <w:tc>
          <w:tcPr>
            <w:tcW w:w="1588" w:type="dxa"/>
          </w:tcPr>
          <w:p w14:paraId="6A2FD042" w14:textId="77777777" w:rsidR="009C6D88" w:rsidRDefault="00000000">
            <w:pPr>
              <w:ind w:hanging="2"/>
              <w:jc w:val="center"/>
              <w:rPr>
                <w:rFonts w:ascii="Arial" w:eastAsia="Arial" w:hAnsi="Arial" w:cs="Arial"/>
              </w:rPr>
            </w:pPr>
            <w:r>
              <w:rPr>
                <w:rFonts w:ascii="Arial" w:eastAsia="Arial" w:hAnsi="Arial" w:cs="Arial"/>
              </w:rPr>
              <w:t>Director</w:t>
            </w:r>
          </w:p>
          <w:p w14:paraId="47555E86" w14:textId="77777777" w:rsidR="009C6D88" w:rsidRDefault="00000000">
            <w:pPr>
              <w:ind w:hanging="2"/>
              <w:jc w:val="center"/>
              <w:rPr>
                <w:rFonts w:ascii="Arial" w:eastAsia="Arial" w:hAnsi="Arial" w:cs="Arial"/>
              </w:rPr>
            </w:pPr>
            <w:r>
              <w:rPr>
                <w:rFonts w:ascii="Arial" w:eastAsia="Arial" w:hAnsi="Arial" w:cs="Arial"/>
              </w:rPr>
              <w:t>Pay band 2</w:t>
            </w:r>
          </w:p>
          <w:p w14:paraId="31181FC2" w14:textId="77777777" w:rsidR="009C6D88" w:rsidRDefault="009C6D88">
            <w:pPr>
              <w:ind w:hanging="2"/>
              <w:jc w:val="center"/>
              <w:rPr>
                <w:rFonts w:ascii="Arial" w:eastAsia="Arial" w:hAnsi="Arial" w:cs="Arial"/>
              </w:rPr>
            </w:pPr>
          </w:p>
        </w:tc>
        <w:tc>
          <w:tcPr>
            <w:tcW w:w="2325" w:type="dxa"/>
          </w:tcPr>
          <w:p w14:paraId="05873098" w14:textId="77777777" w:rsidR="009C6D88" w:rsidRDefault="00000000">
            <w:pPr>
              <w:ind w:hanging="2"/>
              <w:jc w:val="center"/>
              <w:rPr>
                <w:rFonts w:ascii="Arial" w:eastAsia="Arial" w:hAnsi="Arial" w:cs="Arial"/>
              </w:rPr>
            </w:pPr>
            <w:r>
              <w:rPr>
                <w:rFonts w:ascii="Arial" w:eastAsia="Arial" w:hAnsi="Arial" w:cs="Arial"/>
              </w:rPr>
              <w:t>Salary up to £149,999pa</w:t>
            </w:r>
          </w:p>
          <w:p w14:paraId="2E5FE5E7" w14:textId="77777777" w:rsidR="009C6D88" w:rsidRDefault="009C6D88">
            <w:pPr>
              <w:ind w:hanging="2"/>
              <w:jc w:val="center"/>
              <w:rPr>
                <w:rFonts w:ascii="Arial" w:eastAsia="Arial" w:hAnsi="Arial" w:cs="Arial"/>
              </w:rPr>
            </w:pPr>
          </w:p>
          <w:p w14:paraId="3003889D" w14:textId="77777777" w:rsidR="009C6D88" w:rsidRDefault="00000000">
            <w:pPr>
              <w:ind w:hanging="2"/>
              <w:jc w:val="center"/>
              <w:rPr>
                <w:rFonts w:ascii="Arial" w:eastAsia="Arial" w:hAnsi="Arial" w:cs="Arial"/>
              </w:rPr>
            </w:pPr>
            <w:r>
              <w:rPr>
                <w:rFonts w:ascii="Arial" w:eastAsia="Arial" w:hAnsi="Arial" w:cs="Arial"/>
              </w:rPr>
              <w:t>(</w:t>
            </w:r>
            <w:proofErr w:type="gramStart"/>
            <w:r>
              <w:rPr>
                <w:rFonts w:ascii="Arial" w:eastAsia="Arial" w:hAnsi="Arial" w:cs="Arial"/>
                <w:i/>
              </w:rPr>
              <w:t>salaries</w:t>
            </w:r>
            <w:proofErr w:type="gramEnd"/>
            <w:r>
              <w:rPr>
                <w:rFonts w:ascii="Arial" w:eastAsia="Arial" w:hAnsi="Arial" w:cs="Arial"/>
                <w:i/>
              </w:rPr>
              <w:t xml:space="preserve"> above £120,000 to be approved by Accounting Officer</w:t>
            </w:r>
            <w:r>
              <w:rPr>
                <w:rFonts w:ascii="Arial" w:eastAsia="Arial" w:hAnsi="Arial" w:cs="Arial"/>
              </w:rPr>
              <w:t>)</w:t>
            </w:r>
          </w:p>
        </w:tc>
        <w:tc>
          <w:tcPr>
            <w:tcW w:w="2296" w:type="dxa"/>
          </w:tcPr>
          <w:p w14:paraId="129CC3A2" w14:textId="77777777" w:rsidR="009C6D88" w:rsidRDefault="00000000">
            <w:pPr>
              <w:ind w:hanging="2"/>
              <w:jc w:val="center"/>
              <w:rPr>
                <w:rFonts w:ascii="Arial" w:eastAsia="Arial" w:hAnsi="Arial" w:cs="Arial"/>
              </w:rPr>
            </w:pPr>
            <w:r>
              <w:rPr>
                <w:rFonts w:ascii="Arial" w:eastAsia="Arial" w:hAnsi="Arial" w:cs="Arial"/>
                <w:i/>
              </w:rPr>
              <w:t>See next column</w:t>
            </w:r>
          </w:p>
        </w:tc>
        <w:tc>
          <w:tcPr>
            <w:tcW w:w="2514" w:type="dxa"/>
            <w:vMerge/>
          </w:tcPr>
          <w:p w14:paraId="2309D41A" w14:textId="77777777" w:rsidR="009C6D88" w:rsidRDefault="009C6D88">
            <w:pPr>
              <w:pBdr>
                <w:top w:val="nil"/>
                <w:left w:val="nil"/>
                <w:bottom w:val="nil"/>
                <w:right w:val="nil"/>
                <w:between w:val="nil"/>
              </w:pBdr>
              <w:spacing w:line="276" w:lineRule="auto"/>
              <w:ind w:firstLine="0"/>
              <w:jc w:val="left"/>
              <w:rPr>
                <w:rFonts w:ascii="Arial" w:eastAsia="Arial" w:hAnsi="Arial" w:cs="Arial"/>
              </w:rPr>
            </w:pPr>
          </w:p>
        </w:tc>
      </w:tr>
      <w:tr w:rsidR="009C6D88" w14:paraId="7E93F847" w14:textId="77777777">
        <w:trPr>
          <w:trHeight w:val="1821"/>
        </w:trPr>
        <w:tc>
          <w:tcPr>
            <w:tcW w:w="1588" w:type="dxa"/>
          </w:tcPr>
          <w:p w14:paraId="59EE39C8" w14:textId="77777777" w:rsidR="009C6D88" w:rsidRDefault="00000000">
            <w:pPr>
              <w:ind w:hanging="2"/>
              <w:jc w:val="center"/>
              <w:rPr>
                <w:rFonts w:ascii="Arial" w:eastAsia="Arial" w:hAnsi="Arial" w:cs="Arial"/>
              </w:rPr>
            </w:pPr>
            <w:r>
              <w:rPr>
                <w:rFonts w:ascii="Arial" w:eastAsia="Arial" w:hAnsi="Arial" w:cs="Arial"/>
              </w:rPr>
              <w:t>Director General</w:t>
            </w:r>
          </w:p>
          <w:p w14:paraId="232B89BF" w14:textId="77777777" w:rsidR="009C6D88" w:rsidRDefault="00000000">
            <w:pPr>
              <w:ind w:hanging="2"/>
              <w:jc w:val="center"/>
              <w:rPr>
                <w:rFonts w:ascii="Arial" w:eastAsia="Arial" w:hAnsi="Arial" w:cs="Arial"/>
              </w:rPr>
            </w:pPr>
            <w:r>
              <w:rPr>
                <w:rFonts w:ascii="Arial" w:eastAsia="Arial" w:hAnsi="Arial" w:cs="Arial"/>
              </w:rPr>
              <w:t>Pay band 3</w:t>
            </w:r>
          </w:p>
        </w:tc>
        <w:tc>
          <w:tcPr>
            <w:tcW w:w="2325" w:type="dxa"/>
          </w:tcPr>
          <w:p w14:paraId="585020ED" w14:textId="77777777" w:rsidR="009C6D88" w:rsidRDefault="00000000">
            <w:pPr>
              <w:ind w:hanging="2"/>
              <w:jc w:val="center"/>
              <w:rPr>
                <w:rFonts w:ascii="Arial" w:eastAsia="Arial" w:hAnsi="Arial" w:cs="Arial"/>
              </w:rPr>
            </w:pPr>
            <w:r>
              <w:rPr>
                <w:rFonts w:ascii="Arial" w:eastAsia="Arial" w:hAnsi="Arial" w:cs="Arial"/>
              </w:rPr>
              <w:t>Salary up to £149,999pa</w:t>
            </w:r>
          </w:p>
          <w:p w14:paraId="150C1B50" w14:textId="77777777" w:rsidR="009C6D88" w:rsidRDefault="009C6D88">
            <w:pPr>
              <w:ind w:hanging="2"/>
              <w:jc w:val="center"/>
              <w:rPr>
                <w:rFonts w:ascii="Arial" w:eastAsia="Arial" w:hAnsi="Arial" w:cs="Arial"/>
              </w:rPr>
            </w:pPr>
          </w:p>
          <w:p w14:paraId="0C807F2B" w14:textId="77777777" w:rsidR="009C6D88" w:rsidRDefault="00000000">
            <w:pPr>
              <w:ind w:hanging="2"/>
              <w:jc w:val="center"/>
              <w:rPr>
                <w:rFonts w:ascii="Arial" w:eastAsia="Arial" w:hAnsi="Arial" w:cs="Arial"/>
              </w:rPr>
            </w:pPr>
            <w:r>
              <w:rPr>
                <w:rFonts w:ascii="Arial" w:eastAsia="Arial" w:hAnsi="Arial" w:cs="Arial"/>
              </w:rPr>
              <w:t>(</w:t>
            </w:r>
            <w:proofErr w:type="gramStart"/>
            <w:r>
              <w:rPr>
                <w:rFonts w:ascii="Arial" w:eastAsia="Arial" w:hAnsi="Arial" w:cs="Arial"/>
                <w:i/>
              </w:rPr>
              <w:t>salaries</w:t>
            </w:r>
            <w:proofErr w:type="gramEnd"/>
            <w:r>
              <w:rPr>
                <w:rFonts w:ascii="Arial" w:eastAsia="Arial" w:hAnsi="Arial" w:cs="Arial"/>
                <w:i/>
              </w:rPr>
              <w:t xml:space="preserve"> above £140,000 to be approved by Accounting Officer</w:t>
            </w:r>
            <w:r>
              <w:rPr>
                <w:rFonts w:ascii="Arial" w:eastAsia="Arial" w:hAnsi="Arial" w:cs="Arial"/>
              </w:rPr>
              <w:t>)</w:t>
            </w:r>
          </w:p>
        </w:tc>
        <w:tc>
          <w:tcPr>
            <w:tcW w:w="2296" w:type="dxa"/>
          </w:tcPr>
          <w:p w14:paraId="389B4374" w14:textId="77777777" w:rsidR="009C6D88" w:rsidRDefault="00000000">
            <w:pPr>
              <w:ind w:hanging="2"/>
              <w:jc w:val="center"/>
              <w:rPr>
                <w:rFonts w:ascii="Arial" w:eastAsia="Arial" w:hAnsi="Arial" w:cs="Arial"/>
              </w:rPr>
            </w:pPr>
            <w:r>
              <w:rPr>
                <w:rFonts w:ascii="Arial" w:eastAsia="Arial" w:hAnsi="Arial" w:cs="Arial"/>
                <w:i/>
              </w:rPr>
              <w:t>See next column</w:t>
            </w:r>
          </w:p>
        </w:tc>
        <w:tc>
          <w:tcPr>
            <w:tcW w:w="2514" w:type="dxa"/>
            <w:vMerge/>
          </w:tcPr>
          <w:p w14:paraId="377780C6" w14:textId="77777777" w:rsidR="009C6D88" w:rsidRDefault="009C6D88">
            <w:pPr>
              <w:pBdr>
                <w:top w:val="nil"/>
                <w:left w:val="nil"/>
                <w:bottom w:val="nil"/>
                <w:right w:val="nil"/>
                <w:between w:val="nil"/>
              </w:pBdr>
              <w:spacing w:line="276" w:lineRule="auto"/>
              <w:ind w:firstLine="0"/>
              <w:jc w:val="left"/>
              <w:rPr>
                <w:rFonts w:ascii="Arial" w:eastAsia="Arial" w:hAnsi="Arial" w:cs="Arial"/>
              </w:rPr>
            </w:pPr>
          </w:p>
        </w:tc>
      </w:tr>
      <w:tr w:rsidR="009C6D88" w14:paraId="4C14ACE4" w14:textId="77777777">
        <w:trPr>
          <w:trHeight w:val="3426"/>
        </w:trPr>
        <w:tc>
          <w:tcPr>
            <w:tcW w:w="1588" w:type="dxa"/>
          </w:tcPr>
          <w:p w14:paraId="0DA8BF85" w14:textId="77777777" w:rsidR="009C6D88" w:rsidRDefault="00000000">
            <w:pPr>
              <w:ind w:hanging="2"/>
              <w:jc w:val="center"/>
              <w:rPr>
                <w:rFonts w:ascii="Arial" w:eastAsia="Arial" w:hAnsi="Arial" w:cs="Arial"/>
              </w:rPr>
            </w:pPr>
            <w:r>
              <w:rPr>
                <w:rFonts w:ascii="Arial" w:eastAsia="Arial" w:hAnsi="Arial" w:cs="Arial"/>
              </w:rPr>
              <w:t>Permanent Secretary</w:t>
            </w:r>
          </w:p>
        </w:tc>
        <w:tc>
          <w:tcPr>
            <w:tcW w:w="4621" w:type="dxa"/>
            <w:gridSpan w:val="2"/>
          </w:tcPr>
          <w:p w14:paraId="1DC81162" w14:textId="77777777" w:rsidR="009C6D88" w:rsidRDefault="00000000">
            <w:pPr>
              <w:ind w:hanging="2"/>
              <w:rPr>
                <w:rFonts w:ascii="Arial" w:eastAsia="Arial" w:hAnsi="Arial" w:cs="Arial"/>
              </w:rPr>
            </w:pPr>
            <w:r>
              <w:rPr>
                <w:rFonts w:ascii="Arial" w:eastAsia="Arial" w:hAnsi="Arial" w:cs="Arial"/>
              </w:rPr>
              <w:t xml:space="preserve">Permanent Secretary pay tiers (ranging from £150,000 to £200,000) are set centrally based on the weight and complexity of the role. The Cabinet Secretary and Head of the Civil Service decides which tier each role sits in. CST signs off all cases – see next column. </w:t>
            </w:r>
          </w:p>
        </w:tc>
        <w:tc>
          <w:tcPr>
            <w:tcW w:w="2514" w:type="dxa"/>
            <w:vMerge/>
          </w:tcPr>
          <w:p w14:paraId="1F4F9BB2" w14:textId="77777777" w:rsidR="009C6D88" w:rsidRDefault="009C6D88">
            <w:pPr>
              <w:pBdr>
                <w:top w:val="nil"/>
                <w:left w:val="nil"/>
                <w:bottom w:val="nil"/>
                <w:right w:val="nil"/>
                <w:between w:val="nil"/>
              </w:pBdr>
              <w:spacing w:line="276" w:lineRule="auto"/>
              <w:ind w:firstLine="0"/>
              <w:jc w:val="left"/>
              <w:rPr>
                <w:rFonts w:ascii="Arial" w:eastAsia="Arial" w:hAnsi="Arial" w:cs="Arial"/>
              </w:rPr>
            </w:pPr>
          </w:p>
        </w:tc>
      </w:tr>
    </w:tbl>
    <w:p w14:paraId="50398DA1" w14:textId="77777777" w:rsidR="009C6D88" w:rsidRDefault="009C6D88">
      <w:pPr>
        <w:ind w:hanging="2"/>
        <w:rPr>
          <w:rFonts w:ascii="Arial" w:eastAsia="Arial" w:hAnsi="Arial" w:cs="Arial"/>
        </w:rPr>
      </w:pPr>
    </w:p>
    <w:p w14:paraId="4AFB3B6B" w14:textId="77777777" w:rsidR="009C6D88" w:rsidRDefault="00000000">
      <w:pPr>
        <w:pBdr>
          <w:top w:val="nil"/>
          <w:left w:val="nil"/>
          <w:bottom w:val="nil"/>
          <w:right w:val="nil"/>
          <w:between w:val="nil"/>
        </w:pBdr>
        <w:ind w:hanging="2"/>
        <w:rPr>
          <w:rFonts w:ascii="Arial" w:eastAsia="Arial" w:hAnsi="Arial" w:cs="Arial"/>
          <w:b/>
          <w:color w:val="000000"/>
          <w:u w:val="single"/>
        </w:rPr>
      </w:pPr>
      <w:r>
        <w:br w:type="page"/>
      </w:r>
      <w:r>
        <w:rPr>
          <w:rFonts w:ascii="Arial" w:eastAsia="Arial" w:hAnsi="Arial" w:cs="Arial"/>
          <w:b/>
          <w:color w:val="000000"/>
        </w:rPr>
        <w:lastRenderedPageBreak/>
        <w:t xml:space="preserve">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u w:val="single"/>
        </w:rPr>
        <w:t xml:space="preserve">Annex D </w:t>
      </w:r>
    </w:p>
    <w:p w14:paraId="23236139" w14:textId="77777777" w:rsidR="009C6D88" w:rsidRDefault="00000000">
      <w:pPr>
        <w:pBdr>
          <w:top w:val="nil"/>
          <w:left w:val="nil"/>
          <w:bottom w:val="nil"/>
          <w:right w:val="nil"/>
          <w:between w:val="nil"/>
        </w:pBdr>
        <w:ind w:hanging="2"/>
        <w:rPr>
          <w:rFonts w:ascii="Arial" w:eastAsia="Arial" w:hAnsi="Arial" w:cs="Arial"/>
          <w:color w:val="000000"/>
        </w:rPr>
      </w:pPr>
      <w:r>
        <w:rPr>
          <w:rFonts w:ascii="Arial" w:eastAsia="Arial" w:hAnsi="Arial" w:cs="Arial"/>
          <w:b/>
          <w:color w:val="000000"/>
        </w:rPr>
        <w:t>SCS Pay - Exceptions Process Guidance</w:t>
      </w:r>
    </w:p>
    <w:p w14:paraId="1F558A05" w14:textId="77777777" w:rsidR="009C6D88" w:rsidRDefault="009C6D88">
      <w:pPr>
        <w:pBdr>
          <w:top w:val="nil"/>
          <w:left w:val="nil"/>
          <w:bottom w:val="nil"/>
          <w:right w:val="nil"/>
          <w:between w:val="nil"/>
        </w:pBdr>
        <w:ind w:hanging="2"/>
        <w:rPr>
          <w:rFonts w:ascii="Arial" w:eastAsia="Arial" w:hAnsi="Arial" w:cs="Arial"/>
          <w:color w:val="000000"/>
          <w:u w:val="single"/>
        </w:rPr>
      </w:pPr>
    </w:p>
    <w:p w14:paraId="2F9CB224" w14:textId="77777777" w:rsidR="009C6D88" w:rsidRDefault="00000000">
      <w:pPr>
        <w:pBdr>
          <w:top w:val="nil"/>
          <w:left w:val="nil"/>
          <w:bottom w:val="nil"/>
          <w:right w:val="nil"/>
          <w:between w:val="nil"/>
        </w:pBdr>
        <w:ind w:hanging="2"/>
        <w:rPr>
          <w:rFonts w:ascii="Arial" w:eastAsia="Arial" w:hAnsi="Arial" w:cs="Arial"/>
          <w:color w:val="000000"/>
        </w:rPr>
      </w:pPr>
      <w:r>
        <w:rPr>
          <w:rFonts w:ascii="Arial" w:eastAsia="Arial" w:hAnsi="Arial" w:cs="Arial"/>
          <w:b/>
          <w:color w:val="000000"/>
          <w:u w:val="single"/>
        </w:rPr>
        <w:t>Policy</w:t>
      </w:r>
      <w:r>
        <w:rPr>
          <w:rFonts w:ascii="Arial" w:eastAsia="Arial" w:hAnsi="Arial" w:cs="Arial"/>
          <w:color w:val="000000"/>
        </w:rPr>
        <w:t xml:space="preserve"> </w:t>
      </w:r>
    </w:p>
    <w:p w14:paraId="296ADE21" w14:textId="77777777" w:rsidR="009C6D88" w:rsidRDefault="009C6D88">
      <w:pPr>
        <w:pBdr>
          <w:top w:val="nil"/>
          <w:left w:val="nil"/>
          <w:bottom w:val="nil"/>
          <w:right w:val="nil"/>
          <w:between w:val="nil"/>
        </w:pBdr>
        <w:ind w:hanging="2"/>
        <w:rPr>
          <w:rFonts w:ascii="Arial" w:eastAsia="Arial" w:hAnsi="Arial" w:cs="Arial"/>
          <w:color w:val="000000"/>
        </w:rPr>
      </w:pPr>
    </w:p>
    <w:p w14:paraId="03D863AB" w14:textId="77777777" w:rsidR="009C6D88" w:rsidRDefault="00000000">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From 2018/19, the following rules for movement into and around the SCS have been in place:</w:t>
      </w:r>
    </w:p>
    <w:p w14:paraId="1F745C22" w14:textId="77777777" w:rsidR="009C6D88" w:rsidRDefault="009C6D88">
      <w:pPr>
        <w:pBdr>
          <w:top w:val="nil"/>
          <w:left w:val="nil"/>
          <w:bottom w:val="nil"/>
          <w:right w:val="nil"/>
          <w:between w:val="nil"/>
        </w:pBdr>
        <w:ind w:hanging="2"/>
        <w:rPr>
          <w:rFonts w:ascii="Arial" w:eastAsia="Arial" w:hAnsi="Arial" w:cs="Arial"/>
          <w:color w:val="000000"/>
          <w:highlight w:val="yellow"/>
        </w:rPr>
      </w:pPr>
    </w:p>
    <w:p w14:paraId="4DFF42FE" w14:textId="77777777" w:rsidR="009C6D88" w:rsidRDefault="00000000">
      <w:pPr>
        <w:widowControl/>
        <w:numPr>
          <w:ilvl w:val="0"/>
          <w:numId w:val="5"/>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No pay increases for moves within the SCS on level transfer; and   </w:t>
      </w:r>
    </w:p>
    <w:p w14:paraId="54B9DE6B" w14:textId="77777777" w:rsidR="009C6D88" w:rsidRDefault="00000000">
      <w:pPr>
        <w:widowControl/>
        <w:numPr>
          <w:ilvl w:val="0"/>
          <w:numId w:val="5"/>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On promotion to the SCS or to a higher SCS grade, SCS will receive no more than a 10% salary increase or the minimum of the new grade. </w:t>
      </w:r>
    </w:p>
    <w:p w14:paraId="79968808" w14:textId="77777777" w:rsidR="009C6D88" w:rsidRDefault="009C6D88">
      <w:pPr>
        <w:pBdr>
          <w:top w:val="nil"/>
          <w:left w:val="nil"/>
          <w:bottom w:val="nil"/>
          <w:right w:val="nil"/>
          <w:between w:val="nil"/>
        </w:pBdr>
        <w:ind w:hanging="2"/>
        <w:rPr>
          <w:rFonts w:ascii="Arial" w:eastAsia="Arial" w:hAnsi="Arial" w:cs="Arial"/>
          <w:color w:val="000000"/>
        </w:rPr>
      </w:pPr>
    </w:p>
    <w:p w14:paraId="1EEDA0F5" w14:textId="77777777" w:rsidR="009C6D88" w:rsidRDefault="00000000">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 xml:space="preserve">The aims are to: </w:t>
      </w:r>
    </w:p>
    <w:p w14:paraId="1D4488D5" w14:textId="77777777" w:rsidR="009C6D88" w:rsidRDefault="009C6D88">
      <w:pPr>
        <w:pBdr>
          <w:top w:val="nil"/>
          <w:left w:val="nil"/>
          <w:bottom w:val="nil"/>
          <w:right w:val="nil"/>
          <w:between w:val="nil"/>
        </w:pBdr>
        <w:ind w:hanging="2"/>
        <w:rPr>
          <w:rFonts w:ascii="Arial" w:eastAsia="Arial" w:hAnsi="Arial" w:cs="Arial"/>
          <w:color w:val="000000"/>
        </w:rPr>
      </w:pPr>
    </w:p>
    <w:p w14:paraId="69422533" w14:textId="77777777" w:rsidR="009C6D88" w:rsidRDefault="00000000">
      <w:pPr>
        <w:widowControl/>
        <w:numPr>
          <w:ilvl w:val="0"/>
          <w:numId w:val="8"/>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Tackle inconsistency of current approaches, which result in unequal outcomes for those moving into and around the SCS; </w:t>
      </w:r>
    </w:p>
    <w:p w14:paraId="2999FCDB" w14:textId="77777777" w:rsidR="009C6D88" w:rsidRDefault="00000000">
      <w:pPr>
        <w:widowControl/>
        <w:numPr>
          <w:ilvl w:val="0"/>
          <w:numId w:val="8"/>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Balance incentives for both breadth and depth of experience, encouraging SCS to build capability by remaining in post for longer; and</w:t>
      </w:r>
    </w:p>
    <w:p w14:paraId="1386238B" w14:textId="77777777" w:rsidR="009C6D88" w:rsidRDefault="00000000">
      <w:pPr>
        <w:widowControl/>
        <w:numPr>
          <w:ilvl w:val="0"/>
          <w:numId w:val="8"/>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Make more efficient use of existing funding, releasing savings to fund structural reform.</w:t>
      </w:r>
    </w:p>
    <w:p w14:paraId="1C0E5800" w14:textId="77777777" w:rsidR="009C6D88" w:rsidRDefault="009C6D88">
      <w:pPr>
        <w:pBdr>
          <w:top w:val="nil"/>
          <w:left w:val="nil"/>
          <w:bottom w:val="nil"/>
          <w:right w:val="nil"/>
          <w:between w:val="nil"/>
        </w:pBdr>
        <w:ind w:hanging="2"/>
        <w:rPr>
          <w:rFonts w:ascii="Arial" w:eastAsia="Arial" w:hAnsi="Arial" w:cs="Arial"/>
          <w:color w:val="000000"/>
        </w:rPr>
      </w:pPr>
    </w:p>
    <w:p w14:paraId="6D52BCEE" w14:textId="77777777" w:rsidR="009C6D88" w:rsidRDefault="00000000">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 xml:space="preserve">An exceptions process will exist to enable flexibility in cases where internal candidates move to roles with greater scale or responsibility. This will require agreement from the </w:t>
      </w:r>
      <w:r>
        <w:rPr>
          <w:rFonts w:ascii="Arial" w:eastAsia="Arial" w:hAnsi="Arial" w:cs="Arial"/>
          <w:b/>
          <w:color w:val="000000"/>
        </w:rPr>
        <w:t>Permanent Secretary</w:t>
      </w:r>
      <w:r>
        <w:rPr>
          <w:rFonts w:ascii="Arial" w:eastAsia="Arial" w:hAnsi="Arial" w:cs="Arial"/>
          <w:color w:val="000000"/>
        </w:rPr>
        <w:t xml:space="preserve"> and relevant </w:t>
      </w:r>
      <w:r>
        <w:rPr>
          <w:rFonts w:ascii="Arial" w:eastAsia="Arial" w:hAnsi="Arial" w:cs="Arial"/>
          <w:b/>
          <w:color w:val="000000"/>
        </w:rPr>
        <w:t>Head of Profession</w:t>
      </w:r>
      <w:r>
        <w:rPr>
          <w:rFonts w:ascii="Arial" w:eastAsia="Arial" w:hAnsi="Arial" w:cs="Arial"/>
          <w:color w:val="000000"/>
        </w:rPr>
        <w:t xml:space="preserve"> and evidence should be given, including against both of the following criteria:</w:t>
      </w:r>
    </w:p>
    <w:p w14:paraId="1A26FADD" w14:textId="77777777" w:rsidR="009C6D88" w:rsidRDefault="009C6D88">
      <w:pPr>
        <w:pBdr>
          <w:top w:val="nil"/>
          <w:left w:val="nil"/>
          <w:bottom w:val="nil"/>
          <w:right w:val="nil"/>
          <w:between w:val="nil"/>
        </w:pBdr>
        <w:ind w:hanging="2"/>
        <w:rPr>
          <w:rFonts w:ascii="Arial" w:eastAsia="Arial" w:hAnsi="Arial" w:cs="Arial"/>
          <w:color w:val="000000"/>
        </w:rPr>
      </w:pPr>
    </w:p>
    <w:p w14:paraId="6472A243" w14:textId="77777777" w:rsidR="009C6D88" w:rsidRDefault="00000000">
      <w:pPr>
        <w:widowControl/>
        <w:numPr>
          <w:ilvl w:val="0"/>
          <w:numId w:val="11"/>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Sustained high performance, increased effectiveness, deepened capability and expertise; and</w:t>
      </w:r>
    </w:p>
    <w:p w14:paraId="1CC7C41A" w14:textId="77777777" w:rsidR="009C6D88" w:rsidRDefault="00000000">
      <w:pPr>
        <w:widowControl/>
        <w:numPr>
          <w:ilvl w:val="0"/>
          <w:numId w:val="11"/>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That the individual is relatively low in the pay range and/or have benefited less or not at all from the rise in the minima.</w:t>
      </w:r>
    </w:p>
    <w:p w14:paraId="36BAD22B" w14:textId="77777777" w:rsidR="009C6D88" w:rsidRDefault="009C6D88">
      <w:pPr>
        <w:pBdr>
          <w:top w:val="nil"/>
          <w:left w:val="nil"/>
          <w:bottom w:val="nil"/>
          <w:right w:val="nil"/>
          <w:between w:val="nil"/>
        </w:pBdr>
        <w:ind w:hanging="2"/>
        <w:rPr>
          <w:rFonts w:ascii="Arial" w:eastAsia="Arial" w:hAnsi="Arial" w:cs="Arial"/>
          <w:color w:val="000000"/>
        </w:rPr>
      </w:pPr>
    </w:p>
    <w:p w14:paraId="381D825B" w14:textId="77777777" w:rsidR="009C6D88" w:rsidRDefault="00000000">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Departments should also consider the equality impact of any decisions made on exceptions, as well as any precedents they might be setting.</w:t>
      </w:r>
    </w:p>
    <w:p w14:paraId="5F1EA284" w14:textId="77777777" w:rsidR="009C6D88" w:rsidRDefault="009C6D88">
      <w:pPr>
        <w:pBdr>
          <w:top w:val="nil"/>
          <w:left w:val="nil"/>
          <w:bottom w:val="nil"/>
          <w:right w:val="nil"/>
          <w:between w:val="nil"/>
        </w:pBdr>
        <w:ind w:hanging="2"/>
        <w:rPr>
          <w:rFonts w:ascii="Arial" w:eastAsia="Arial" w:hAnsi="Arial" w:cs="Arial"/>
          <w:color w:val="000000"/>
        </w:rPr>
      </w:pPr>
    </w:p>
    <w:p w14:paraId="354D8A67" w14:textId="77777777" w:rsidR="009C6D88" w:rsidRDefault="00000000">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No limit has been imposed on the number of exceptions that can be approved, but Cabinet Office will collate the number of exceptions made each year to feed in to Senior Salary Review Body evidence. Although there is no centrally imposed limit on the number of exceptions, it is expected that they will make up only a small minority of cases.</w:t>
      </w:r>
    </w:p>
    <w:p w14:paraId="7AC37332" w14:textId="77777777" w:rsidR="009C6D88" w:rsidRDefault="009C6D88">
      <w:pPr>
        <w:pBdr>
          <w:top w:val="nil"/>
          <w:left w:val="nil"/>
          <w:bottom w:val="nil"/>
          <w:right w:val="nil"/>
          <w:between w:val="nil"/>
        </w:pBdr>
        <w:ind w:hanging="2"/>
        <w:rPr>
          <w:rFonts w:ascii="Arial" w:eastAsia="Arial" w:hAnsi="Arial" w:cs="Arial"/>
          <w:color w:val="000000"/>
          <w:u w:val="single"/>
        </w:rPr>
      </w:pPr>
    </w:p>
    <w:p w14:paraId="372746F1" w14:textId="77777777" w:rsidR="009C6D88" w:rsidRDefault="00000000">
      <w:pPr>
        <w:pBdr>
          <w:top w:val="nil"/>
          <w:left w:val="nil"/>
          <w:bottom w:val="nil"/>
          <w:right w:val="nil"/>
          <w:between w:val="nil"/>
        </w:pBdr>
        <w:ind w:hanging="2"/>
        <w:rPr>
          <w:rFonts w:ascii="Arial" w:eastAsia="Arial" w:hAnsi="Arial" w:cs="Arial"/>
          <w:color w:val="000000"/>
          <w:u w:val="single"/>
        </w:rPr>
      </w:pPr>
      <w:r>
        <w:rPr>
          <w:rFonts w:ascii="Arial" w:eastAsia="Arial" w:hAnsi="Arial" w:cs="Arial"/>
          <w:b/>
          <w:color w:val="000000"/>
          <w:u w:val="single"/>
        </w:rPr>
        <w:t xml:space="preserve">Process: </w:t>
      </w:r>
    </w:p>
    <w:p w14:paraId="78D9561A" w14:textId="77777777" w:rsidR="009C6D88" w:rsidRDefault="009C6D88">
      <w:pPr>
        <w:pBdr>
          <w:top w:val="nil"/>
          <w:left w:val="nil"/>
          <w:bottom w:val="nil"/>
          <w:right w:val="nil"/>
          <w:between w:val="nil"/>
        </w:pBdr>
        <w:ind w:hanging="2"/>
        <w:rPr>
          <w:rFonts w:ascii="Arial" w:eastAsia="Arial" w:hAnsi="Arial" w:cs="Arial"/>
          <w:color w:val="000000"/>
        </w:rPr>
      </w:pPr>
    </w:p>
    <w:p w14:paraId="44C91962" w14:textId="77777777" w:rsidR="009C6D88" w:rsidRDefault="00000000">
      <w:pPr>
        <w:widowControl/>
        <w:numPr>
          <w:ilvl w:val="0"/>
          <w:numId w:val="13"/>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Resourcing leads and hiring managers will identify that an exception is likely to be required and engage with the departmental HR Director and Head of Profession at the earliest opportunity. </w:t>
      </w:r>
    </w:p>
    <w:p w14:paraId="71DF9AD7" w14:textId="77777777" w:rsidR="009C6D88" w:rsidRDefault="00000000">
      <w:pPr>
        <w:widowControl/>
        <w:numPr>
          <w:ilvl w:val="0"/>
          <w:numId w:val="13"/>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Resourcing leads and hiring managers will develop a business case </w:t>
      </w:r>
      <w:r>
        <w:rPr>
          <w:rFonts w:ascii="Arial" w:eastAsia="Arial" w:hAnsi="Arial" w:cs="Arial"/>
          <w:b/>
          <w:color w:val="000000"/>
        </w:rPr>
        <w:t>using the standard pro-forma below</w:t>
      </w:r>
      <w:r>
        <w:rPr>
          <w:rFonts w:ascii="Arial" w:eastAsia="Arial" w:hAnsi="Arial" w:cs="Arial"/>
          <w:color w:val="000000"/>
        </w:rPr>
        <w:t xml:space="preserve"> for the exception which:</w:t>
      </w:r>
    </w:p>
    <w:p w14:paraId="2A442CEF" w14:textId="77777777" w:rsidR="009C6D88" w:rsidRDefault="00000000">
      <w:pPr>
        <w:widowControl/>
        <w:numPr>
          <w:ilvl w:val="0"/>
          <w:numId w:val="14"/>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Demonstrates efforts to appoint in line with standard rules;</w:t>
      </w:r>
    </w:p>
    <w:p w14:paraId="147C85FF" w14:textId="77777777" w:rsidR="009C6D88" w:rsidRDefault="00000000">
      <w:pPr>
        <w:widowControl/>
        <w:numPr>
          <w:ilvl w:val="0"/>
          <w:numId w:val="14"/>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Outlines costs and affordability; and </w:t>
      </w:r>
    </w:p>
    <w:p w14:paraId="082D51D2" w14:textId="77777777" w:rsidR="009C6D88" w:rsidRDefault="00000000">
      <w:pPr>
        <w:widowControl/>
        <w:numPr>
          <w:ilvl w:val="0"/>
          <w:numId w:val="14"/>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Justifies the exception against central criteria. </w:t>
      </w:r>
    </w:p>
    <w:p w14:paraId="4DA89205" w14:textId="77777777" w:rsidR="009C6D88" w:rsidRDefault="00000000">
      <w:pPr>
        <w:widowControl/>
        <w:numPr>
          <w:ilvl w:val="0"/>
          <w:numId w:val="13"/>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Once any departmental governance processes have been followed, the case should be submitted to the cross Civil Service Head of Profession for sign-off and any additional comments or endorsement. </w:t>
      </w:r>
    </w:p>
    <w:p w14:paraId="56F6B483" w14:textId="77777777" w:rsidR="009C6D88" w:rsidRDefault="00000000">
      <w:pPr>
        <w:widowControl/>
        <w:numPr>
          <w:ilvl w:val="0"/>
          <w:numId w:val="13"/>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For Directors and Deputy Directors, the case should be finally submitted to the departmental Permanent Secretary (or equivalent).</w:t>
      </w:r>
    </w:p>
    <w:p w14:paraId="5177F89B" w14:textId="77777777" w:rsidR="009C6D88" w:rsidRDefault="00000000">
      <w:pPr>
        <w:widowControl/>
        <w:numPr>
          <w:ilvl w:val="0"/>
          <w:numId w:val="13"/>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lastRenderedPageBreak/>
        <w:t>All Pay Band 3 business cases need approval by a Directors General Pay Committee and should be sent to</w:t>
      </w:r>
      <w:r>
        <w:rPr>
          <w:rFonts w:ascii="Arial" w:eastAsia="Arial" w:hAnsi="Arial" w:cs="Arial"/>
          <w:b/>
          <w:color w:val="000000"/>
        </w:rPr>
        <w:t xml:space="preserve"> </w:t>
      </w:r>
      <w:hyperlink r:id="rId10">
        <w:r>
          <w:rPr>
            <w:rFonts w:ascii="Arial" w:eastAsia="Arial" w:hAnsi="Arial" w:cs="Arial"/>
            <w:b/>
            <w:color w:val="0000FF"/>
            <w:u w:val="single"/>
          </w:rPr>
          <w:t>civilservicepay@cabinetoffice.gov.uk</w:t>
        </w:r>
      </w:hyperlink>
      <w:r>
        <w:rPr>
          <w:rFonts w:ascii="Arial" w:eastAsia="Arial" w:hAnsi="Arial" w:cs="Arial"/>
          <w:color w:val="000000"/>
        </w:rPr>
        <w:t>.</w:t>
      </w:r>
    </w:p>
    <w:p w14:paraId="0289252F" w14:textId="77777777" w:rsidR="009C6D88" w:rsidRDefault="00000000">
      <w:pPr>
        <w:widowControl/>
        <w:numPr>
          <w:ilvl w:val="0"/>
          <w:numId w:val="13"/>
        </w:num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Once appointment has been finalised, the business case and agreed salary should be submitted to the Cabinet Office Workforce Policy and Reward team. This is to enable monitoring of the application of the process from the centre.</w:t>
      </w:r>
    </w:p>
    <w:p w14:paraId="62642B81" w14:textId="77777777" w:rsidR="009C6D88" w:rsidRDefault="009C6D88">
      <w:pPr>
        <w:pBdr>
          <w:top w:val="nil"/>
          <w:left w:val="nil"/>
          <w:bottom w:val="nil"/>
          <w:right w:val="nil"/>
          <w:between w:val="nil"/>
        </w:pBdr>
        <w:ind w:hanging="2"/>
        <w:rPr>
          <w:rFonts w:ascii="Arial" w:eastAsia="Arial" w:hAnsi="Arial" w:cs="Arial"/>
          <w:color w:val="000000"/>
        </w:rPr>
      </w:pPr>
    </w:p>
    <w:p w14:paraId="37E5CCE2" w14:textId="77777777" w:rsidR="009C6D88" w:rsidRDefault="00000000">
      <w:pPr>
        <w:pBdr>
          <w:top w:val="nil"/>
          <w:left w:val="nil"/>
          <w:bottom w:val="nil"/>
          <w:right w:val="nil"/>
          <w:between w:val="nil"/>
        </w:pBdr>
        <w:ind w:hanging="2"/>
        <w:jc w:val="left"/>
        <w:rPr>
          <w:rFonts w:ascii="Arial" w:eastAsia="Arial" w:hAnsi="Arial" w:cs="Arial"/>
          <w:color w:val="000000"/>
          <w:u w:val="single"/>
        </w:rPr>
      </w:pPr>
      <w:r>
        <w:rPr>
          <w:rFonts w:ascii="Arial" w:eastAsia="Arial" w:hAnsi="Arial" w:cs="Arial"/>
          <w:b/>
          <w:color w:val="000000"/>
          <w:u w:val="single"/>
        </w:rPr>
        <w:t>Process Flow Chart</w:t>
      </w:r>
    </w:p>
    <w:p w14:paraId="05F1BC7E" w14:textId="77777777" w:rsidR="009C6D88" w:rsidRDefault="00000000">
      <w:pPr>
        <w:pBdr>
          <w:top w:val="nil"/>
          <w:left w:val="nil"/>
          <w:bottom w:val="nil"/>
          <w:right w:val="nil"/>
          <w:between w:val="nil"/>
        </w:pBdr>
        <w:spacing w:before="280" w:after="280"/>
        <w:ind w:hanging="2"/>
        <w:rPr>
          <w:rFonts w:ascii="Arial" w:eastAsia="Arial" w:hAnsi="Arial" w:cs="Arial"/>
          <w:color w:val="000000"/>
          <w:u w:val="single"/>
        </w:rPr>
      </w:pPr>
      <w:r>
        <w:rPr>
          <w:rFonts w:ascii="Arial" w:eastAsia="Arial" w:hAnsi="Arial" w:cs="Arial"/>
          <w:noProof/>
          <w:color w:val="000000"/>
        </w:rPr>
        <w:drawing>
          <wp:inline distT="0" distB="0" distL="114300" distR="114300" wp14:anchorId="4FA5BC90" wp14:editId="243FBAE7">
            <wp:extent cx="5868994" cy="27154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868994" cy="2715417"/>
                    </a:xfrm>
                    <a:prstGeom prst="rect">
                      <a:avLst/>
                    </a:prstGeom>
                    <a:ln/>
                  </pic:spPr>
                </pic:pic>
              </a:graphicData>
            </a:graphic>
          </wp:inline>
        </w:drawing>
      </w:r>
    </w:p>
    <w:p w14:paraId="25D8DEB4" w14:textId="77777777" w:rsidR="009C6D88" w:rsidRDefault="00000000">
      <w:pPr>
        <w:pBdr>
          <w:top w:val="nil"/>
          <w:left w:val="nil"/>
          <w:bottom w:val="nil"/>
          <w:right w:val="nil"/>
          <w:between w:val="nil"/>
        </w:pBdr>
        <w:ind w:hanging="2"/>
        <w:rPr>
          <w:rFonts w:ascii="Arial" w:eastAsia="Arial" w:hAnsi="Arial" w:cs="Arial"/>
          <w:b/>
          <w:color w:val="000000"/>
          <w:u w:val="single"/>
        </w:rPr>
      </w:pPr>
      <w:r>
        <w:rPr>
          <w:rFonts w:ascii="Arial" w:eastAsia="Arial" w:hAnsi="Arial" w:cs="Arial"/>
          <w:b/>
          <w:color w:val="000000"/>
          <w:u w:val="single"/>
        </w:rPr>
        <w:t xml:space="preserve">Frequently Asked Questions: </w:t>
      </w:r>
    </w:p>
    <w:p w14:paraId="0BE46A53" w14:textId="77777777" w:rsidR="009C6D88" w:rsidRDefault="009C6D88">
      <w:pPr>
        <w:pBdr>
          <w:top w:val="nil"/>
          <w:left w:val="nil"/>
          <w:bottom w:val="nil"/>
          <w:right w:val="nil"/>
          <w:between w:val="nil"/>
        </w:pBdr>
        <w:ind w:hanging="2"/>
        <w:rPr>
          <w:rFonts w:ascii="Arial" w:eastAsia="Arial" w:hAnsi="Arial" w:cs="Arial"/>
          <w:b/>
          <w:color w:val="000000"/>
          <w:u w:val="single"/>
        </w:rPr>
      </w:pPr>
    </w:p>
    <w:p w14:paraId="54CF97D7" w14:textId="77777777" w:rsidR="009C6D88" w:rsidRDefault="00000000">
      <w:pPr>
        <w:numPr>
          <w:ilvl w:val="0"/>
          <w:numId w:val="17"/>
        </w:numPr>
        <w:pBdr>
          <w:top w:val="nil"/>
          <w:left w:val="nil"/>
          <w:bottom w:val="nil"/>
          <w:right w:val="nil"/>
          <w:between w:val="nil"/>
        </w:pBdr>
        <w:rPr>
          <w:rFonts w:ascii="Arial" w:eastAsia="Arial" w:hAnsi="Arial" w:cs="Arial"/>
          <w:color w:val="000000"/>
        </w:rPr>
      </w:pPr>
      <w:r>
        <w:rPr>
          <w:rFonts w:ascii="Arial" w:eastAsia="Arial" w:hAnsi="Arial" w:cs="Arial"/>
          <w:b/>
          <w:color w:val="222222"/>
        </w:rPr>
        <w:t>Who are the Heads of Professions (</w:t>
      </w:r>
      <w:proofErr w:type="spellStart"/>
      <w:r>
        <w:rPr>
          <w:rFonts w:ascii="Arial" w:eastAsia="Arial" w:hAnsi="Arial" w:cs="Arial"/>
          <w:b/>
          <w:color w:val="222222"/>
        </w:rPr>
        <w:t>HoP</w:t>
      </w:r>
      <w:proofErr w:type="spellEnd"/>
      <w:r>
        <w:rPr>
          <w:rFonts w:ascii="Arial" w:eastAsia="Arial" w:hAnsi="Arial" w:cs="Arial"/>
          <w:b/>
          <w:color w:val="222222"/>
        </w:rPr>
        <w:t>)?</w:t>
      </w:r>
    </w:p>
    <w:p w14:paraId="3B00FAF5" w14:textId="77777777" w:rsidR="009C6D88" w:rsidRDefault="00000000">
      <w:pPr>
        <w:ind w:hanging="2"/>
        <w:rPr>
          <w:rFonts w:ascii="Arial" w:eastAsia="Arial" w:hAnsi="Arial" w:cs="Arial"/>
          <w:color w:val="222222"/>
        </w:rPr>
      </w:pPr>
      <w:bookmarkStart w:id="3" w:name="_2et92p0" w:colFirst="0" w:colLast="0"/>
      <w:bookmarkEnd w:id="3"/>
      <w:r>
        <w:rPr>
          <w:rFonts w:ascii="Arial" w:eastAsia="Arial" w:hAnsi="Arial" w:cs="Arial"/>
          <w:color w:val="222222"/>
        </w:rPr>
        <w:t xml:space="preserve">We would advise that you initially contact your departmental heads of professions, who will be able to refer you to the cross-government Head of Profession. If you are unable to contact the </w:t>
      </w:r>
      <w:proofErr w:type="spellStart"/>
      <w:r>
        <w:rPr>
          <w:rFonts w:ascii="Arial" w:eastAsia="Arial" w:hAnsi="Arial" w:cs="Arial"/>
          <w:color w:val="222222"/>
        </w:rPr>
        <w:t>HoPs</w:t>
      </w:r>
      <w:proofErr w:type="spellEnd"/>
      <w:r>
        <w:rPr>
          <w:rFonts w:ascii="Arial" w:eastAsia="Arial" w:hAnsi="Arial" w:cs="Arial"/>
          <w:color w:val="222222"/>
        </w:rPr>
        <w:t xml:space="preserve">, then please contact either CSEP </w:t>
      </w:r>
      <w:hyperlink r:id="rId12">
        <w:r>
          <w:rPr>
            <w:rFonts w:ascii="Arial" w:eastAsia="Arial" w:hAnsi="Arial" w:cs="Arial"/>
            <w:color w:val="0000FF"/>
            <w:u w:val="single"/>
          </w:rPr>
          <w:t>contact.us@csep.gov.uk</w:t>
        </w:r>
      </w:hyperlink>
      <w:r>
        <w:rPr>
          <w:rFonts w:ascii="Arial" w:eastAsia="Arial" w:hAnsi="Arial" w:cs="Arial"/>
          <w:color w:val="222222"/>
        </w:rPr>
        <w:t xml:space="preserve"> or Civil Service Workforce Policy and Reward Team </w:t>
      </w:r>
      <w:hyperlink r:id="rId13">
        <w:r>
          <w:rPr>
            <w:rFonts w:ascii="Arial" w:eastAsia="Arial" w:hAnsi="Arial" w:cs="Arial"/>
            <w:color w:val="0000FF"/>
            <w:u w:val="single"/>
          </w:rPr>
          <w:t>civilservicepay@cabinetoffice.gov.uk</w:t>
        </w:r>
      </w:hyperlink>
      <w:r>
        <w:rPr>
          <w:rFonts w:ascii="Arial" w:eastAsia="Arial" w:hAnsi="Arial" w:cs="Arial"/>
          <w:color w:val="222222"/>
        </w:rPr>
        <w:t xml:space="preserve"> . The aim is to compile a list of contacts and circulate to departments, in due course. You can find a list of the different professions using this </w:t>
      </w:r>
      <w:hyperlink r:id="rId14">
        <w:r>
          <w:rPr>
            <w:rFonts w:ascii="Arial" w:eastAsia="Arial" w:hAnsi="Arial" w:cs="Arial"/>
            <w:color w:val="1155CC"/>
            <w:u w:val="single"/>
          </w:rPr>
          <w:t>link</w:t>
        </w:r>
      </w:hyperlink>
      <w:r>
        <w:rPr>
          <w:rFonts w:ascii="Arial" w:eastAsia="Arial" w:hAnsi="Arial" w:cs="Arial"/>
          <w:color w:val="222222"/>
        </w:rPr>
        <w:t xml:space="preserve">. </w:t>
      </w:r>
    </w:p>
    <w:p w14:paraId="2FA85967" w14:textId="77777777" w:rsidR="009C6D88" w:rsidRDefault="009C6D88">
      <w:pPr>
        <w:pBdr>
          <w:top w:val="nil"/>
          <w:left w:val="nil"/>
          <w:bottom w:val="nil"/>
          <w:right w:val="nil"/>
          <w:between w:val="nil"/>
        </w:pBdr>
        <w:ind w:hanging="2"/>
        <w:rPr>
          <w:rFonts w:ascii="Arial" w:eastAsia="Arial" w:hAnsi="Arial" w:cs="Arial"/>
          <w:color w:val="000000"/>
          <w:u w:val="single"/>
        </w:rPr>
      </w:pPr>
    </w:p>
    <w:p w14:paraId="687A9A6F" w14:textId="77777777" w:rsidR="009C6D88" w:rsidRDefault="00000000">
      <w:pPr>
        <w:widowControl/>
        <w:numPr>
          <w:ilvl w:val="0"/>
          <w:numId w:val="17"/>
        </w:numPr>
        <w:pBdr>
          <w:top w:val="nil"/>
          <w:left w:val="nil"/>
          <w:bottom w:val="nil"/>
          <w:right w:val="nil"/>
          <w:between w:val="nil"/>
        </w:pBdr>
        <w:jc w:val="left"/>
        <w:rPr>
          <w:rFonts w:ascii="Arial" w:eastAsia="Arial" w:hAnsi="Arial" w:cs="Arial"/>
          <w:color w:val="000000"/>
        </w:rPr>
      </w:pPr>
      <w:r>
        <w:rPr>
          <w:rFonts w:ascii="Arial" w:eastAsia="Arial" w:hAnsi="Arial" w:cs="Arial"/>
          <w:b/>
          <w:color w:val="000000"/>
        </w:rPr>
        <w:t>Often an SCS role can overlap with more than one profession - which Head of Profession should sign off on an exception?</w:t>
      </w:r>
    </w:p>
    <w:p w14:paraId="4283823F" w14:textId="77777777" w:rsidR="009C6D88" w:rsidRDefault="00000000">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 xml:space="preserve">The vacancy holder should make a decision as to whether the role has a clear anchor in one profession, and subsequently that Head of Profession will be approached for approval alongside the Permanent Secretary. However, if there isn’t a clear anchor, more than one Head of Profession may be consulted for approval and joint agreement should be sought. </w:t>
      </w:r>
    </w:p>
    <w:p w14:paraId="4A287045" w14:textId="77777777" w:rsidR="009C6D88" w:rsidRDefault="009C6D88">
      <w:pPr>
        <w:pBdr>
          <w:top w:val="nil"/>
          <w:left w:val="nil"/>
          <w:bottom w:val="nil"/>
          <w:right w:val="nil"/>
          <w:between w:val="nil"/>
        </w:pBdr>
        <w:ind w:hanging="2"/>
        <w:rPr>
          <w:rFonts w:ascii="Arial" w:eastAsia="Arial" w:hAnsi="Arial" w:cs="Arial"/>
          <w:color w:val="000000"/>
        </w:rPr>
      </w:pPr>
    </w:p>
    <w:p w14:paraId="0C67E88D" w14:textId="77777777" w:rsidR="009C6D88" w:rsidRDefault="00000000">
      <w:pPr>
        <w:widowControl/>
        <w:numPr>
          <w:ilvl w:val="0"/>
          <w:numId w:val="17"/>
        </w:numPr>
        <w:pBdr>
          <w:top w:val="nil"/>
          <w:left w:val="nil"/>
          <w:bottom w:val="nil"/>
          <w:right w:val="nil"/>
          <w:between w:val="nil"/>
        </w:pBdr>
        <w:jc w:val="left"/>
        <w:rPr>
          <w:rFonts w:ascii="Arial" w:eastAsia="Arial" w:hAnsi="Arial" w:cs="Arial"/>
          <w:color w:val="000000"/>
        </w:rPr>
      </w:pPr>
      <w:r>
        <w:rPr>
          <w:rFonts w:ascii="Arial" w:eastAsia="Arial" w:hAnsi="Arial" w:cs="Arial"/>
          <w:b/>
          <w:color w:val="000000"/>
        </w:rPr>
        <w:t xml:space="preserve">In some </w:t>
      </w:r>
      <w:proofErr w:type="gramStart"/>
      <w:r>
        <w:rPr>
          <w:rFonts w:ascii="Arial" w:eastAsia="Arial" w:hAnsi="Arial" w:cs="Arial"/>
          <w:b/>
          <w:color w:val="000000"/>
        </w:rPr>
        <w:t>cases</w:t>
      </w:r>
      <w:proofErr w:type="gramEnd"/>
      <w:r>
        <w:rPr>
          <w:rFonts w:ascii="Arial" w:eastAsia="Arial" w:hAnsi="Arial" w:cs="Arial"/>
          <w:b/>
          <w:color w:val="000000"/>
        </w:rPr>
        <w:t xml:space="preserve"> the Head of Profession is also the Permanent Secretary - who should be the second signatory in this case?</w:t>
      </w:r>
    </w:p>
    <w:p w14:paraId="095128C4" w14:textId="77777777" w:rsidR="009C6D88" w:rsidRDefault="00000000">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In this instance, we would expect the Permanent Secretary to suggest an appropriate and independent alternative, to provide the dual-key approval.</w:t>
      </w:r>
    </w:p>
    <w:p w14:paraId="09959BE2" w14:textId="77777777" w:rsidR="009C6D88" w:rsidRDefault="009C6D88">
      <w:pPr>
        <w:pBdr>
          <w:top w:val="nil"/>
          <w:left w:val="nil"/>
          <w:bottom w:val="nil"/>
          <w:right w:val="nil"/>
          <w:between w:val="nil"/>
        </w:pBdr>
        <w:ind w:hanging="2"/>
        <w:rPr>
          <w:rFonts w:ascii="Arial" w:eastAsia="Arial" w:hAnsi="Arial" w:cs="Arial"/>
          <w:color w:val="000000"/>
        </w:rPr>
      </w:pPr>
    </w:p>
    <w:p w14:paraId="4B89D4D0" w14:textId="77777777" w:rsidR="009C6D88" w:rsidRDefault="00000000">
      <w:pPr>
        <w:widowControl/>
        <w:numPr>
          <w:ilvl w:val="0"/>
          <w:numId w:val="17"/>
        </w:numPr>
        <w:pBdr>
          <w:top w:val="nil"/>
          <w:left w:val="nil"/>
          <w:bottom w:val="nil"/>
          <w:right w:val="nil"/>
          <w:between w:val="nil"/>
        </w:pBdr>
        <w:jc w:val="left"/>
        <w:rPr>
          <w:rFonts w:ascii="Arial" w:eastAsia="Arial" w:hAnsi="Arial" w:cs="Arial"/>
          <w:color w:val="000000"/>
        </w:rPr>
      </w:pPr>
      <w:r>
        <w:rPr>
          <w:rFonts w:ascii="Arial" w:eastAsia="Arial" w:hAnsi="Arial" w:cs="Arial"/>
          <w:b/>
          <w:color w:val="000000"/>
        </w:rPr>
        <w:t>Some Heads of Profession have significantly larger SCS workforces without corresponding support teams. How will we be able to process exceptions?</w:t>
      </w:r>
    </w:p>
    <w:p w14:paraId="01B613BF" w14:textId="77777777" w:rsidR="009C6D88" w:rsidRDefault="00000000">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 xml:space="preserve">Exceptions should be a small minority and should therefore not generate too much work. When defining their exceptions criteria Head of Profession should consider whether departmental heads of profession can provide initial sign-off to help with the administration of the process. </w:t>
      </w:r>
    </w:p>
    <w:p w14:paraId="4120343E" w14:textId="77777777" w:rsidR="009C6D88" w:rsidRDefault="009C6D88">
      <w:pPr>
        <w:pBdr>
          <w:top w:val="nil"/>
          <w:left w:val="nil"/>
          <w:bottom w:val="nil"/>
          <w:right w:val="nil"/>
          <w:between w:val="nil"/>
        </w:pBdr>
        <w:ind w:hanging="2"/>
        <w:rPr>
          <w:rFonts w:ascii="Arial" w:eastAsia="Arial" w:hAnsi="Arial" w:cs="Arial"/>
          <w:color w:val="000000"/>
        </w:rPr>
      </w:pPr>
    </w:p>
    <w:p w14:paraId="0B810EAA" w14:textId="77777777" w:rsidR="009C6D88" w:rsidRDefault="009C6D88">
      <w:pPr>
        <w:pBdr>
          <w:top w:val="nil"/>
          <w:left w:val="nil"/>
          <w:bottom w:val="nil"/>
          <w:right w:val="nil"/>
          <w:between w:val="nil"/>
        </w:pBdr>
        <w:ind w:hanging="2"/>
        <w:rPr>
          <w:rFonts w:ascii="Arial" w:eastAsia="Arial" w:hAnsi="Arial" w:cs="Arial"/>
          <w:color w:val="000000"/>
        </w:rPr>
      </w:pPr>
    </w:p>
    <w:p w14:paraId="711C3598" w14:textId="77777777" w:rsidR="009C6D88" w:rsidRDefault="00000000">
      <w:pPr>
        <w:widowControl/>
        <w:numPr>
          <w:ilvl w:val="0"/>
          <w:numId w:val="17"/>
        </w:numPr>
        <w:pBdr>
          <w:top w:val="nil"/>
          <w:left w:val="nil"/>
          <w:bottom w:val="nil"/>
          <w:right w:val="nil"/>
          <w:between w:val="nil"/>
        </w:pBdr>
        <w:jc w:val="left"/>
        <w:rPr>
          <w:rFonts w:ascii="Arial" w:eastAsia="Arial" w:hAnsi="Arial" w:cs="Arial"/>
          <w:color w:val="000000"/>
        </w:rPr>
      </w:pPr>
      <w:r>
        <w:rPr>
          <w:rFonts w:ascii="Arial" w:eastAsia="Arial" w:hAnsi="Arial" w:cs="Arial"/>
          <w:b/>
          <w:color w:val="000000"/>
        </w:rPr>
        <w:lastRenderedPageBreak/>
        <w:t>What if an exception is sought for a cross Civil Service Head of Profession role?</w:t>
      </w:r>
    </w:p>
    <w:p w14:paraId="6240FE01" w14:textId="77777777" w:rsidR="009C6D88" w:rsidRDefault="00000000">
      <w:pPr>
        <w:pBdr>
          <w:top w:val="nil"/>
          <w:left w:val="nil"/>
          <w:bottom w:val="nil"/>
          <w:right w:val="nil"/>
          <w:between w:val="nil"/>
        </w:pBdr>
        <w:ind w:hanging="2"/>
        <w:rPr>
          <w:rFonts w:ascii="Arial" w:eastAsia="Arial" w:hAnsi="Arial" w:cs="Arial"/>
          <w:color w:val="000000"/>
        </w:rPr>
      </w:pPr>
      <w:r>
        <w:rPr>
          <w:rFonts w:ascii="Arial" w:eastAsia="Arial" w:hAnsi="Arial" w:cs="Arial"/>
          <w:color w:val="000000"/>
        </w:rPr>
        <w:t>In this instance, Alex Chisholm, Civil Service Chief Operating Officer, should be approached for approval alongside the relevant Permanent Secretary.</w:t>
      </w:r>
    </w:p>
    <w:p w14:paraId="725D5AE1" w14:textId="77777777" w:rsidR="009C6D88" w:rsidRDefault="009C6D88">
      <w:pPr>
        <w:ind w:hanging="2"/>
        <w:rPr>
          <w:rFonts w:ascii="Arial" w:eastAsia="Arial" w:hAnsi="Arial" w:cs="Arial"/>
        </w:rPr>
      </w:pPr>
    </w:p>
    <w:p w14:paraId="027466DF" w14:textId="77777777" w:rsidR="009C6D88" w:rsidRDefault="00000000">
      <w:pPr>
        <w:numPr>
          <w:ilvl w:val="0"/>
          <w:numId w:val="17"/>
        </w:numPr>
        <w:pBdr>
          <w:top w:val="nil"/>
          <w:left w:val="nil"/>
          <w:bottom w:val="nil"/>
          <w:right w:val="nil"/>
          <w:between w:val="nil"/>
        </w:pBdr>
        <w:rPr>
          <w:rFonts w:ascii="Arial" w:eastAsia="Arial" w:hAnsi="Arial" w:cs="Arial"/>
          <w:color w:val="000000"/>
        </w:rPr>
      </w:pPr>
      <w:r>
        <w:rPr>
          <w:rFonts w:ascii="Arial" w:eastAsia="Arial" w:hAnsi="Arial" w:cs="Arial"/>
          <w:b/>
          <w:color w:val="222222"/>
        </w:rPr>
        <w:t xml:space="preserve">How do we know what has been delegated to department </w:t>
      </w:r>
      <w:proofErr w:type="spellStart"/>
      <w:r>
        <w:rPr>
          <w:rFonts w:ascii="Arial" w:eastAsia="Arial" w:hAnsi="Arial" w:cs="Arial"/>
          <w:b/>
          <w:color w:val="222222"/>
        </w:rPr>
        <w:t>HoP</w:t>
      </w:r>
      <w:proofErr w:type="spellEnd"/>
      <w:r>
        <w:rPr>
          <w:rFonts w:ascii="Arial" w:eastAsia="Arial" w:hAnsi="Arial" w:cs="Arial"/>
          <w:b/>
          <w:color w:val="222222"/>
        </w:rPr>
        <w:t xml:space="preserve"> and what hasn't?</w:t>
      </w:r>
    </w:p>
    <w:p w14:paraId="469B39AD" w14:textId="77777777" w:rsidR="009C6D88" w:rsidRDefault="00000000">
      <w:pPr>
        <w:ind w:hanging="2"/>
        <w:rPr>
          <w:rFonts w:ascii="Arial" w:eastAsia="Arial" w:hAnsi="Arial" w:cs="Arial"/>
          <w:color w:val="222222"/>
        </w:rPr>
      </w:pPr>
      <w:r>
        <w:rPr>
          <w:rFonts w:ascii="Arial" w:eastAsia="Arial" w:hAnsi="Arial" w:cs="Arial"/>
          <w:color w:val="222222"/>
        </w:rPr>
        <w:t xml:space="preserve">By its nature the exceptions process, and therefore the involvement of the </w:t>
      </w:r>
      <w:proofErr w:type="spellStart"/>
      <w:r>
        <w:rPr>
          <w:rFonts w:ascii="Arial" w:eastAsia="Arial" w:hAnsi="Arial" w:cs="Arial"/>
          <w:color w:val="222222"/>
        </w:rPr>
        <w:t>HoP</w:t>
      </w:r>
      <w:proofErr w:type="spellEnd"/>
      <w:r>
        <w:rPr>
          <w:rFonts w:ascii="Arial" w:eastAsia="Arial" w:hAnsi="Arial" w:cs="Arial"/>
          <w:color w:val="222222"/>
        </w:rPr>
        <w:t xml:space="preserve"> in reward decisions should be rare. However, as with all SCS recruitment, it is advised that you have early engagement with your departmental </w:t>
      </w:r>
      <w:proofErr w:type="spellStart"/>
      <w:r>
        <w:rPr>
          <w:rFonts w:ascii="Arial" w:eastAsia="Arial" w:hAnsi="Arial" w:cs="Arial"/>
          <w:color w:val="222222"/>
        </w:rPr>
        <w:t>HoPs</w:t>
      </w:r>
      <w:proofErr w:type="spellEnd"/>
      <w:r>
        <w:rPr>
          <w:rFonts w:ascii="Arial" w:eastAsia="Arial" w:hAnsi="Arial" w:cs="Arial"/>
          <w:color w:val="222222"/>
        </w:rPr>
        <w:t xml:space="preserve">, before engaging in the recruitment process in order to ensure activity aligns to wider capability development plans. In the event that exceptional pay flexibility is required the departmental </w:t>
      </w:r>
      <w:proofErr w:type="spellStart"/>
      <w:r>
        <w:rPr>
          <w:rFonts w:ascii="Arial" w:eastAsia="Arial" w:hAnsi="Arial" w:cs="Arial"/>
          <w:color w:val="222222"/>
        </w:rPr>
        <w:t>HoPs</w:t>
      </w:r>
      <w:proofErr w:type="spellEnd"/>
      <w:r>
        <w:rPr>
          <w:rFonts w:ascii="Arial" w:eastAsia="Arial" w:hAnsi="Arial" w:cs="Arial"/>
          <w:color w:val="222222"/>
        </w:rPr>
        <w:t xml:space="preserve"> will be able to advise on the arrangements that have been agreed with the cross- government </w:t>
      </w:r>
      <w:proofErr w:type="spellStart"/>
      <w:r>
        <w:rPr>
          <w:rFonts w:ascii="Arial" w:eastAsia="Arial" w:hAnsi="Arial" w:cs="Arial"/>
          <w:color w:val="222222"/>
        </w:rPr>
        <w:t>HoPs</w:t>
      </w:r>
      <w:proofErr w:type="spellEnd"/>
      <w:r>
        <w:rPr>
          <w:rFonts w:ascii="Arial" w:eastAsia="Arial" w:hAnsi="Arial" w:cs="Arial"/>
          <w:color w:val="222222"/>
        </w:rPr>
        <w:t xml:space="preserve">. </w:t>
      </w:r>
    </w:p>
    <w:p w14:paraId="4C007253" w14:textId="77777777" w:rsidR="009C6D88" w:rsidRDefault="009C6D88">
      <w:pPr>
        <w:ind w:hanging="2"/>
        <w:rPr>
          <w:rFonts w:ascii="Arial" w:eastAsia="Arial" w:hAnsi="Arial" w:cs="Arial"/>
          <w:color w:val="222222"/>
        </w:rPr>
      </w:pPr>
    </w:p>
    <w:p w14:paraId="482EA7C7" w14:textId="77777777" w:rsidR="009C6D88" w:rsidRDefault="00000000">
      <w:pPr>
        <w:numPr>
          <w:ilvl w:val="0"/>
          <w:numId w:val="17"/>
        </w:numPr>
        <w:pBdr>
          <w:top w:val="nil"/>
          <w:left w:val="nil"/>
          <w:bottom w:val="nil"/>
          <w:right w:val="nil"/>
          <w:between w:val="nil"/>
        </w:pBdr>
        <w:rPr>
          <w:rFonts w:ascii="Arial" w:eastAsia="Arial" w:hAnsi="Arial" w:cs="Arial"/>
          <w:color w:val="000000"/>
        </w:rPr>
      </w:pPr>
      <w:r>
        <w:rPr>
          <w:rFonts w:ascii="Arial" w:eastAsia="Arial" w:hAnsi="Arial" w:cs="Arial"/>
          <w:b/>
          <w:color w:val="222222"/>
        </w:rPr>
        <w:t>What happens when disagreement occurs?</w:t>
      </w:r>
    </w:p>
    <w:p w14:paraId="40E75E07" w14:textId="77777777" w:rsidR="009C6D88" w:rsidRDefault="00000000">
      <w:pPr>
        <w:ind w:hanging="2"/>
        <w:rPr>
          <w:rFonts w:ascii="Arial" w:eastAsia="Arial" w:hAnsi="Arial" w:cs="Arial"/>
          <w:color w:val="222222"/>
        </w:rPr>
      </w:pPr>
      <w:r>
        <w:rPr>
          <w:rFonts w:ascii="Arial" w:eastAsia="Arial" w:hAnsi="Arial" w:cs="Arial"/>
          <w:color w:val="222222"/>
        </w:rPr>
        <w:t xml:space="preserve">The exception process is designed to be a mutually agreed decision between the </w:t>
      </w:r>
      <w:proofErr w:type="spellStart"/>
      <w:r>
        <w:rPr>
          <w:rFonts w:ascii="Arial" w:eastAsia="Arial" w:hAnsi="Arial" w:cs="Arial"/>
          <w:color w:val="222222"/>
        </w:rPr>
        <w:t>HoP</w:t>
      </w:r>
      <w:proofErr w:type="spellEnd"/>
      <w:r>
        <w:rPr>
          <w:rFonts w:ascii="Arial" w:eastAsia="Arial" w:hAnsi="Arial" w:cs="Arial"/>
          <w:color w:val="222222"/>
        </w:rPr>
        <w:t xml:space="preserve"> and the Permanent Secretary/Accounting Officer for the benefit of the department. </w:t>
      </w:r>
    </w:p>
    <w:p w14:paraId="070EF921" w14:textId="77777777" w:rsidR="009C6D88" w:rsidRDefault="009C6D88">
      <w:pPr>
        <w:ind w:hanging="2"/>
        <w:rPr>
          <w:rFonts w:ascii="Arial" w:eastAsia="Arial" w:hAnsi="Arial" w:cs="Arial"/>
          <w:color w:val="222222"/>
        </w:rPr>
      </w:pPr>
    </w:p>
    <w:p w14:paraId="64781E82" w14:textId="77777777" w:rsidR="009C6D88" w:rsidRDefault="00000000">
      <w:pPr>
        <w:ind w:hanging="2"/>
        <w:rPr>
          <w:rFonts w:ascii="Arial" w:eastAsia="Arial" w:hAnsi="Arial" w:cs="Arial"/>
          <w:color w:val="222222"/>
        </w:rPr>
      </w:pPr>
      <w:r>
        <w:rPr>
          <w:rFonts w:ascii="Arial" w:eastAsia="Arial" w:hAnsi="Arial" w:cs="Arial"/>
          <w:color w:val="222222"/>
        </w:rPr>
        <w:t xml:space="preserve">We would anticipate that there may be a healthy level of challenge to decisions, to ensure that it is line with the business needs of the departments and that all decisions are sufficiently robust to stand up to scrutiny. If disagreements do arise, the Permanent Secretary/Accounting Officer would make the final decision, but parties should try to reach agreement, to avoid the situation occurring. </w:t>
      </w:r>
    </w:p>
    <w:p w14:paraId="6F3751EB" w14:textId="77777777" w:rsidR="009C6D88" w:rsidRDefault="009C6D88">
      <w:pPr>
        <w:ind w:hanging="2"/>
        <w:rPr>
          <w:rFonts w:ascii="Arial" w:eastAsia="Arial" w:hAnsi="Arial" w:cs="Arial"/>
          <w:color w:val="222222"/>
        </w:rPr>
      </w:pPr>
    </w:p>
    <w:p w14:paraId="384E8567" w14:textId="77777777" w:rsidR="009C6D88" w:rsidRDefault="00000000">
      <w:pPr>
        <w:ind w:hanging="2"/>
        <w:rPr>
          <w:rFonts w:ascii="Arial" w:eastAsia="Arial" w:hAnsi="Arial" w:cs="Arial"/>
          <w:color w:val="222222"/>
        </w:rPr>
      </w:pPr>
      <w:r>
        <w:rPr>
          <w:rFonts w:ascii="Arial" w:eastAsia="Arial" w:hAnsi="Arial" w:cs="Arial"/>
          <w:color w:val="222222"/>
        </w:rPr>
        <w:t xml:space="preserve">If the case is regarding a role at Director General level, approval is sought from the </w:t>
      </w:r>
      <w:proofErr w:type="spellStart"/>
      <w:r>
        <w:rPr>
          <w:rFonts w:ascii="Arial" w:eastAsia="Arial" w:hAnsi="Arial" w:cs="Arial"/>
          <w:color w:val="222222"/>
        </w:rPr>
        <w:t>HoPs</w:t>
      </w:r>
      <w:proofErr w:type="spellEnd"/>
      <w:r>
        <w:rPr>
          <w:rFonts w:ascii="Arial" w:eastAsia="Arial" w:hAnsi="Arial" w:cs="Arial"/>
          <w:color w:val="222222"/>
        </w:rPr>
        <w:t xml:space="preserve"> and the Permanent Secretary, then a </w:t>
      </w:r>
      <w:r>
        <w:rPr>
          <w:rFonts w:ascii="Arial" w:eastAsia="Arial" w:hAnsi="Arial" w:cs="Arial"/>
        </w:rPr>
        <w:t>Directors General Pay Committee</w:t>
      </w:r>
      <w:r>
        <w:rPr>
          <w:rFonts w:ascii="Arial" w:eastAsia="Arial" w:hAnsi="Arial" w:cs="Arial"/>
          <w:color w:val="222222"/>
        </w:rPr>
        <w:t xml:space="preserve"> final sign off. </w:t>
      </w:r>
    </w:p>
    <w:p w14:paraId="3760A2F3" w14:textId="77777777" w:rsidR="009C6D88" w:rsidRDefault="009C6D88">
      <w:pPr>
        <w:ind w:hanging="2"/>
        <w:rPr>
          <w:rFonts w:ascii="Arial" w:eastAsia="Arial" w:hAnsi="Arial" w:cs="Arial"/>
          <w:color w:val="222222"/>
        </w:rPr>
      </w:pPr>
    </w:p>
    <w:p w14:paraId="115818A6" w14:textId="77777777" w:rsidR="009C6D88" w:rsidRDefault="00000000">
      <w:pPr>
        <w:numPr>
          <w:ilvl w:val="0"/>
          <w:numId w:val="17"/>
        </w:numPr>
        <w:pBdr>
          <w:top w:val="nil"/>
          <w:left w:val="nil"/>
          <w:bottom w:val="nil"/>
          <w:right w:val="nil"/>
          <w:between w:val="nil"/>
        </w:pBdr>
        <w:rPr>
          <w:rFonts w:ascii="Arial" w:eastAsia="Arial" w:hAnsi="Arial" w:cs="Arial"/>
          <w:color w:val="000000"/>
        </w:rPr>
      </w:pPr>
      <w:r>
        <w:rPr>
          <w:rFonts w:ascii="Arial" w:eastAsia="Arial" w:hAnsi="Arial" w:cs="Arial"/>
          <w:b/>
          <w:color w:val="222222"/>
        </w:rPr>
        <w:t xml:space="preserve">Should the </w:t>
      </w:r>
      <w:proofErr w:type="spellStart"/>
      <w:r>
        <w:rPr>
          <w:rFonts w:ascii="Arial" w:eastAsia="Arial" w:hAnsi="Arial" w:cs="Arial"/>
          <w:b/>
          <w:color w:val="222222"/>
        </w:rPr>
        <w:t>HoP</w:t>
      </w:r>
      <w:proofErr w:type="spellEnd"/>
      <w:r>
        <w:rPr>
          <w:rFonts w:ascii="Arial" w:eastAsia="Arial" w:hAnsi="Arial" w:cs="Arial"/>
          <w:b/>
          <w:color w:val="222222"/>
        </w:rPr>
        <w:t xml:space="preserve"> be advising based on market rates of pay for these roles?</w:t>
      </w:r>
    </w:p>
    <w:p w14:paraId="7BB66002" w14:textId="77777777" w:rsidR="009C6D88" w:rsidRDefault="00000000">
      <w:pPr>
        <w:ind w:hanging="2"/>
        <w:rPr>
          <w:rFonts w:ascii="Arial" w:eastAsia="Arial" w:hAnsi="Arial" w:cs="Arial"/>
          <w:color w:val="222222"/>
          <w:highlight w:val="white"/>
        </w:rPr>
      </w:pPr>
      <w:r>
        <w:rPr>
          <w:rFonts w:ascii="Arial" w:eastAsia="Arial" w:hAnsi="Arial" w:cs="Arial"/>
          <w:color w:val="222222"/>
        </w:rPr>
        <w:t xml:space="preserve">The exception process exists to enable flexibility in cases where internal candidates move to roles with greater scale or responsibility. Therefore, market rates for these roles </w:t>
      </w:r>
      <w:proofErr w:type="gramStart"/>
      <w:r>
        <w:rPr>
          <w:rFonts w:ascii="Arial" w:eastAsia="Arial" w:hAnsi="Arial" w:cs="Arial"/>
          <w:color w:val="222222"/>
        </w:rPr>
        <w:t>is</w:t>
      </w:r>
      <w:proofErr w:type="gramEnd"/>
      <w:r>
        <w:rPr>
          <w:rFonts w:ascii="Arial" w:eastAsia="Arial" w:hAnsi="Arial" w:cs="Arial"/>
          <w:color w:val="222222"/>
        </w:rPr>
        <w:t xml:space="preserve"> less likely to be a determining factor although </w:t>
      </w:r>
      <w:proofErr w:type="spellStart"/>
      <w:r>
        <w:rPr>
          <w:rFonts w:ascii="Arial" w:eastAsia="Arial" w:hAnsi="Arial" w:cs="Arial"/>
          <w:color w:val="222222"/>
        </w:rPr>
        <w:t>HoPs</w:t>
      </w:r>
      <w:proofErr w:type="spellEnd"/>
      <w:r>
        <w:rPr>
          <w:rFonts w:ascii="Arial" w:eastAsia="Arial" w:hAnsi="Arial" w:cs="Arial"/>
          <w:color w:val="222222"/>
        </w:rPr>
        <w:t xml:space="preserve"> are expected to have some insight into market pressures on their profession as part of the broader design of SCS pay going forward. </w:t>
      </w:r>
    </w:p>
    <w:p w14:paraId="1E8E266A" w14:textId="77777777" w:rsidR="009C6D88" w:rsidRDefault="009C6D88">
      <w:pPr>
        <w:ind w:hanging="2"/>
        <w:rPr>
          <w:rFonts w:ascii="Arial" w:eastAsia="Arial" w:hAnsi="Arial" w:cs="Arial"/>
          <w:color w:val="222222"/>
          <w:highlight w:val="white"/>
        </w:rPr>
      </w:pPr>
    </w:p>
    <w:p w14:paraId="4E646362" w14:textId="77777777" w:rsidR="009C6D88" w:rsidRDefault="00000000">
      <w:pPr>
        <w:ind w:hanging="2"/>
        <w:rPr>
          <w:rFonts w:ascii="Arial" w:eastAsia="Arial" w:hAnsi="Arial" w:cs="Arial"/>
          <w:color w:val="222222"/>
        </w:rPr>
      </w:pPr>
      <w:r>
        <w:rPr>
          <w:rFonts w:ascii="Arial" w:eastAsia="Arial" w:hAnsi="Arial" w:cs="Arial"/>
          <w:color w:val="222222"/>
        </w:rPr>
        <w:t xml:space="preserve">The role of the </w:t>
      </w:r>
      <w:proofErr w:type="spellStart"/>
      <w:r>
        <w:rPr>
          <w:rFonts w:ascii="Arial" w:eastAsia="Arial" w:hAnsi="Arial" w:cs="Arial"/>
          <w:color w:val="222222"/>
        </w:rPr>
        <w:t>HoP</w:t>
      </w:r>
      <w:proofErr w:type="spellEnd"/>
      <w:r>
        <w:rPr>
          <w:rFonts w:ascii="Arial" w:eastAsia="Arial" w:hAnsi="Arial" w:cs="Arial"/>
          <w:color w:val="222222"/>
        </w:rPr>
        <w:t xml:space="preserve"> in this process is to provide both technical and profession specific insights on the role it terms of its responsibilities, scope and technical capabilities; which is considered alongside the individual’s capability. Ultimately the </w:t>
      </w:r>
      <w:proofErr w:type="spellStart"/>
      <w:r>
        <w:rPr>
          <w:rFonts w:ascii="Arial" w:eastAsia="Arial" w:hAnsi="Arial" w:cs="Arial"/>
          <w:color w:val="222222"/>
        </w:rPr>
        <w:t>HoP</w:t>
      </w:r>
      <w:proofErr w:type="spellEnd"/>
      <w:r>
        <w:rPr>
          <w:rFonts w:ascii="Arial" w:eastAsia="Arial" w:hAnsi="Arial" w:cs="Arial"/>
          <w:color w:val="222222"/>
        </w:rPr>
        <w:t xml:space="preserve"> is responsible for deciding, alongside the accounting officer, whether an increase in salary is justified and reflective of the role’s requirements. </w:t>
      </w:r>
    </w:p>
    <w:p w14:paraId="7C458D40" w14:textId="77777777" w:rsidR="009C6D88" w:rsidRDefault="009C6D88">
      <w:pPr>
        <w:ind w:hanging="2"/>
        <w:rPr>
          <w:rFonts w:ascii="Arial" w:eastAsia="Arial" w:hAnsi="Arial" w:cs="Arial"/>
          <w:color w:val="222222"/>
        </w:rPr>
      </w:pPr>
    </w:p>
    <w:p w14:paraId="1348CA9C" w14:textId="77777777" w:rsidR="009C6D88" w:rsidRDefault="00000000">
      <w:pPr>
        <w:ind w:hanging="2"/>
        <w:rPr>
          <w:rFonts w:ascii="Arial" w:eastAsia="Arial" w:hAnsi="Arial" w:cs="Arial"/>
          <w:color w:val="222222"/>
        </w:rPr>
      </w:pPr>
      <w:r>
        <w:rPr>
          <w:rFonts w:ascii="Arial" w:eastAsia="Arial" w:hAnsi="Arial" w:cs="Arial"/>
          <w:color w:val="222222"/>
        </w:rPr>
        <w:t xml:space="preserve">In regards to advise about market rates of pay for the role, we expect that departments may also engage with the professions to help inform issues such as appropriate rates of pay. The median CS pay by profession is a helpful guide that has been made available to Heads of Professions, however, it is not expected that departments should be aiming to or able to pay the median or the market rate, as they should be considering other factors such as experience, skills and the job weight, alongside equality impact and affordability in their decision. </w:t>
      </w:r>
    </w:p>
    <w:p w14:paraId="6A918DF9" w14:textId="77777777" w:rsidR="009C6D88" w:rsidRDefault="009C6D88">
      <w:pPr>
        <w:pBdr>
          <w:top w:val="nil"/>
          <w:left w:val="nil"/>
          <w:bottom w:val="nil"/>
          <w:right w:val="nil"/>
          <w:between w:val="nil"/>
        </w:pBdr>
        <w:ind w:hanging="2"/>
        <w:rPr>
          <w:rFonts w:ascii="Arial" w:eastAsia="Arial" w:hAnsi="Arial" w:cs="Arial"/>
          <w:color w:val="000000"/>
        </w:rPr>
      </w:pPr>
    </w:p>
    <w:p w14:paraId="6D007859" w14:textId="77777777" w:rsidR="009C6D88" w:rsidRDefault="00000000">
      <w:pPr>
        <w:widowControl/>
        <w:pBdr>
          <w:top w:val="nil"/>
          <w:left w:val="nil"/>
          <w:bottom w:val="nil"/>
          <w:right w:val="nil"/>
          <w:between w:val="nil"/>
        </w:pBdr>
        <w:ind w:hanging="2"/>
        <w:jc w:val="center"/>
        <w:rPr>
          <w:rFonts w:ascii="Arial" w:eastAsia="Arial" w:hAnsi="Arial" w:cs="Arial"/>
          <w:color w:val="000000"/>
        </w:rPr>
      </w:pPr>
      <w:r>
        <w:br w:type="page"/>
      </w:r>
      <w:r>
        <w:rPr>
          <w:rFonts w:ascii="Arial" w:eastAsia="Arial" w:hAnsi="Arial" w:cs="Arial"/>
          <w:b/>
          <w:color w:val="000000"/>
        </w:rPr>
        <w:lastRenderedPageBreak/>
        <w:t xml:space="preserve">SCS Pay Exception Approval Form </w:t>
      </w:r>
    </w:p>
    <w:p w14:paraId="4615E7F1" w14:textId="77777777" w:rsidR="009C6D88" w:rsidRDefault="009C6D88">
      <w:pPr>
        <w:ind w:hanging="2"/>
        <w:rPr>
          <w:rFonts w:ascii="Arial" w:eastAsia="Arial" w:hAnsi="Arial" w:cs="Arial"/>
        </w:rPr>
      </w:pPr>
    </w:p>
    <w:p w14:paraId="516FDAE5" w14:textId="77777777" w:rsidR="009C6D88" w:rsidRDefault="00000000">
      <w:pPr>
        <w:widowControl/>
        <w:pBdr>
          <w:top w:val="nil"/>
          <w:left w:val="nil"/>
          <w:bottom w:val="nil"/>
          <w:right w:val="nil"/>
          <w:between w:val="nil"/>
        </w:pBdr>
        <w:ind w:hanging="2"/>
        <w:jc w:val="left"/>
        <w:rPr>
          <w:rFonts w:ascii="Arial" w:eastAsia="Arial" w:hAnsi="Arial" w:cs="Arial"/>
          <w:color w:val="000000"/>
        </w:rPr>
      </w:pPr>
      <w:r>
        <w:rPr>
          <w:rFonts w:ascii="Arial" w:eastAsia="Arial" w:hAnsi="Arial" w:cs="Arial"/>
          <w:i/>
          <w:color w:val="000000"/>
        </w:rPr>
        <w:t xml:space="preserve">An exception case requires agreement from the </w:t>
      </w:r>
      <w:r>
        <w:rPr>
          <w:rFonts w:ascii="Arial" w:eastAsia="Arial" w:hAnsi="Arial" w:cs="Arial"/>
          <w:b/>
          <w:i/>
          <w:color w:val="000000"/>
        </w:rPr>
        <w:t>Permanent Secretary</w:t>
      </w:r>
      <w:r>
        <w:rPr>
          <w:rFonts w:ascii="Arial" w:eastAsia="Arial" w:hAnsi="Arial" w:cs="Arial"/>
          <w:i/>
          <w:color w:val="000000"/>
        </w:rPr>
        <w:t xml:space="preserve"> and relevant </w:t>
      </w:r>
      <w:r>
        <w:rPr>
          <w:rFonts w:ascii="Arial" w:eastAsia="Arial" w:hAnsi="Arial" w:cs="Arial"/>
          <w:b/>
          <w:i/>
          <w:color w:val="000000"/>
        </w:rPr>
        <w:t>Head of Profession</w:t>
      </w:r>
      <w:r>
        <w:rPr>
          <w:rFonts w:ascii="Arial" w:eastAsia="Arial" w:hAnsi="Arial" w:cs="Arial"/>
          <w:i/>
          <w:color w:val="000000"/>
        </w:rPr>
        <w:t xml:space="preserve"> against both of the following criteria:</w:t>
      </w:r>
    </w:p>
    <w:p w14:paraId="4B2D74EF" w14:textId="77777777" w:rsidR="009C6D88" w:rsidRDefault="00000000">
      <w:pPr>
        <w:widowControl/>
        <w:numPr>
          <w:ilvl w:val="0"/>
          <w:numId w:val="17"/>
        </w:numPr>
        <w:pBdr>
          <w:top w:val="nil"/>
          <w:left w:val="nil"/>
          <w:bottom w:val="nil"/>
          <w:right w:val="nil"/>
          <w:between w:val="nil"/>
        </w:pBdr>
        <w:jc w:val="left"/>
        <w:rPr>
          <w:rFonts w:ascii="Arial" w:eastAsia="Arial" w:hAnsi="Arial" w:cs="Arial"/>
          <w:color w:val="000000"/>
        </w:rPr>
      </w:pPr>
      <w:r>
        <w:rPr>
          <w:rFonts w:ascii="Arial" w:eastAsia="Arial" w:hAnsi="Arial" w:cs="Arial"/>
          <w:i/>
          <w:color w:val="000000"/>
        </w:rPr>
        <w:t>sustained high performance, increased effectiveness, deepened capability and expertise; and</w:t>
      </w:r>
    </w:p>
    <w:p w14:paraId="29EBC453" w14:textId="77777777" w:rsidR="009C6D88" w:rsidRDefault="00000000">
      <w:pPr>
        <w:widowControl/>
        <w:numPr>
          <w:ilvl w:val="0"/>
          <w:numId w:val="17"/>
        </w:numPr>
        <w:pBdr>
          <w:top w:val="nil"/>
          <w:left w:val="nil"/>
          <w:bottom w:val="nil"/>
          <w:right w:val="nil"/>
          <w:between w:val="nil"/>
        </w:pBdr>
        <w:jc w:val="left"/>
        <w:rPr>
          <w:rFonts w:ascii="Arial" w:eastAsia="Arial" w:hAnsi="Arial" w:cs="Arial"/>
          <w:color w:val="000000"/>
        </w:rPr>
      </w:pPr>
      <w:r>
        <w:rPr>
          <w:rFonts w:ascii="Arial" w:eastAsia="Arial" w:hAnsi="Arial" w:cs="Arial"/>
          <w:i/>
          <w:color w:val="000000"/>
        </w:rPr>
        <w:t>that the individual is relatively low in the pay range and/or have benefited less or not at all from the rise in the minima.</w:t>
      </w:r>
    </w:p>
    <w:p w14:paraId="54D77347" w14:textId="77777777" w:rsidR="009C6D88" w:rsidRDefault="009C6D88">
      <w:pPr>
        <w:widowControl/>
        <w:pBdr>
          <w:top w:val="nil"/>
          <w:left w:val="nil"/>
          <w:bottom w:val="nil"/>
          <w:right w:val="nil"/>
          <w:between w:val="nil"/>
        </w:pBdr>
        <w:ind w:hanging="2"/>
        <w:jc w:val="left"/>
        <w:rPr>
          <w:rFonts w:ascii="Arial" w:eastAsia="Arial" w:hAnsi="Arial" w:cs="Arial"/>
          <w:i/>
          <w:color w:val="000000"/>
        </w:rPr>
      </w:pPr>
    </w:p>
    <w:p w14:paraId="686E3D70" w14:textId="77777777" w:rsidR="009C6D88" w:rsidRDefault="00000000">
      <w:pPr>
        <w:widowControl/>
        <w:pBdr>
          <w:top w:val="nil"/>
          <w:left w:val="nil"/>
          <w:bottom w:val="nil"/>
          <w:right w:val="nil"/>
          <w:between w:val="nil"/>
        </w:pBdr>
        <w:ind w:hanging="2"/>
        <w:jc w:val="left"/>
        <w:rPr>
          <w:rFonts w:ascii="Arial" w:eastAsia="Arial" w:hAnsi="Arial" w:cs="Arial"/>
          <w:color w:val="000000"/>
        </w:rPr>
      </w:pPr>
      <w:r>
        <w:rPr>
          <w:rFonts w:ascii="Arial" w:eastAsia="Arial" w:hAnsi="Arial" w:cs="Arial"/>
          <w:i/>
          <w:color w:val="000000"/>
        </w:rPr>
        <w:t>For cases relating to Director General roles, further approval is needed by a Directors General Pay Committee.</w:t>
      </w:r>
    </w:p>
    <w:p w14:paraId="6837D8F0" w14:textId="77777777" w:rsidR="009C6D88" w:rsidRDefault="009C6D88">
      <w:pPr>
        <w:ind w:hanging="2"/>
        <w:rPr>
          <w:rFonts w:ascii="Arial" w:eastAsia="Arial" w:hAnsi="Arial" w:cs="Arial"/>
        </w:rPr>
      </w:pPr>
    </w:p>
    <w:p w14:paraId="418A5491" w14:textId="77777777" w:rsidR="009C6D88" w:rsidRDefault="009C6D88">
      <w:pPr>
        <w:ind w:hanging="2"/>
        <w:rPr>
          <w:rFonts w:ascii="Arial" w:eastAsia="Arial" w:hAnsi="Arial" w:cs="Arial"/>
        </w:rPr>
      </w:pPr>
    </w:p>
    <w:p w14:paraId="72DB0F4C" w14:textId="77777777" w:rsidR="009C6D88" w:rsidRDefault="00000000">
      <w:pPr>
        <w:widowControl/>
        <w:numPr>
          <w:ilvl w:val="0"/>
          <w:numId w:val="15"/>
        </w:numPr>
        <w:pBdr>
          <w:top w:val="nil"/>
          <w:left w:val="nil"/>
          <w:bottom w:val="nil"/>
          <w:right w:val="nil"/>
          <w:between w:val="nil"/>
        </w:pBdr>
        <w:ind w:left="0" w:hanging="2"/>
        <w:jc w:val="left"/>
        <w:rPr>
          <w:rFonts w:ascii="Arial" w:eastAsia="Arial" w:hAnsi="Arial" w:cs="Arial"/>
          <w:color w:val="000000"/>
        </w:rPr>
      </w:pPr>
      <w:r>
        <w:rPr>
          <w:rFonts w:ascii="Arial" w:eastAsia="Arial" w:hAnsi="Arial" w:cs="Arial"/>
          <w:color w:val="000000"/>
        </w:rPr>
        <w:t>Department</w:t>
      </w:r>
    </w:p>
    <w:p w14:paraId="58E6C188" w14:textId="77777777" w:rsidR="009C6D88" w:rsidRDefault="009C6D88">
      <w:pPr>
        <w:ind w:hanging="2"/>
        <w:rPr>
          <w:rFonts w:ascii="Arial" w:eastAsia="Arial" w:hAnsi="Arial" w:cs="Arial"/>
        </w:rPr>
      </w:pPr>
    </w:p>
    <w:tbl>
      <w:tblPr>
        <w:tblStyle w:val="a4"/>
        <w:tblW w:w="902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9026"/>
      </w:tblGrid>
      <w:tr w:rsidR="009C6D88" w14:paraId="0EC02D1D" w14:textId="77777777">
        <w:trPr>
          <w:trHeight w:val="545"/>
        </w:trPr>
        <w:tc>
          <w:tcPr>
            <w:tcW w:w="9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B600A" w14:textId="77777777" w:rsidR="009C6D88" w:rsidRDefault="009C6D88">
            <w:pPr>
              <w:ind w:hanging="2"/>
              <w:rPr>
                <w:rFonts w:ascii="Arial" w:eastAsia="Arial" w:hAnsi="Arial" w:cs="Arial"/>
              </w:rPr>
            </w:pPr>
          </w:p>
        </w:tc>
      </w:tr>
    </w:tbl>
    <w:p w14:paraId="7D8F5DF7" w14:textId="77777777" w:rsidR="009C6D88" w:rsidRDefault="009C6D88">
      <w:pPr>
        <w:ind w:hanging="2"/>
        <w:rPr>
          <w:rFonts w:ascii="Arial" w:eastAsia="Arial" w:hAnsi="Arial" w:cs="Arial"/>
        </w:rPr>
      </w:pPr>
    </w:p>
    <w:p w14:paraId="0014C1EC" w14:textId="77777777" w:rsidR="009C6D88" w:rsidRDefault="00000000">
      <w:pPr>
        <w:widowControl/>
        <w:numPr>
          <w:ilvl w:val="0"/>
          <w:numId w:val="15"/>
        </w:numPr>
        <w:pBdr>
          <w:top w:val="nil"/>
          <w:left w:val="nil"/>
          <w:bottom w:val="nil"/>
          <w:right w:val="nil"/>
          <w:between w:val="nil"/>
        </w:pBdr>
        <w:ind w:left="0" w:hanging="2"/>
        <w:jc w:val="left"/>
        <w:rPr>
          <w:rFonts w:ascii="Arial" w:eastAsia="Arial" w:hAnsi="Arial" w:cs="Arial"/>
        </w:rPr>
      </w:pPr>
      <w:r>
        <w:rPr>
          <w:rFonts w:ascii="Arial" w:eastAsia="Arial" w:hAnsi="Arial" w:cs="Arial"/>
          <w:color w:val="000000"/>
        </w:rPr>
        <w:t xml:space="preserve">Department Contact Details </w:t>
      </w:r>
    </w:p>
    <w:p w14:paraId="37603182" w14:textId="77777777" w:rsidR="009C6D88" w:rsidRDefault="009C6D88">
      <w:pPr>
        <w:ind w:hanging="2"/>
        <w:rPr>
          <w:rFonts w:ascii="Arial" w:eastAsia="Arial" w:hAnsi="Arial" w:cs="Arial"/>
        </w:rPr>
      </w:pPr>
    </w:p>
    <w:tbl>
      <w:tblPr>
        <w:tblStyle w:val="a5"/>
        <w:tblW w:w="908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9082"/>
      </w:tblGrid>
      <w:tr w:rsidR="009C6D88" w14:paraId="03E61D83" w14:textId="77777777">
        <w:trPr>
          <w:trHeight w:val="443"/>
        </w:trPr>
        <w:tc>
          <w:tcPr>
            <w:tcW w:w="9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8199B" w14:textId="77777777" w:rsidR="009C6D88" w:rsidRDefault="00000000">
            <w:pPr>
              <w:widowControl/>
              <w:pBdr>
                <w:top w:val="nil"/>
                <w:left w:val="nil"/>
                <w:bottom w:val="nil"/>
                <w:right w:val="nil"/>
                <w:between w:val="nil"/>
              </w:pBdr>
              <w:ind w:hanging="2"/>
              <w:jc w:val="left"/>
              <w:rPr>
                <w:rFonts w:ascii="Arial" w:eastAsia="Arial" w:hAnsi="Arial" w:cs="Arial"/>
                <w:color w:val="000000"/>
              </w:rPr>
            </w:pPr>
            <w:r>
              <w:rPr>
                <w:rFonts w:ascii="Arial" w:eastAsia="Arial" w:hAnsi="Arial" w:cs="Arial"/>
                <w:color w:val="000000"/>
              </w:rPr>
              <w:t>Name:</w:t>
            </w:r>
          </w:p>
          <w:p w14:paraId="4EDAF419" w14:textId="77777777" w:rsidR="009C6D88" w:rsidRDefault="00000000">
            <w:pPr>
              <w:widowControl/>
              <w:pBdr>
                <w:top w:val="nil"/>
                <w:left w:val="nil"/>
                <w:bottom w:val="nil"/>
                <w:right w:val="nil"/>
                <w:between w:val="nil"/>
              </w:pBdr>
              <w:ind w:hanging="2"/>
              <w:jc w:val="left"/>
              <w:rPr>
                <w:rFonts w:ascii="Arial" w:eastAsia="Arial" w:hAnsi="Arial" w:cs="Arial"/>
                <w:color w:val="000000"/>
              </w:rPr>
            </w:pPr>
            <w:r>
              <w:rPr>
                <w:rFonts w:ascii="Arial" w:eastAsia="Arial" w:hAnsi="Arial" w:cs="Arial"/>
                <w:color w:val="000000"/>
              </w:rPr>
              <w:t>Phone:</w:t>
            </w:r>
          </w:p>
          <w:p w14:paraId="40D3440A" w14:textId="77777777" w:rsidR="009C6D88" w:rsidRDefault="00000000">
            <w:pPr>
              <w:widowControl/>
              <w:pBdr>
                <w:top w:val="nil"/>
                <w:left w:val="nil"/>
                <w:bottom w:val="nil"/>
                <w:right w:val="nil"/>
                <w:between w:val="nil"/>
              </w:pBdr>
              <w:ind w:hanging="2"/>
              <w:jc w:val="left"/>
              <w:rPr>
                <w:rFonts w:ascii="Arial" w:eastAsia="Arial" w:hAnsi="Arial" w:cs="Arial"/>
                <w:color w:val="000000"/>
              </w:rPr>
            </w:pPr>
            <w:r>
              <w:rPr>
                <w:rFonts w:ascii="Arial" w:eastAsia="Arial" w:hAnsi="Arial" w:cs="Arial"/>
                <w:color w:val="000000"/>
              </w:rPr>
              <w:t xml:space="preserve">Email: </w:t>
            </w:r>
          </w:p>
        </w:tc>
      </w:tr>
    </w:tbl>
    <w:p w14:paraId="2E06D0F4" w14:textId="77777777" w:rsidR="009C6D88" w:rsidRDefault="00000000">
      <w:pPr>
        <w:widowControl/>
        <w:pBdr>
          <w:top w:val="nil"/>
          <w:left w:val="nil"/>
          <w:bottom w:val="nil"/>
          <w:right w:val="nil"/>
          <w:between w:val="nil"/>
        </w:pBdr>
        <w:ind w:hanging="2"/>
        <w:jc w:val="left"/>
        <w:rPr>
          <w:rFonts w:ascii="Arial" w:eastAsia="Arial" w:hAnsi="Arial" w:cs="Arial"/>
        </w:rPr>
      </w:pPr>
      <w:r>
        <w:rPr>
          <w:rFonts w:ascii="Arial" w:eastAsia="Arial" w:hAnsi="Arial" w:cs="Arial"/>
        </w:rPr>
        <w:br/>
      </w:r>
    </w:p>
    <w:p w14:paraId="568AFA7B" w14:textId="77777777" w:rsidR="009C6D88" w:rsidRDefault="00000000">
      <w:pPr>
        <w:widowControl/>
        <w:numPr>
          <w:ilvl w:val="0"/>
          <w:numId w:val="15"/>
        </w:numPr>
        <w:pBdr>
          <w:top w:val="nil"/>
          <w:left w:val="nil"/>
          <w:bottom w:val="nil"/>
          <w:right w:val="nil"/>
          <w:between w:val="nil"/>
        </w:pBdr>
        <w:ind w:left="0" w:hanging="2"/>
        <w:jc w:val="left"/>
        <w:rPr>
          <w:rFonts w:ascii="Arial" w:eastAsia="Arial" w:hAnsi="Arial" w:cs="Arial"/>
        </w:rPr>
      </w:pPr>
      <w:r>
        <w:rPr>
          <w:rFonts w:ascii="Arial" w:eastAsia="Arial" w:hAnsi="Arial" w:cs="Arial"/>
          <w:color w:val="000000"/>
        </w:rPr>
        <w:t xml:space="preserve">Title of Role, Role Description, the Advertised rate, Current Salary and Proposed Salary </w:t>
      </w:r>
    </w:p>
    <w:p w14:paraId="2CB8125B" w14:textId="77777777" w:rsidR="009C6D88" w:rsidRDefault="009C6D88">
      <w:pPr>
        <w:ind w:hanging="2"/>
        <w:rPr>
          <w:rFonts w:ascii="Arial" w:eastAsia="Arial" w:hAnsi="Arial" w:cs="Arial"/>
        </w:rPr>
      </w:pPr>
    </w:p>
    <w:tbl>
      <w:tblPr>
        <w:tblStyle w:val="a6"/>
        <w:tblW w:w="907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9070"/>
      </w:tblGrid>
      <w:tr w:rsidR="009C6D88" w14:paraId="51F53800" w14:textId="77777777">
        <w:trPr>
          <w:trHeight w:val="675"/>
        </w:trPr>
        <w:tc>
          <w:tcPr>
            <w:tcW w:w="9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50673" w14:textId="77777777" w:rsidR="009C6D88" w:rsidRDefault="00000000">
            <w:pPr>
              <w:ind w:hanging="2"/>
              <w:rPr>
                <w:rFonts w:ascii="Arial" w:eastAsia="Arial" w:hAnsi="Arial" w:cs="Arial"/>
              </w:rPr>
            </w:pPr>
            <w:r>
              <w:rPr>
                <w:rFonts w:ascii="Arial" w:eastAsia="Arial" w:hAnsi="Arial" w:cs="Arial"/>
              </w:rPr>
              <w:br/>
            </w:r>
            <w:r>
              <w:rPr>
                <w:rFonts w:ascii="Arial" w:eastAsia="Arial" w:hAnsi="Arial" w:cs="Arial"/>
              </w:rPr>
              <w:br/>
            </w:r>
          </w:p>
        </w:tc>
      </w:tr>
    </w:tbl>
    <w:p w14:paraId="47724A1E" w14:textId="77777777" w:rsidR="009C6D88" w:rsidRDefault="009C6D88">
      <w:pPr>
        <w:widowControl/>
        <w:pBdr>
          <w:top w:val="nil"/>
          <w:left w:val="nil"/>
          <w:bottom w:val="nil"/>
          <w:right w:val="nil"/>
          <w:between w:val="nil"/>
        </w:pBdr>
        <w:ind w:hanging="2"/>
        <w:jc w:val="left"/>
        <w:rPr>
          <w:rFonts w:ascii="Arial" w:eastAsia="Arial" w:hAnsi="Arial" w:cs="Arial"/>
        </w:rPr>
      </w:pPr>
    </w:p>
    <w:p w14:paraId="06922CE1" w14:textId="77777777" w:rsidR="009C6D88" w:rsidRDefault="009C6D88">
      <w:pPr>
        <w:widowControl/>
        <w:pBdr>
          <w:top w:val="nil"/>
          <w:left w:val="nil"/>
          <w:bottom w:val="nil"/>
          <w:right w:val="nil"/>
          <w:between w:val="nil"/>
        </w:pBdr>
        <w:ind w:hanging="2"/>
        <w:jc w:val="left"/>
        <w:rPr>
          <w:rFonts w:ascii="Arial" w:eastAsia="Arial" w:hAnsi="Arial" w:cs="Arial"/>
        </w:rPr>
      </w:pPr>
    </w:p>
    <w:p w14:paraId="30D06E42" w14:textId="77777777" w:rsidR="009C6D88" w:rsidRDefault="00000000">
      <w:pPr>
        <w:widowControl/>
        <w:numPr>
          <w:ilvl w:val="0"/>
          <w:numId w:val="15"/>
        </w:numPr>
        <w:pBdr>
          <w:top w:val="nil"/>
          <w:left w:val="nil"/>
          <w:bottom w:val="nil"/>
          <w:right w:val="nil"/>
          <w:between w:val="nil"/>
        </w:pBdr>
        <w:ind w:left="0" w:hanging="2"/>
        <w:jc w:val="left"/>
        <w:rPr>
          <w:rFonts w:ascii="Arial" w:eastAsia="Arial" w:hAnsi="Arial" w:cs="Arial"/>
        </w:rPr>
      </w:pPr>
      <w:r>
        <w:rPr>
          <w:rFonts w:ascii="Arial" w:eastAsia="Arial" w:hAnsi="Arial" w:cs="Arial"/>
          <w:color w:val="000000"/>
        </w:rPr>
        <w:t xml:space="preserve">Why is this exception required and how does it meet both of the listed criteria? </w:t>
      </w:r>
    </w:p>
    <w:p w14:paraId="4722AE7F" w14:textId="77777777" w:rsidR="009C6D88" w:rsidRDefault="009C6D88">
      <w:pPr>
        <w:ind w:hanging="2"/>
        <w:rPr>
          <w:rFonts w:ascii="Arial" w:eastAsia="Arial" w:hAnsi="Arial" w:cs="Arial"/>
        </w:rPr>
      </w:pPr>
    </w:p>
    <w:tbl>
      <w:tblPr>
        <w:tblStyle w:val="a7"/>
        <w:tblW w:w="902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9026"/>
      </w:tblGrid>
      <w:tr w:rsidR="009C6D88" w14:paraId="6D6EC849" w14:textId="77777777">
        <w:trPr>
          <w:trHeight w:val="4116"/>
        </w:trPr>
        <w:tc>
          <w:tcPr>
            <w:tcW w:w="9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D13C8" w14:textId="77777777" w:rsidR="009C6D88" w:rsidRDefault="00000000">
            <w:pPr>
              <w:widowControl/>
              <w:numPr>
                <w:ilvl w:val="0"/>
                <w:numId w:val="16"/>
              </w:numPr>
              <w:pBdr>
                <w:top w:val="nil"/>
                <w:left w:val="nil"/>
                <w:bottom w:val="nil"/>
                <w:right w:val="nil"/>
                <w:between w:val="nil"/>
              </w:pBdr>
              <w:ind w:left="0" w:hanging="2"/>
              <w:jc w:val="left"/>
              <w:rPr>
                <w:rFonts w:ascii="Arial" w:eastAsia="Arial" w:hAnsi="Arial" w:cs="Arial"/>
                <w:color w:val="000000"/>
              </w:rPr>
            </w:pPr>
            <w:r>
              <w:rPr>
                <w:rFonts w:ascii="Arial" w:eastAsia="Arial" w:hAnsi="Arial" w:cs="Arial"/>
                <w:i/>
                <w:color w:val="000000"/>
              </w:rPr>
              <w:t>Sustained high performance, increased effectiveness, deepened capability and expertise; and</w:t>
            </w:r>
          </w:p>
          <w:p w14:paraId="773CAABB" w14:textId="77777777" w:rsidR="009C6D88" w:rsidRDefault="00000000">
            <w:pPr>
              <w:widowControl/>
              <w:numPr>
                <w:ilvl w:val="0"/>
                <w:numId w:val="16"/>
              </w:numPr>
              <w:pBdr>
                <w:top w:val="nil"/>
                <w:left w:val="nil"/>
                <w:bottom w:val="nil"/>
                <w:right w:val="nil"/>
                <w:between w:val="nil"/>
              </w:pBdr>
              <w:ind w:left="0" w:hanging="2"/>
              <w:jc w:val="left"/>
              <w:rPr>
                <w:rFonts w:ascii="Arial" w:eastAsia="Arial" w:hAnsi="Arial" w:cs="Arial"/>
              </w:rPr>
            </w:pPr>
            <w:r>
              <w:rPr>
                <w:rFonts w:ascii="Arial" w:eastAsia="Arial" w:hAnsi="Arial" w:cs="Arial"/>
                <w:i/>
                <w:color w:val="000000"/>
              </w:rPr>
              <w:t xml:space="preserve">That the individual is relatively low in the pay range [and/or have benefited less or not at all from the rise in the minima </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tc>
      </w:tr>
    </w:tbl>
    <w:p w14:paraId="4E067834" w14:textId="77777777" w:rsidR="009C6D88" w:rsidRDefault="00000000">
      <w:pPr>
        <w:ind w:hanging="2"/>
        <w:rPr>
          <w:rFonts w:ascii="Arial" w:eastAsia="Arial" w:hAnsi="Arial" w:cs="Arial"/>
        </w:rPr>
      </w:pPr>
      <w:r>
        <w:rPr>
          <w:rFonts w:ascii="Arial" w:eastAsia="Arial" w:hAnsi="Arial" w:cs="Arial"/>
        </w:rPr>
        <w:br/>
      </w:r>
    </w:p>
    <w:p w14:paraId="693E3B14" w14:textId="77777777" w:rsidR="009C6D88" w:rsidRDefault="009C6D88">
      <w:pPr>
        <w:ind w:hanging="2"/>
        <w:rPr>
          <w:rFonts w:ascii="Arial" w:eastAsia="Arial" w:hAnsi="Arial" w:cs="Arial"/>
        </w:rPr>
      </w:pPr>
    </w:p>
    <w:p w14:paraId="136D6674" w14:textId="77777777" w:rsidR="009C6D88" w:rsidRDefault="009C6D88">
      <w:pPr>
        <w:ind w:hanging="2"/>
        <w:rPr>
          <w:rFonts w:ascii="Arial" w:eastAsia="Arial" w:hAnsi="Arial" w:cs="Arial"/>
        </w:rPr>
      </w:pPr>
    </w:p>
    <w:p w14:paraId="6700311A" w14:textId="77777777" w:rsidR="009C6D88" w:rsidRDefault="00000000">
      <w:pPr>
        <w:widowControl/>
        <w:numPr>
          <w:ilvl w:val="0"/>
          <w:numId w:val="15"/>
        </w:numPr>
        <w:pBdr>
          <w:top w:val="nil"/>
          <w:left w:val="nil"/>
          <w:bottom w:val="nil"/>
          <w:right w:val="nil"/>
          <w:between w:val="nil"/>
        </w:pBdr>
        <w:ind w:left="0" w:hanging="2"/>
        <w:jc w:val="left"/>
        <w:rPr>
          <w:rFonts w:ascii="Arial" w:eastAsia="Arial" w:hAnsi="Arial" w:cs="Arial"/>
        </w:rPr>
      </w:pPr>
      <w:r>
        <w:rPr>
          <w:rFonts w:ascii="Arial" w:eastAsia="Arial" w:hAnsi="Arial" w:cs="Arial"/>
          <w:color w:val="000000"/>
        </w:rPr>
        <w:t xml:space="preserve">Head of Profession Approval </w:t>
      </w:r>
    </w:p>
    <w:p w14:paraId="0D689ECC" w14:textId="77777777" w:rsidR="009C6D88" w:rsidRDefault="009C6D88">
      <w:pPr>
        <w:ind w:hanging="2"/>
        <w:rPr>
          <w:rFonts w:ascii="Arial" w:eastAsia="Arial" w:hAnsi="Arial" w:cs="Arial"/>
        </w:rPr>
      </w:pPr>
    </w:p>
    <w:tbl>
      <w:tblPr>
        <w:tblStyle w:val="a8"/>
        <w:tblW w:w="905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9059"/>
      </w:tblGrid>
      <w:tr w:rsidR="009C6D88" w14:paraId="0DF00CF1" w14:textId="77777777">
        <w:trPr>
          <w:trHeight w:val="1069"/>
        </w:trPr>
        <w:tc>
          <w:tcPr>
            <w:tcW w:w="9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09E41" w14:textId="77777777" w:rsidR="009C6D88" w:rsidRDefault="00000000">
            <w:pPr>
              <w:widowControl/>
              <w:pBdr>
                <w:top w:val="nil"/>
                <w:left w:val="nil"/>
                <w:bottom w:val="nil"/>
                <w:right w:val="nil"/>
                <w:between w:val="nil"/>
              </w:pBdr>
              <w:ind w:hanging="2"/>
              <w:jc w:val="left"/>
              <w:rPr>
                <w:rFonts w:ascii="Arial" w:eastAsia="Arial" w:hAnsi="Arial" w:cs="Arial"/>
                <w:color w:val="000000"/>
              </w:rPr>
            </w:pPr>
            <w:r>
              <w:rPr>
                <w:rFonts w:ascii="Arial" w:eastAsia="Arial" w:hAnsi="Arial" w:cs="Arial"/>
                <w:color w:val="000000"/>
              </w:rPr>
              <w:t>Signature:</w:t>
            </w:r>
          </w:p>
          <w:p w14:paraId="09E3C230" w14:textId="77777777" w:rsidR="009C6D88" w:rsidRDefault="00000000">
            <w:pPr>
              <w:widowControl/>
              <w:pBdr>
                <w:top w:val="nil"/>
                <w:left w:val="nil"/>
                <w:bottom w:val="nil"/>
                <w:right w:val="nil"/>
                <w:between w:val="nil"/>
              </w:pBdr>
              <w:ind w:hanging="2"/>
              <w:jc w:val="left"/>
              <w:rPr>
                <w:rFonts w:ascii="Arial" w:eastAsia="Arial" w:hAnsi="Arial" w:cs="Arial"/>
                <w:color w:val="000000"/>
              </w:rPr>
            </w:pPr>
            <w:r>
              <w:rPr>
                <w:rFonts w:ascii="Arial" w:eastAsia="Arial" w:hAnsi="Arial" w:cs="Arial"/>
                <w:color w:val="000000"/>
              </w:rPr>
              <w:t xml:space="preserve">Comments: </w:t>
            </w:r>
          </w:p>
          <w:p w14:paraId="019D631D" w14:textId="77777777" w:rsidR="009C6D88" w:rsidRDefault="00000000">
            <w:pPr>
              <w:ind w:hanging="2"/>
              <w:rPr>
                <w:rFonts w:ascii="Arial" w:eastAsia="Arial" w:hAnsi="Arial" w:cs="Arial"/>
              </w:rPr>
            </w:pPr>
            <w:r>
              <w:rPr>
                <w:rFonts w:ascii="Arial" w:eastAsia="Arial" w:hAnsi="Arial" w:cs="Arial"/>
              </w:rPr>
              <w:br/>
            </w:r>
            <w:r>
              <w:rPr>
                <w:rFonts w:ascii="Arial" w:eastAsia="Arial" w:hAnsi="Arial" w:cs="Arial"/>
              </w:rPr>
              <w:br/>
            </w:r>
          </w:p>
        </w:tc>
      </w:tr>
    </w:tbl>
    <w:p w14:paraId="4D2D3AA0" w14:textId="77777777" w:rsidR="009C6D88" w:rsidRDefault="00000000">
      <w:pPr>
        <w:ind w:hanging="2"/>
        <w:rPr>
          <w:rFonts w:ascii="Arial" w:eastAsia="Arial" w:hAnsi="Arial" w:cs="Arial"/>
        </w:rPr>
      </w:pPr>
      <w:r>
        <w:rPr>
          <w:rFonts w:ascii="Arial" w:eastAsia="Arial" w:hAnsi="Arial" w:cs="Arial"/>
        </w:rPr>
        <w:br/>
      </w:r>
    </w:p>
    <w:p w14:paraId="5B2EFB3E" w14:textId="77777777" w:rsidR="009C6D88" w:rsidRDefault="00000000">
      <w:pPr>
        <w:widowControl/>
        <w:numPr>
          <w:ilvl w:val="0"/>
          <w:numId w:val="15"/>
        </w:numPr>
        <w:pBdr>
          <w:top w:val="nil"/>
          <w:left w:val="nil"/>
          <w:bottom w:val="nil"/>
          <w:right w:val="nil"/>
          <w:between w:val="nil"/>
        </w:pBdr>
        <w:ind w:left="0" w:hanging="2"/>
        <w:jc w:val="left"/>
        <w:rPr>
          <w:rFonts w:ascii="Arial" w:eastAsia="Arial" w:hAnsi="Arial" w:cs="Arial"/>
        </w:rPr>
      </w:pPr>
      <w:r>
        <w:rPr>
          <w:rFonts w:ascii="Arial" w:eastAsia="Arial" w:hAnsi="Arial" w:cs="Arial"/>
          <w:color w:val="000000"/>
        </w:rPr>
        <w:t xml:space="preserve">Permanent Secretary Approval </w:t>
      </w:r>
    </w:p>
    <w:p w14:paraId="346961AD" w14:textId="77777777" w:rsidR="009C6D88" w:rsidRDefault="009C6D88">
      <w:pPr>
        <w:ind w:hanging="2"/>
        <w:rPr>
          <w:rFonts w:ascii="Arial" w:eastAsia="Arial" w:hAnsi="Arial" w:cs="Arial"/>
        </w:rPr>
      </w:pPr>
    </w:p>
    <w:tbl>
      <w:tblPr>
        <w:tblStyle w:val="a9"/>
        <w:tblW w:w="906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9062"/>
      </w:tblGrid>
      <w:tr w:rsidR="009C6D88" w14:paraId="0EFC781B" w14:textId="77777777">
        <w:trPr>
          <w:trHeight w:val="2038"/>
        </w:trPr>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4EFC1" w14:textId="77777777" w:rsidR="009C6D88" w:rsidRDefault="00000000">
            <w:pPr>
              <w:widowControl/>
              <w:pBdr>
                <w:top w:val="nil"/>
                <w:left w:val="nil"/>
                <w:bottom w:val="nil"/>
                <w:right w:val="nil"/>
                <w:between w:val="nil"/>
              </w:pBdr>
              <w:ind w:hanging="2"/>
              <w:jc w:val="left"/>
              <w:rPr>
                <w:rFonts w:ascii="Arial" w:eastAsia="Arial" w:hAnsi="Arial" w:cs="Arial"/>
                <w:color w:val="000000"/>
              </w:rPr>
            </w:pPr>
            <w:r>
              <w:rPr>
                <w:rFonts w:ascii="Arial" w:eastAsia="Arial" w:hAnsi="Arial" w:cs="Arial"/>
                <w:color w:val="000000"/>
              </w:rPr>
              <w:t>Signature:</w:t>
            </w:r>
          </w:p>
          <w:p w14:paraId="08FEAB04" w14:textId="77777777" w:rsidR="009C6D88" w:rsidRDefault="00000000">
            <w:pPr>
              <w:widowControl/>
              <w:pBdr>
                <w:top w:val="nil"/>
                <w:left w:val="nil"/>
                <w:bottom w:val="nil"/>
                <w:right w:val="nil"/>
                <w:between w:val="nil"/>
              </w:pBdr>
              <w:ind w:hanging="2"/>
              <w:jc w:val="left"/>
              <w:rPr>
                <w:rFonts w:ascii="Arial" w:eastAsia="Arial" w:hAnsi="Arial" w:cs="Arial"/>
                <w:color w:val="000000"/>
              </w:rPr>
            </w:pPr>
            <w:r>
              <w:rPr>
                <w:rFonts w:ascii="Arial" w:eastAsia="Arial" w:hAnsi="Arial" w:cs="Arial"/>
                <w:color w:val="000000"/>
              </w:rPr>
              <w:t>Comments:</w:t>
            </w:r>
          </w:p>
          <w:p w14:paraId="2CF35B25" w14:textId="77777777" w:rsidR="009C6D88" w:rsidRDefault="00000000">
            <w:pPr>
              <w:ind w:hanging="2"/>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p>
        </w:tc>
      </w:tr>
    </w:tbl>
    <w:p w14:paraId="0698593C" w14:textId="77777777" w:rsidR="009C6D88" w:rsidRDefault="00000000">
      <w:pPr>
        <w:ind w:hanging="2"/>
        <w:rPr>
          <w:rFonts w:ascii="Arial" w:eastAsia="Arial" w:hAnsi="Arial" w:cs="Arial"/>
        </w:rPr>
      </w:pPr>
      <w:r>
        <w:rPr>
          <w:rFonts w:ascii="Arial" w:eastAsia="Arial" w:hAnsi="Arial" w:cs="Arial"/>
        </w:rPr>
        <w:br/>
      </w:r>
    </w:p>
    <w:p w14:paraId="1DA419D5" w14:textId="77777777" w:rsidR="009C6D88" w:rsidRDefault="00000000">
      <w:pPr>
        <w:widowControl/>
        <w:numPr>
          <w:ilvl w:val="0"/>
          <w:numId w:val="15"/>
        </w:numPr>
        <w:pBdr>
          <w:top w:val="nil"/>
          <w:left w:val="nil"/>
          <w:bottom w:val="nil"/>
          <w:right w:val="nil"/>
          <w:between w:val="nil"/>
        </w:pBdr>
        <w:ind w:left="0" w:hanging="2"/>
        <w:jc w:val="left"/>
        <w:rPr>
          <w:rFonts w:ascii="Arial" w:eastAsia="Arial" w:hAnsi="Arial" w:cs="Arial"/>
        </w:rPr>
      </w:pPr>
      <w:r>
        <w:rPr>
          <w:rFonts w:ascii="Arial" w:eastAsia="Arial" w:hAnsi="Arial" w:cs="Arial"/>
          <w:color w:val="000000"/>
        </w:rPr>
        <w:t xml:space="preserve">For Director General cases, DG Pay Committee Approval </w:t>
      </w:r>
    </w:p>
    <w:p w14:paraId="3B7FBB59" w14:textId="77777777" w:rsidR="009C6D88" w:rsidRDefault="009C6D88">
      <w:pPr>
        <w:widowControl/>
        <w:pBdr>
          <w:top w:val="nil"/>
          <w:left w:val="nil"/>
          <w:bottom w:val="nil"/>
          <w:right w:val="nil"/>
          <w:between w:val="nil"/>
        </w:pBdr>
        <w:ind w:hanging="2"/>
        <w:jc w:val="left"/>
        <w:rPr>
          <w:rFonts w:ascii="Arial" w:eastAsia="Arial" w:hAnsi="Arial" w:cs="Arial"/>
          <w:color w:val="000000"/>
        </w:rPr>
      </w:pPr>
    </w:p>
    <w:tbl>
      <w:tblPr>
        <w:tblStyle w:val="aa"/>
        <w:tblW w:w="894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00" w:firstRow="0" w:lastRow="0" w:firstColumn="0" w:lastColumn="0" w:noHBand="0" w:noVBand="0"/>
      </w:tblPr>
      <w:tblGrid>
        <w:gridCol w:w="8946"/>
      </w:tblGrid>
      <w:tr w:rsidR="009C6D88" w14:paraId="1CA76265" w14:textId="77777777">
        <w:trPr>
          <w:trHeight w:val="1346"/>
        </w:trPr>
        <w:tc>
          <w:tcPr>
            <w:tcW w:w="8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31D4D" w14:textId="77777777" w:rsidR="009C6D88" w:rsidRDefault="00000000">
            <w:pPr>
              <w:widowControl/>
              <w:pBdr>
                <w:top w:val="nil"/>
                <w:left w:val="nil"/>
                <w:bottom w:val="nil"/>
                <w:right w:val="nil"/>
                <w:between w:val="nil"/>
              </w:pBdr>
              <w:ind w:hanging="2"/>
              <w:jc w:val="left"/>
              <w:rPr>
                <w:rFonts w:ascii="Arial" w:eastAsia="Arial" w:hAnsi="Arial" w:cs="Arial"/>
                <w:color w:val="000000"/>
              </w:rPr>
            </w:pPr>
            <w:r>
              <w:rPr>
                <w:rFonts w:ascii="Arial" w:eastAsia="Arial" w:hAnsi="Arial" w:cs="Arial"/>
                <w:color w:val="000000"/>
              </w:rPr>
              <w:t>Signature:</w:t>
            </w:r>
          </w:p>
          <w:p w14:paraId="5FC7CFE3" w14:textId="77777777" w:rsidR="009C6D88" w:rsidRDefault="00000000">
            <w:pPr>
              <w:widowControl/>
              <w:pBdr>
                <w:top w:val="nil"/>
                <w:left w:val="nil"/>
                <w:bottom w:val="nil"/>
                <w:right w:val="nil"/>
                <w:between w:val="nil"/>
              </w:pBdr>
              <w:ind w:hanging="2"/>
              <w:jc w:val="left"/>
              <w:rPr>
                <w:rFonts w:ascii="Arial" w:eastAsia="Arial" w:hAnsi="Arial" w:cs="Arial"/>
                <w:color w:val="000000"/>
              </w:rPr>
            </w:pPr>
            <w:r>
              <w:rPr>
                <w:rFonts w:ascii="Arial" w:eastAsia="Arial" w:hAnsi="Arial" w:cs="Arial"/>
                <w:color w:val="000000"/>
              </w:rPr>
              <w:t xml:space="preserve">Comments: </w:t>
            </w:r>
          </w:p>
          <w:p w14:paraId="0F7F2B28" w14:textId="77777777" w:rsidR="009C6D88" w:rsidRDefault="00000000">
            <w:pPr>
              <w:ind w:hanging="2"/>
              <w:rPr>
                <w:rFonts w:ascii="Arial" w:eastAsia="Arial" w:hAnsi="Arial" w:cs="Arial"/>
              </w:rPr>
            </w:pPr>
            <w:r>
              <w:rPr>
                <w:rFonts w:ascii="Arial" w:eastAsia="Arial" w:hAnsi="Arial" w:cs="Arial"/>
              </w:rPr>
              <w:br/>
            </w:r>
            <w:r>
              <w:rPr>
                <w:rFonts w:ascii="Arial" w:eastAsia="Arial" w:hAnsi="Arial" w:cs="Arial"/>
              </w:rPr>
              <w:br/>
            </w:r>
          </w:p>
        </w:tc>
      </w:tr>
    </w:tbl>
    <w:p w14:paraId="5C766D65" w14:textId="77777777" w:rsidR="009C6D88" w:rsidRDefault="009C6D88">
      <w:pPr>
        <w:ind w:hanging="2"/>
        <w:rPr>
          <w:rFonts w:ascii="Arial" w:eastAsia="Arial" w:hAnsi="Arial" w:cs="Arial"/>
        </w:rPr>
      </w:pPr>
    </w:p>
    <w:p w14:paraId="464F9814" w14:textId="77777777" w:rsidR="009C6D88" w:rsidRDefault="00000000">
      <w:pPr>
        <w:widowControl/>
        <w:pBdr>
          <w:top w:val="nil"/>
          <w:left w:val="nil"/>
          <w:bottom w:val="nil"/>
          <w:right w:val="nil"/>
          <w:between w:val="nil"/>
        </w:pBdr>
        <w:ind w:hanging="2"/>
        <w:jc w:val="left"/>
        <w:rPr>
          <w:rFonts w:ascii="Arial" w:eastAsia="Arial" w:hAnsi="Arial" w:cs="Arial"/>
          <w:color w:val="000000"/>
        </w:rPr>
      </w:pPr>
      <w:r>
        <w:rPr>
          <w:rFonts w:ascii="Arial" w:eastAsia="Arial" w:hAnsi="Arial" w:cs="Arial"/>
          <w:i/>
          <w:color w:val="000000"/>
        </w:rPr>
        <w:t xml:space="preserve">Once the appointment and salary are approved and confirmed, a copy of the completed form is to be sent to the Civil Service Workforce Policy and Reward Team at </w:t>
      </w:r>
      <w:hyperlink r:id="rId15">
        <w:r>
          <w:rPr>
            <w:rFonts w:ascii="Arial" w:eastAsia="Arial" w:hAnsi="Arial" w:cs="Arial"/>
            <w:i/>
            <w:color w:val="1155CC"/>
            <w:u w:val="single"/>
          </w:rPr>
          <w:t>civilservicepay@cabinetoffice.gov.uk</w:t>
        </w:r>
      </w:hyperlink>
      <w:r>
        <w:rPr>
          <w:rFonts w:ascii="Arial" w:eastAsia="Arial" w:hAnsi="Arial" w:cs="Arial"/>
          <w:i/>
          <w:color w:val="000000"/>
        </w:rPr>
        <w:t xml:space="preserve"> </w:t>
      </w:r>
    </w:p>
    <w:p w14:paraId="768A0FAE" w14:textId="77777777" w:rsidR="009C6D88" w:rsidRDefault="00000000">
      <w:pPr>
        <w:ind w:hanging="2"/>
        <w:rPr>
          <w:rFonts w:ascii="Arial" w:eastAsia="Arial" w:hAnsi="Arial" w:cs="Arial"/>
        </w:rPr>
      </w:pPr>
      <w:r>
        <w:rPr>
          <w:rFonts w:ascii="Arial" w:eastAsia="Arial" w:hAnsi="Arial" w:cs="Arial"/>
        </w:rPr>
        <w:br/>
      </w:r>
    </w:p>
    <w:p w14:paraId="29886CF0" w14:textId="77777777" w:rsidR="009C6D88" w:rsidRDefault="00000000">
      <w:pPr>
        <w:widowControl/>
        <w:pBdr>
          <w:top w:val="nil"/>
          <w:left w:val="nil"/>
          <w:bottom w:val="nil"/>
          <w:right w:val="nil"/>
          <w:between w:val="nil"/>
        </w:pBdr>
        <w:ind w:hanging="2"/>
        <w:jc w:val="left"/>
        <w:rPr>
          <w:rFonts w:ascii="Arial" w:eastAsia="Arial" w:hAnsi="Arial" w:cs="Arial"/>
          <w:color w:val="000000"/>
        </w:rPr>
      </w:pPr>
      <w:r>
        <w:rPr>
          <w:rFonts w:ascii="Arial" w:eastAsia="Arial" w:hAnsi="Arial" w:cs="Arial"/>
          <w:color w:val="000000"/>
        </w:rPr>
        <w:t xml:space="preserve"> </w:t>
      </w:r>
    </w:p>
    <w:p w14:paraId="71C80E39" w14:textId="77777777" w:rsidR="009C6D88" w:rsidRDefault="009C6D88">
      <w:pPr>
        <w:ind w:hanging="2"/>
        <w:rPr>
          <w:rFonts w:ascii="Arial" w:eastAsia="Arial" w:hAnsi="Arial" w:cs="Arial"/>
        </w:rPr>
      </w:pPr>
    </w:p>
    <w:p w14:paraId="22D69526" w14:textId="77777777" w:rsidR="009C6D88" w:rsidRDefault="009C6D88">
      <w:pPr>
        <w:pBdr>
          <w:top w:val="nil"/>
          <w:left w:val="nil"/>
          <w:bottom w:val="nil"/>
          <w:right w:val="nil"/>
          <w:between w:val="nil"/>
        </w:pBdr>
        <w:ind w:hanging="2"/>
        <w:rPr>
          <w:rFonts w:ascii="Arial" w:eastAsia="Arial" w:hAnsi="Arial" w:cs="Arial"/>
          <w:color w:val="000000"/>
        </w:rPr>
      </w:pPr>
    </w:p>
    <w:p w14:paraId="1D2490C6" w14:textId="77777777" w:rsidR="009C6D88" w:rsidRDefault="009C6D88">
      <w:pPr>
        <w:pBdr>
          <w:top w:val="nil"/>
          <w:left w:val="nil"/>
          <w:bottom w:val="nil"/>
          <w:right w:val="nil"/>
          <w:between w:val="nil"/>
        </w:pBdr>
        <w:ind w:hanging="2"/>
        <w:rPr>
          <w:rFonts w:ascii="Arial" w:eastAsia="Arial" w:hAnsi="Arial" w:cs="Arial"/>
          <w:color w:val="000000"/>
        </w:rPr>
      </w:pPr>
    </w:p>
    <w:p w14:paraId="1ED2B7BA" w14:textId="77777777" w:rsidR="009C6D88" w:rsidRDefault="009C6D88">
      <w:pPr>
        <w:pBdr>
          <w:top w:val="nil"/>
          <w:left w:val="nil"/>
          <w:bottom w:val="nil"/>
          <w:right w:val="nil"/>
          <w:between w:val="nil"/>
        </w:pBdr>
        <w:ind w:hanging="2"/>
        <w:rPr>
          <w:rFonts w:ascii="Arial" w:eastAsia="Arial" w:hAnsi="Arial" w:cs="Arial"/>
          <w:color w:val="000000"/>
        </w:rPr>
      </w:pPr>
    </w:p>
    <w:p w14:paraId="14DF0C1A" w14:textId="77777777" w:rsidR="009C6D88" w:rsidRDefault="009C6D88">
      <w:pPr>
        <w:ind w:hanging="2"/>
        <w:rPr>
          <w:rFonts w:ascii="Arial" w:eastAsia="Arial" w:hAnsi="Arial" w:cs="Arial"/>
        </w:rPr>
      </w:pPr>
    </w:p>
    <w:p w14:paraId="4BDFF765" w14:textId="77777777" w:rsidR="009C6D88" w:rsidRDefault="009C6D88">
      <w:pPr>
        <w:ind w:hanging="2"/>
        <w:rPr>
          <w:rFonts w:ascii="Arial" w:eastAsia="Arial" w:hAnsi="Arial" w:cs="Arial"/>
        </w:rPr>
      </w:pPr>
    </w:p>
    <w:p w14:paraId="6A22AF23" w14:textId="77777777" w:rsidR="009C6D88" w:rsidRDefault="009C6D88">
      <w:pPr>
        <w:ind w:hanging="2"/>
        <w:rPr>
          <w:rFonts w:ascii="Arial" w:eastAsia="Arial" w:hAnsi="Arial" w:cs="Arial"/>
        </w:rPr>
      </w:pPr>
    </w:p>
    <w:sectPr w:rsidR="009C6D88">
      <w:headerReference w:type="even" r:id="rId16"/>
      <w:headerReference w:type="default" r:id="rId17"/>
      <w:footerReference w:type="even" r:id="rId18"/>
      <w:headerReference w:type="first" r:id="rId19"/>
      <w:footerReference w:type="first" r:id="rId20"/>
      <w:pgSz w:w="11907" w:h="16840"/>
      <w:pgMar w:top="709" w:right="1274" w:bottom="407"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5A93" w14:textId="77777777" w:rsidR="00C509BB" w:rsidRDefault="00C509BB">
      <w:r>
        <w:separator/>
      </w:r>
    </w:p>
  </w:endnote>
  <w:endnote w:type="continuationSeparator" w:id="0">
    <w:p w14:paraId="0684DC58" w14:textId="77777777" w:rsidR="00C509BB" w:rsidRDefault="00C5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auto"/>
    <w:pitch w:val="default"/>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CA6A" w14:textId="77777777" w:rsidR="009C6D88" w:rsidRDefault="00000000">
    <w:pPr>
      <w:widowControl/>
      <w:pBdr>
        <w:top w:val="nil"/>
        <w:left w:val="nil"/>
        <w:bottom w:val="nil"/>
        <w:right w:val="nil"/>
        <w:between w:val="nil"/>
      </w:pBdr>
      <w:tabs>
        <w:tab w:val="center" w:pos="4153"/>
        <w:tab w:val="right" w:pos="8306"/>
      </w:tabs>
      <w:ind w:hanging="2"/>
      <w:jc w:val="center"/>
      <w:rPr>
        <w:color w:val="000000"/>
      </w:rPr>
    </w:pPr>
    <w:r>
      <w:rPr>
        <w:rFonts w:ascii="Calibri" w:eastAsia="Calibri" w:hAnsi="Calibri" w:cs="Calibri"/>
        <w:color w:val="000000"/>
        <w:sz w:val="22"/>
        <w:szCs w:val="22"/>
      </w:rPr>
      <w:t>UNCLASSIFIED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29FE" w14:textId="77777777" w:rsidR="009C6D88" w:rsidRDefault="00000000">
    <w:pPr>
      <w:widowControl/>
      <w:pBdr>
        <w:top w:val="nil"/>
        <w:left w:val="nil"/>
        <w:bottom w:val="nil"/>
        <w:right w:val="nil"/>
        <w:between w:val="nil"/>
      </w:pBdr>
      <w:tabs>
        <w:tab w:val="center" w:pos="4153"/>
        <w:tab w:val="right" w:pos="8306"/>
      </w:tabs>
      <w:ind w:hanging="2"/>
      <w:jc w:val="center"/>
      <w:rPr>
        <w:color w:val="000000"/>
      </w:rPr>
    </w:pPr>
    <w:r>
      <w:rPr>
        <w:rFonts w:ascii="Calibri" w:eastAsia="Calibri" w:hAnsi="Calibri" w:cs="Calibri"/>
        <w:color w:val="000000"/>
        <w:sz w:val="22"/>
        <w:szCs w:val="22"/>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8918" w14:textId="77777777" w:rsidR="00C509BB" w:rsidRDefault="00C509BB">
      <w:r>
        <w:separator/>
      </w:r>
    </w:p>
  </w:footnote>
  <w:footnote w:type="continuationSeparator" w:id="0">
    <w:p w14:paraId="21B22DAD" w14:textId="77777777" w:rsidR="00C509BB" w:rsidRDefault="00C50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C85D" w14:textId="77777777" w:rsidR="009C6D88" w:rsidRDefault="00000000">
    <w:pPr>
      <w:widowControl/>
      <w:pBdr>
        <w:top w:val="nil"/>
        <w:left w:val="nil"/>
        <w:bottom w:val="nil"/>
        <w:right w:val="nil"/>
        <w:between w:val="nil"/>
      </w:pBdr>
      <w:tabs>
        <w:tab w:val="center" w:pos="4153"/>
        <w:tab w:val="right" w:pos="8306"/>
      </w:tabs>
      <w:ind w:hanging="2"/>
      <w:jc w:val="center"/>
      <w:rPr>
        <w:color w:val="000000"/>
      </w:rPr>
    </w:pPr>
    <w:r>
      <w:rPr>
        <w:rFonts w:ascii="Calibri" w:eastAsia="Calibri" w:hAnsi="Calibri" w:cs="Calibri"/>
        <w:color w:val="000000"/>
        <w:sz w:val="22"/>
        <w:szCs w:val="22"/>
      </w:rPr>
      <w:t>UNCLASSIFIED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B488" w14:textId="77777777" w:rsidR="009C6D88" w:rsidRDefault="009C6D88">
    <w:pPr>
      <w:widowControl/>
      <w:pBdr>
        <w:top w:val="nil"/>
        <w:left w:val="nil"/>
        <w:bottom w:val="nil"/>
        <w:right w:val="nil"/>
        <w:between w:val="nil"/>
      </w:pBdr>
      <w:tabs>
        <w:tab w:val="center" w:pos="4153"/>
        <w:tab w:val="right" w:pos="8306"/>
      </w:tabs>
      <w:ind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460C" w14:textId="77777777" w:rsidR="009C6D88" w:rsidRDefault="00000000">
    <w:pPr>
      <w:widowControl/>
      <w:pBdr>
        <w:top w:val="nil"/>
        <w:left w:val="nil"/>
        <w:bottom w:val="nil"/>
        <w:right w:val="nil"/>
        <w:between w:val="nil"/>
      </w:pBdr>
      <w:tabs>
        <w:tab w:val="center" w:pos="4153"/>
        <w:tab w:val="right" w:pos="8306"/>
      </w:tabs>
      <w:ind w:hanging="2"/>
      <w:jc w:val="center"/>
      <w:rPr>
        <w:color w:val="000000"/>
      </w:rPr>
    </w:pPr>
    <w:r>
      <w:rPr>
        <w:rFonts w:ascii="Calibri" w:eastAsia="Calibri" w:hAnsi="Calibri" w:cs="Calibri"/>
        <w:color w:val="000000"/>
        <w:sz w:val="22"/>
        <w:szCs w:val="22"/>
      </w:rP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690"/>
    <w:multiLevelType w:val="multilevel"/>
    <w:tmpl w:val="69E63D4E"/>
    <w:lvl w:ilvl="0">
      <w:start w:val="1"/>
      <w:numFmt w:val="bullet"/>
      <w:lvlText w:val="●"/>
      <w:lvlJc w:val="left"/>
      <w:pPr>
        <w:ind w:left="360" w:hanging="360"/>
      </w:pPr>
      <w:rPr>
        <w:rFonts w:ascii="Noto Sans Symbols" w:eastAsia="Noto Sans Symbols" w:hAnsi="Noto Sans Symbols" w:cs="Noto Sans Symbols"/>
        <w:b w:val="0"/>
        <w:vertAlign w:val="baseline"/>
      </w:rPr>
    </w:lvl>
    <w:lvl w:ilvl="1">
      <w:start w:val="1"/>
      <w:numFmt w:val="upperRoman"/>
      <w:lvlText w:val="%2."/>
      <w:lvlJc w:val="righ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0E20745"/>
    <w:multiLevelType w:val="multilevel"/>
    <w:tmpl w:val="B4049E06"/>
    <w:lvl w:ilvl="0">
      <w:start w:val="1"/>
      <w:numFmt w:val="bullet"/>
      <w:lvlText w:val="●"/>
      <w:lvlJc w:val="left"/>
      <w:pPr>
        <w:ind w:left="718" w:hanging="360"/>
      </w:pPr>
      <w:rPr>
        <w:rFonts w:ascii="Symbol" w:eastAsia="Noto Sans Symbols" w:hAnsi="Symbol" w:cs="Noto Sans Symbols" w:hint="default"/>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02966670"/>
    <w:multiLevelType w:val="multilevel"/>
    <w:tmpl w:val="5A3AB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683DA5"/>
    <w:multiLevelType w:val="multilevel"/>
    <w:tmpl w:val="5A560874"/>
    <w:lvl w:ilvl="0">
      <w:start w:val="1"/>
      <w:numFmt w:val="bullet"/>
      <w:lvlText w:val="●"/>
      <w:lvlJc w:val="left"/>
      <w:pPr>
        <w:ind w:left="720" w:hanging="360"/>
      </w:pPr>
      <w:rPr>
        <w:rFonts w:ascii="Symbol" w:eastAsia="Noto Sans Symbols" w:hAnsi="Symbol"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A96E92"/>
    <w:multiLevelType w:val="multilevel"/>
    <w:tmpl w:val="4740E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0F5BC5"/>
    <w:multiLevelType w:val="multilevel"/>
    <w:tmpl w:val="BCD6D242"/>
    <w:lvl w:ilvl="0">
      <w:start w:val="1"/>
      <w:numFmt w:val="decimal"/>
      <w:lvlText w:val="%1."/>
      <w:lvlJc w:val="left"/>
      <w:pPr>
        <w:ind w:left="360" w:hanging="360"/>
      </w:pPr>
      <w:rPr>
        <w:rFonts w:ascii="Arial" w:eastAsia="Arial" w:hAnsi="Arial" w:cs="Arial"/>
        <w:b w:val="0"/>
      </w:rPr>
    </w:lvl>
    <w:lvl w:ilvl="1">
      <w:start w:val="1"/>
      <w:numFmt w:val="bullet"/>
      <w:lvlText w:val="●"/>
      <w:lvlJc w:val="left"/>
      <w:pPr>
        <w:ind w:left="718"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368317E"/>
    <w:multiLevelType w:val="multilevel"/>
    <w:tmpl w:val="CB1C6E62"/>
    <w:lvl w:ilvl="0">
      <w:start w:val="1"/>
      <w:numFmt w:val="bullet"/>
      <w:lvlText w:val="●"/>
      <w:lvlJc w:val="left"/>
      <w:pPr>
        <w:ind w:left="360" w:hanging="360"/>
      </w:pPr>
      <w:rPr>
        <w:rFonts w:ascii="Noto Sans Symbols" w:eastAsia="Noto Sans Symbols" w:hAnsi="Noto Sans Symbols" w:cs="Noto Sans Symbols"/>
        <w:b w:val="0"/>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A7A038B"/>
    <w:multiLevelType w:val="multilevel"/>
    <w:tmpl w:val="298E8F68"/>
    <w:lvl w:ilvl="0">
      <w:start w:val="1"/>
      <w:numFmt w:val="lowerLetter"/>
      <w:lvlText w:val="%1."/>
      <w:lvlJc w:val="left"/>
      <w:pPr>
        <w:ind w:left="720" w:hanging="360"/>
      </w:pPr>
      <w:rPr>
        <w:b w:val="0"/>
        <w:vertAlign w:val="baseline"/>
      </w:rPr>
    </w:lvl>
    <w:lvl w:ilvl="1">
      <w:start w:val="1"/>
      <w:numFmt w:val="lowerLetter"/>
      <w:lvlText w:val="%2."/>
      <w:lvlJc w:val="left"/>
      <w:pPr>
        <w:ind w:left="1800" w:hanging="360"/>
      </w:pPr>
      <w:rPr>
        <w:b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23B500B4"/>
    <w:multiLevelType w:val="multilevel"/>
    <w:tmpl w:val="72BC19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480198"/>
    <w:multiLevelType w:val="multilevel"/>
    <w:tmpl w:val="BA027FD8"/>
    <w:lvl w:ilvl="0">
      <w:start w:val="1"/>
      <w:numFmt w:val="lowerLetter"/>
      <w:lvlText w:val="%1."/>
      <w:lvlJc w:val="left"/>
      <w:pPr>
        <w:ind w:left="720" w:hanging="360"/>
      </w:pPr>
      <w:rPr>
        <w:vertAlign w:val="baseline"/>
      </w:rPr>
    </w:lvl>
    <w:lvl w:ilvl="1">
      <w:start w:val="1"/>
      <w:numFmt w:val="lowerLetter"/>
      <w:lvlText w:val="%2."/>
      <w:lvlJc w:val="left"/>
      <w:pPr>
        <w:ind w:left="1510" w:hanging="360"/>
      </w:pPr>
      <w:rPr>
        <w:vertAlign w:val="baseline"/>
      </w:rPr>
    </w:lvl>
    <w:lvl w:ilvl="2">
      <w:start w:val="1"/>
      <w:numFmt w:val="lowerRoman"/>
      <w:lvlText w:val="%3."/>
      <w:lvlJc w:val="right"/>
      <w:pPr>
        <w:ind w:left="2230" w:hanging="180"/>
      </w:pPr>
      <w:rPr>
        <w:vertAlign w:val="baseline"/>
      </w:rPr>
    </w:lvl>
    <w:lvl w:ilvl="3">
      <w:start w:val="1"/>
      <w:numFmt w:val="decimal"/>
      <w:lvlText w:val="%4."/>
      <w:lvlJc w:val="left"/>
      <w:pPr>
        <w:ind w:left="2950" w:hanging="360"/>
      </w:pPr>
      <w:rPr>
        <w:vertAlign w:val="baseline"/>
      </w:rPr>
    </w:lvl>
    <w:lvl w:ilvl="4">
      <w:start w:val="1"/>
      <w:numFmt w:val="lowerLetter"/>
      <w:lvlText w:val="%5."/>
      <w:lvlJc w:val="left"/>
      <w:pPr>
        <w:ind w:left="3670" w:hanging="360"/>
      </w:pPr>
      <w:rPr>
        <w:vertAlign w:val="baseline"/>
      </w:rPr>
    </w:lvl>
    <w:lvl w:ilvl="5">
      <w:start w:val="1"/>
      <w:numFmt w:val="lowerRoman"/>
      <w:lvlText w:val="%6."/>
      <w:lvlJc w:val="right"/>
      <w:pPr>
        <w:ind w:left="4390" w:hanging="180"/>
      </w:pPr>
      <w:rPr>
        <w:vertAlign w:val="baseline"/>
      </w:rPr>
    </w:lvl>
    <w:lvl w:ilvl="6">
      <w:start w:val="1"/>
      <w:numFmt w:val="decimal"/>
      <w:lvlText w:val="%7."/>
      <w:lvlJc w:val="left"/>
      <w:pPr>
        <w:ind w:left="5110" w:hanging="360"/>
      </w:pPr>
      <w:rPr>
        <w:vertAlign w:val="baseline"/>
      </w:rPr>
    </w:lvl>
    <w:lvl w:ilvl="7">
      <w:start w:val="1"/>
      <w:numFmt w:val="lowerLetter"/>
      <w:lvlText w:val="%8."/>
      <w:lvlJc w:val="left"/>
      <w:pPr>
        <w:ind w:left="5830" w:hanging="360"/>
      </w:pPr>
      <w:rPr>
        <w:vertAlign w:val="baseline"/>
      </w:rPr>
    </w:lvl>
    <w:lvl w:ilvl="8">
      <w:start w:val="1"/>
      <w:numFmt w:val="lowerRoman"/>
      <w:lvlText w:val="%9."/>
      <w:lvlJc w:val="right"/>
      <w:pPr>
        <w:ind w:left="6550" w:hanging="180"/>
      </w:pPr>
      <w:rPr>
        <w:vertAlign w:val="baseline"/>
      </w:rPr>
    </w:lvl>
  </w:abstractNum>
  <w:abstractNum w:abstractNumId="10" w15:restartNumberingAfterBreak="0">
    <w:nsid w:val="275E7000"/>
    <w:multiLevelType w:val="multilevel"/>
    <w:tmpl w:val="EDB0F7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90A656F"/>
    <w:multiLevelType w:val="multilevel"/>
    <w:tmpl w:val="5972E104"/>
    <w:lvl w:ilvl="0">
      <w:start w:val="1"/>
      <w:numFmt w:val="bullet"/>
      <w:lvlText w:val="●"/>
      <w:lvlJc w:val="left"/>
      <w:pPr>
        <w:ind w:left="360" w:hanging="360"/>
      </w:pPr>
      <w:rPr>
        <w:rFonts w:ascii="Noto Sans Symbols" w:eastAsia="Noto Sans Symbols" w:hAnsi="Noto Sans Symbols" w:cs="Noto Sans Symbols"/>
        <w:b w:val="0"/>
        <w:vertAlign w:val="baseline"/>
      </w:rPr>
    </w:lvl>
    <w:lvl w:ilvl="1">
      <w:start w:val="1"/>
      <w:numFmt w:val="upperRoman"/>
      <w:lvlText w:val="%2."/>
      <w:lvlJc w:val="righ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E9A66DA"/>
    <w:multiLevelType w:val="hybridMultilevel"/>
    <w:tmpl w:val="1326DF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BD024B9"/>
    <w:multiLevelType w:val="hybridMultilevel"/>
    <w:tmpl w:val="B88C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F323A"/>
    <w:multiLevelType w:val="multilevel"/>
    <w:tmpl w:val="18D88FC2"/>
    <w:lvl w:ilvl="0">
      <w:start w:val="1"/>
      <w:numFmt w:val="bullet"/>
      <w:lvlText w:val="●"/>
      <w:lvlJc w:val="left"/>
      <w:pPr>
        <w:ind w:left="720" w:hanging="360"/>
      </w:pPr>
      <w:rPr>
        <w:rFonts w:ascii="Noto Sans Symbols" w:eastAsia="Noto Sans Symbols" w:hAnsi="Noto Sans Symbols" w:cs="Noto Sans Symbols"/>
        <w:b w:val="0"/>
        <w:vertAlign w:val="baseline"/>
      </w:rPr>
    </w:lvl>
    <w:lvl w:ilvl="1">
      <w:start w:val="1"/>
      <w:numFmt w:val="upperRoman"/>
      <w:lvlText w:val="%2."/>
      <w:lvlJc w:val="right"/>
      <w:pPr>
        <w:ind w:left="1800" w:hanging="360"/>
      </w:pPr>
      <w:rPr>
        <w:b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15:restartNumberingAfterBreak="0">
    <w:nsid w:val="5B811D0A"/>
    <w:multiLevelType w:val="multilevel"/>
    <w:tmpl w:val="7B46BE26"/>
    <w:lvl w:ilvl="0">
      <w:start w:val="1"/>
      <w:numFmt w:val="bullet"/>
      <w:lvlText w:val="●"/>
      <w:lvlJc w:val="left"/>
      <w:pPr>
        <w:ind w:left="360" w:hanging="360"/>
      </w:pPr>
      <w:rPr>
        <w:rFonts w:ascii="Noto Sans Symbols" w:eastAsia="Noto Sans Symbols" w:hAnsi="Noto Sans Symbols" w:cs="Noto Sans Symbols"/>
        <w:b w:val="0"/>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D777674"/>
    <w:multiLevelType w:val="multilevel"/>
    <w:tmpl w:val="215E8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9E00801"/>
    <w:multiLevelType w:val="multilevel"/>
    <w:tmpl w:val="7D2A44CC"/>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18" w15:restartNumberingAfterBreak="0">
    <w:nsid w:val="75422F54"/>
    <w:multiLevelType w:val="multilevel"/>
    <w:tmpl w:val="B3C04BD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785812F1"/>
    <w:multiLevelType w:val="hybridMultilevel"/>
    <w:tmpl w:val="98907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DD05CF"/>
    <w:multiLevelType w:val="multilevel"/>
    <w:tmpl w:val="E93066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sz w:val="22"/>
        <w:szCs w:val="22"/>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7C481D8C"/>
    <w:multiLevelType w:val="multilevel"/>
    <w:tmpl w:val="68B097A0"/>
    <w:lvl w:ilvl="0">
      <w:start w:val="1"/>
      <w:numFmt w:val="bullet"/>
      <w:lvlText w:val="●"/>
      <w:lvlJc w:val="left"/>
      <w:pPr>
        <w:ind w:left="720" w:hanging="360"/>
      </w:pPr>
      <w:rPr>
        <w:rFonts w:ascii="Noto Sans Symbols" w:eastAsia="Noto Sans Symbols" w:hAnsi="Noto Sans Symbols" w:cs="Noto Sans Symbols"/>
        <w:b w:val="0"/>
        <w:vertAlign w:val="baseline"/>
      </w:rPr>
    </w:lvl>
    <w:lvl w:ilvl="1">
      <w:start w:val="1"/>
      <w:numFmt w:val="upperRoman"/>
      <w:lvlText w:val="%2."/>
      <w:lvlJc w:val="right"/>
      <w:pPr>
        <w:ind w:left="1800" w:hanging="360"/>
      </w:pPr>
      <w:rPr>
        <w:b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7F69262C"/>
    <w:multiLevelType w:val="multilevel"/>
    <w:tmpl w:val="242E3F5E"/>
    <w:lvl w:ilvl="0">
      <w:start w:val="1"/>
      <w:numFmt w:val="bullet"/>
      <w:lvlText w:val="●"/>
      <w:lvlJc w:val="left"/>
      <w:pPr>
        <w:ind w:left="720" w:hanging="360"/>
      </w:pPr>
      <w:rPr>
        <w:rFonts w:ascii="Noto Sans Symbols" w:eastAsia="Noto Sans Symbols" w:hAnsi="Noto Sans Symbols" w:cs="Noto Sans Symbols"/>
        <w:b w:val="0"/>
        <w:vertAlign w:val="baseline"/>
      </w:rPr>
    </w:lvl>
    <w:lvl w:ilvl="1">
      <w:start w:val="1"/>
      <w:numFmt w:val="upperRoman"/>
      <w:lvlText w:val="%2."/>
      <w:lvlJc w:val="right"/>
      <w:pPr>
        <w:ind w:left="1800" w:hanging="360"/>
      </w:pPr>
      <w:rPr>
        <w:b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1508250007">
    <w:abstractNumId w:val="8"/>
  </w:num>
  <w:num w:numId="2" w16cid:durableId="1792625959">
    <w:abstractNumId w:val="16"/>
  </w:num>
  <w:num w:numId="3" w16cid:durableId="2136871379">
    <w:abstractNumId w:val="9"/>
  </w:num>
  <w:num w:numId="4" w16cid:durableId="101731764">
    <w:abstractNumId w:val="4"/>
  </w:num>
  <w:num w:numId="5" w16cid:durableId="1682581842">
    <w:abstractNumId w:val="14"/>
  </w:num>
  <w:num w:numId="6" w16cid:durableId="1552419168">
    <w:abstractNumId w:val="2"/>
  </w:num>
  <w:num w:numId="7" w16cid:durableId="1485119283">
    <w:abstractNumId w:val="11"/>
  </w:num>
  <w:num w:numId="8" w16cid:durableId="309946866">
    <w:abstractNumId w:val="21"/>
  </w:num>
  <w:num w:numId="9" w16cid:durableId="1669357766">
    <w:abstractNumId w:val="1"/>
  </w:num>
  <w:num w:numId="10" w16cid:durableId="32927922">
    <w:abstractNumId w:val="0"/>
  </w:num>
  <w:num w:numId="11" w16cid:durableId="465397752">
    <w:abstractNumId w:val="22"/>
  </w:num>
  <w:num w:numId="12" w16cid:durableId="2107653887">
    <w:abstractNumId w:val="5"/>
  </w:num>
  <w:num w:numId="13" w16cid:durableId="1322080737">
    <w:abstractNumId w:val="6"/>
  </w:num>
  <w:num w:numId="14" w16cid:durableId="883906175">
    <w:abstractNumId w:val="7"/>
  </w:num>
  <w:num w:numId="15" w16cid:durableId="1374574235">
    <w:abstractNumId w:val="17"/>
  </w:num>
  <w:num w:numId="16" w16cid:durableId="498616229">
    <w:abstractNumId w:val="18"/>
  </w:num>
  <w:num w:numId="17" w16cid:durableId="1775396068">
    <w:abstractNumId w:val="15"/>
  </w:num>
  <w:num w:numId="18" w16cid:durableId="1863740872">
    <w:abstractNumId w:val="3"/>
  </w:num>
  <w:num w:numId="19" w16cid:durableId="396901053">
    <w:abstractNumId w:val="20"/>
  </w:num>
  <w:num w:numId="20" w16cid:durableId="1218319310">
    <w:abstractNumId w:val="10"/>
  </w:num>
  <w:num w:numId="21" w16cid:durableId="1043167702">
    <w:abstractNumId w:val="13"/>
  </w:num>
  <w:num w:numId="22" w16cid:durableId="1480920703">
    <w:abstractNumId w:val="12"/>
  </w:num>
  <w:num w:numId="23" w16cid:durableId="14701706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D88"/>
    <w:rsid w:val="00031229"/>
    <w:rsid w:val="000F6523"/>
    <w:rsid w:val="002C3CC2"/>
    <w:rsid w:val="00476C78"/>
    <w:rsid w:val="00717925"/>
    <w:rsid w:val="00970B72"/>
    <w:rsid w:val="009C6D88"/>
    <w:rsid w:val="00A0761C"/>
    <w:rsid w:val="00C509BB"/>
    <w:rsid w:val="00D22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3ADAF2"/>
  <w15:docId w15:val="{C917FCF2-D999-FF43-8439-26C8630C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28"/>
      <w:szCs w:val="28"/>
    </w:rPr>
  </w:style>
  <w:style w:type="paragraph" w:styleId="Heading2">
    <w:name w:val="heading 2"/>
    <w:basedOn w:val="Normal"/>
    <w:next w:val="Normal"/>
    <w:uiPriority w:val="9"/>
    <w:unhideWhenUsed/>
    <w:qFormat/>
    <w:pPr>
      <w:keepNext/>
      <w:outlineLvl w:val="1"/>
    </w:pPr>
    <w:rPr>
      <w:b/>
      <w:sz w:val="15"/>
      <w:szCs w:val="15"/>
    </w:rPr>
  </w:style>
  <w:style w:type="paragraph" w:styleId="Heading3">
    <w:name w:val="heading 3"/>
    <w:basedOn w:val="Normal"/>
    <w:next w:val="Normal"/>
    <w:uiPriority w:val="9"/>
    <w:semiHidden/>
    <w:unhideWhenUsed/>
    <w:qFormat/>
    <w:pPr>
      <w:keepNext/>
      <w:ind w:left="-113"/>
      <w:outlineLvl w:val="2"/>
    </w:pPr>
    <w:rPr>
      <w:b/>
      <w:sz w:val="15"/>
      <w:szCs w:val="15"/>
    </w:rPr>
  </w:style>
  <w:style w:type="paragraph" w:styleId="Heading4">
    <w:name w:val="heading 4"/>
    <w:basedOn w:val="Normal"/>
    <w:next w:val="Normal"/>
    <w:uiPriority w:val="9"/>
    <w:semiHidden/>
    <w:unhideWhenUsed/>
    <w:qFormat/>
    <w:pPr>
      <w:keepNext/>
      <w:spacing w:before="160" w:after="60"/>
      <w:ind w:left="-113"/>
      <w:outlineLvl w:val="3"/>
    </w:pPr>
    <w:rPr>
      <w:b/>
      <w:i/>
      <w:sz w:val="15"/>
      <w:szCs w:val="15"/>
    </w:rPr>
  </w:style>
  <w:style w:type="paragraph" w:styleId="Heading5">
    <w:name w:val="heading 5"/>
    <w:basedOn w:val="Normal"/>
    <w:next w:val="Normal"/>
    <w:uiPriority w:val="9"/>
    <w:semiHidden/>
    <w:unhideWhenUsed/>
    <w:qFormat/>
    <w:pPr>
      <w:keepNext/>
      <w:jc w:val="center"/>
      <w:outlineLvl w:val="4"/>
    </w:pPr>
    <w:rPr>
      <w:sz w:val="28"/>
      <w:szCs w:val="28"/>
    </w:rPr>
  </w:style>
  <w:style w:type="paragraph" w:styleId="Heading6">
    <w:name w:val="heading 6"/>
    <w:basedOn w:val="Normal"/>
    <w:next w:val="Normal"/>
    <w:uiPriority w:val="9"/>
    <w:semiHidden/>
    <w:unhideWhenUsed/>
    <w:qFormat/>
    <w:pPr>
      <w:keepNext/>
      <w:outlineLvl w:val="5"/>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717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70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vilservicepay@cabinetoffice.gov.uk" TargetMode="External"/><Relationship Id="rId13" Type="http://schemas.openxmlformats.org/officeDocument/2006/relationships/hyperlink" Target="mailto:civilservicepay@cabinetoffice.gov.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overnment/publications/senior-civil-service-performance-management" TargetMode="External"/><Relationship Id="rId12" Type="http://schemas.openxmlformats.org/officeDocument/2006/relationships/hyperlink" Target="mailto:contact.us@csep.gov.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civilservicepay@cabinetoffice.gov.uk" TargetMode="External"/><Relationship Id="rId10" Type="http://schemas.openxmlformats.org/officeDocument/2006/relationships/hyperlink" Target="mailto:civilservicepay@cabinetoffice.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ivilservicepay@cabinetoffice.gov.uk" TargetMode="External"/><Relationship Id="rId14" Type="http://schemas.openxmlformats.org/officeDocument/2006/relationships/hyperlink" Target="https://www.gov.uk/government/organisations/civil-service/abou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4700</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2022-07-18T14:58:00Z</dcterms:created>
  <dcterms:modified xsi:type="dcterms:W3CDTF">2022-07-19T12:35:00Z</dcterms:modified>
</cp:coreProperties>
</file>