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86"/>
        <w:gridCol w:w="4267"/>
      </w:tblGrid>
      <w:tr w:rsidR="00FB44FE" w:rsidRPr="00E75483" w14:paraId="6A978CF0" w14:textId="77777777" w:rsidTr="00746A31">
        <w:trPr>
          <w:trHeight w:hRule="exact" w:val="1003"/>
        </w:trPr>
        <w:tc>
          <w:tcPr>
            <w:tcW w:w="6086" w:type="dxa"/>
            <w:tcBorders>
              <w:bottom w:val="nil"/>
            </w:tcBorders>
            <w:shd w:val="clear" w:color="auto" w:fill="auto"/>
            <w:vAlign w:val="center"/>
          </w:tcPr>
          <w:p w14:paraId="52ADBB53" w14:textId="66F58D3F" w:rsidR="00FB44FE" w:rsidRPr="00E75483" w:rsidRDefault="00FB44FE" w:rsidP="28F156CA">
            <w:pPr>
              <w:ind w:left="113"/>
              <w:rPr>
                <w:rFonts w:eastAsia="SimSun" w:cs="Arial"/>
                <w:szCs w:val="24"/>
              </w:rPr>
            </w:pPr>
            <w:r w:rsidRPr="00E75483">
              <w:rPr>
                <w:rFonts w:ascii="Calibri" w:eastAsia="SimSun" w:hAnsi="Calibri" w:cs="Arial"/>
                <w:sz w:val="20"/>
                <w:szCs w:val="24"/>
              </w:rPr>
              <w:br w:type="page"/>
            </w:r>
            <w:r w:rsidRPr="00E75483">
              <w:rPr>
                <w:rFonts w:eastAsia="SimSun" w:cs="Arial"/>
                <w:b/>
                <w:szCs w:val="24"/>
              </w:rPr>
              <w:t>Title:</w:t>
            </w:r>
            <w:r w:rsidRPr="00E75483">
              <w:rPr>
                <w:rFonts w:eastAsia="SimSun" w:cs="Arial"/>
              </w:rPr>
              <w:t xml:space="preserve"> </w:t>
            </w:r>
            <w:sdt>
              <w:sdtPr>
                <w:rPr>
                  <w:rFonts w:eastAsia="SimSun" w:cs="Arial"/>
                </w:rPr>
                <w:id w:val="2016806752"/>
                <w:placeholder>
                  <w:docPart w:val="F8DAF6266E884B68B0F763A878322D72"/>
                </w:placeholder>
              </w:sdtPr>
              <w:sdtEndPr/>
              <w:sdtContent>
                <w:r w:rsidR="00856D5E">
                  <w:rPr>
                    <w:rFonts w:eastAsia="SimSun" w:cs="Arial"/>
                  </w:rPr>
                  <w:t xml:space="preserve">Post-implementation review of the </w:t>
                </w:r>
                <w:r w:rsidR="00746A31" w:rsidRPr="00746A31">
                  <w:rPr>
                    <w:rFonts w:eastAsia="SimSun" w:cs="Arial"/>
                  </w:rPr>
                  <w:t>Oversight of Professional Body Anti-Money Laundering and Counter Terrorist Financing Supervision Regulations 2017</w:t>
                </w:r>
              </w:sdtContent>
            </w:sdt>
            <w:r w:rsidRPr="00E75483">
              <w:rPr>
                <w:rFonts w:eastAsia="SimSun" w:cs="Arial"/>
                <w:szCs w:val="24"/>
              </w:rPr>
              <w:t xml:space="preserve"> </w:t>
            </w:r>
          </w:p>
        </w:tc>
        <w:tc>
          <w:tcPr>
            <w:tcW w:w="4267" w:type="dxa"/>
            <w:shd w:val="clear" w:color="auto" w:fill="auto"/>
            <w:vAlign w:val="center"/>
          </w:tcPr>
          <w:p w14:paraId="6DF85310" w14:textId="1477CE62" w:rsidR="00FB44FE" w:rsidRPr="00E75483" w:rsidRDefault="00FB44FE" w:rsidP="00F6554A">
            <w:pPr>
              <w:spacing w:line="276" w:lineRule="auto"/>
              <w:ind w:left="142"/>
              <w:rPr>
                <w:rFonts w:asciiTheme="minorHAnsi" w:eastAsia="SimSun" w:hAnsiTheme="minorHAnsi" w:cstheme="minorHAnsi"/>
                <w:sz w:val="28"/>
                <w:szCs w:val="28"/>
                <w:lang w:eastAsia="en-GB"/>
              </w:rPr>
            </w:pPr>
            <w:r w:rsidRPr="00E75483">
              <w:rPr>
                <w:rFonts w:asciiTheme="minorHAnsi" w:eastAsia="SimSun" w:hAnsiTheme="minorHAnsi" w:cstheme="minorHAnsi"/>
                <w:sz w:val="28"/>
                <w:szCs w:val="28"/>
                <w:lang w:eastAsia="en-GB"/>
              </w:rPr>
              <w:t>Post Implementation Review</w:t>
            </w:r>
          </w:p>
        </w:tc>
      </w:tr>
      <w:tr w:rsidR="00FB44FE" w:rsidRPr="00E75483" w14:paraId="14DAA043" w14:textId="77777777" w:rsidTr="00E12B99">
        <w:trPr>
          <w:trHeight w:hRule="exact" w:val="475"/>
        </w:trPr>
        <w:tc>
          <w:tcPr>
            <w:tcW w:w="6086" w:type="dxa"/>
            <w:tcBorders>
              <w:top w:val="nil"/>
              <w:bottom w:val="nil"/>
            </w:tcBorders>
            <w:shd w:val="clear" w:color="auto" w:fill="auto"/>
            <w:vAlign w:val="center"/>
          </w:tcPr>
          <w:p w14:paraId="5306C467" w14:textId="49C49C3D" w:rsidR="00FB44FE" w:rsidRPr="00E75483" w:rsidRDefault="00FB44FE" w:rsidP="00F6554A">
            <w:pPr>
              <w:ind w:left="113" w:right="57"/>
              <w:rPr>
                <w:rFonts w:eastAsia="SimSun"/>
                <w:b/>
                <w:spacing w:val="-6"/>
                <w:szCs w:val="24"/>
                <w:lang w:eastAsia="zh-CN"/>
              </w:rPr>
            </w:pPr>
            <w:r w:rsidRPr="00E75483">
              <w:rPr>
                <w:rFonts w:eastAsia="SimSun"/>
                <w:b/>
                <w:spacing w:val="-6"/>
                <w:szCs w:val="24"/>
                <w:lang w:eastAsia="zh-CN"/>
              </w:rPr>
              <w:t xml:space="preserve">PIR No: </w:t>
            </w:r>
            <w:sdt>
              <w:sdtPr>
                <w:rPr>
                  <w:rFonts w:eastAsia="SimSun"/>
                  <w:b/>
                  <w:spacing w:val="-6"/>
                  <w:szCs w:val="24"/>
                  <w:lang w:eastAsia="zh-CN"/>
                </w:rPr>
                <w:id w:val="847452794"/>
                <w:placeholder>
                  <w:docPart w:val="3A35EAC6501C4A29810E4A11104485F4"/>
                </w:placeholder>
              </w:sdtPr>
              <w:sdtEndPr/>
              <w:sdtContent>
                <w:r w:rsidR="00904401">
                  <w:rPr>
                    <w:rFonts w:eastAsia="SimSun"/>
                    <w:bCs/>
                    <w:spacing w:val="-6"/>
                    <w:szCs w:val="24"/>
                    <w:lang w:eastAsia="zh-CN"/>
                  </w:rPr>
                  <w:t>RPC-HMT-5200(1)</w:t>
                </w:r>
              </w:sdtContent>
            </w:sdt>
            <w:r w:rsidRPr="00E75483">
              <w:rPr>
                <w:rFonts w:eastAsia="SimSun"/>
                <w:b/>
                <w:spacing w:val="-6"/>
                <w:szCs w:val="24"/>
                <w:lang w:eastAsia="zh-CN"/>
              </w:rPr>
              <w:t xml:space="preserve"> </w:t>
            </w:r>
          </w:p>
        </w:tc>
        <w:tc>
          <w:tcPr>
            <w:tcW w:w="4267" w:type="dxa"/>
            <w:shd w:val="clear" w:color="auto" w:fill="auto"/>
            <w:vAlign w:val="center"/>
          </w:tcPr>
          <w:p w14:paraId="45A98EDD" w14:textId="264B0EF1" w:rsidR="00FB44FE" w:rsidRPr="00E75483" w:rsidRDefault="00FB44FE" w:rsidP="00FB44FE">
            <w:pPr>
              <w:ind w:left="142"/>
              <w:rPr>
                <w:rFonts w:asciiTheme="minorHAnsi" w:eastAsia="SimSun" w:hAnsiTheme="minorHAnsi" w:cstheme="minorBidi"/>
                <w:lang w:eastAsia="en-GB"/>
              </w:rPr>
            </w:pPr>
            <w:r w:rsidRPr="00E75483">
              <w:rPr>
                <w:rFonts w:eastAsia="SimSun"/>
                <w:b/>
                <w:color w:val="000000"/>
                <w:spacing w:val="-5"/>
                <w:szCs w:val="24"/>
                <w:lang w:eastAsia="zh-CN"/>
              </w:rPr>
              <w:t xml:space="preserve">Date: </w:t>
            </w:r>
            <w:sdt>
              <w:sdtPr>
                <w:rPr>
                  <w:rFonts w:eastAsia="SimSun"/>
                  <w:b/>
                  <w:color w:val="000000"/>
                  <w:spacing w:val="-5"/>
                  <w:szCs w:val="24"/>
                  <w:lang w:eastAsia="zh-CN"/>
                </w:rPr>
                <w:id w:val="-97802157"/>
                <w:placeholder>
                  <w:docPart w:val="7AFFE6DC724740239B37B663CFD1EC91"/>
                </w:placeholder>
                <w:date w:fullDate="2022-06-24T00:00:00Z">
                  <w:dateFormat w:val="dd/MM/yyyy"/>
                  <w:lid w:val="en-GB"/>
                  <w:storeMappedDataAs w:val="dateTime"/>
                  <w:calendar w:val="gregorian"/>
                </w:date>
              </w:sdtPr>
              <w:sdtEndPr/>
              <w:sdtContent>
                <w:r w:rsidR="008261CC" w:rsidRPr="00BD3CFA">
                  <w:rPr>
                    <w:rFonts w:eastAsia="SimSun"/>
                    <w:b/>
                    <w:color w:val="000000"/>
                    <w:spacing w:val="-5"/>
                    <w:szCs w:val="24"/>
                    <w:lang w:eastAsia="zh-CN"/>
                  </w:rPr>
                  <w:t>24/0</w:t>
                </w:r>
                <w:r w:rsidR="001F78C0">
                  <w:rPr>
                    <w:rFonts w:eastAsia="SimSun"/>
                    <w:b/>
                    <w:color w:val="000000"/>
                    <w:spacing w:val="-5"/>
                    <w:szCs w:val="24"/>
                    <w:lang w:eastAsia="zh-CN"/>
                  </w:rPr>
                  <w:t>6</w:t>
                </w:r>
                <w:r w:rsidR="008261CC" w:rsidRPr="00BD3CFA">
                  <w:rPr>
                    <w:rFonts w:eastAsia="SimSun"/>
                    <w:b/>
                    <w:color w:val="000000"/>
                    <w:spacing w:val="-5"/>
                    <w:szCs w:val="24"/>
                    <w:lang w:eastAsia="zh-CN"/>
                  </w:rPr>
                  <w:t>/2022</w:t>
                </w:r>
              </w:sdtContent>
            </w:sdt>
          </w:p>
        </w:tc>
      </w:tr>
      <w:tr w:rsidR="00FB44FE" w:rsidRPr="00E75483" w14:paraId="2DFCCE45" w14:textId="77777777" w:rsidTr="00E12B99">
        <w:trPr>
          <w:trHeight w:hRule="exact" w:val="425"/>
        </w:trPr>
        <w:tc>
          <w:tcPr>
            <w:tcW w:w="6086" w:type="dxa"/>
            <w:tcBorders>
              <w:top w:val="nil"/>
              <w:bottom w:val="nil"/>
            </w:tcBorders>
            <w:shd w:val="clear" w:color="auto" w:fill="auto"/>
            <w:vAlign w:val="center"/>
          </w:tcPr>
          <w:p w14:paraId="2242D401" w14:textId="29F47D42" w:rsidR="00FB44FE" w:rsidRPr="00E75483" w:rsidRDefault="00FB44FE" w:rsidP="00F6554A">
            <w:pPr>
              <w:spacing w:before="110" w:after="50"/>
              <w:ind w:left="113"/>
              <w:rPr>
                <w:rFonts w:eastAsia="SimSun"/>
                <w:b/>
                <w:color w:val="000000"/>
                <w:spacing w:val="-5"/>
                <w:szCs w:val="24"/>
                <w:lang w:eastAsia="zh-CN"/>
              </w:rPr>
            </w:pPr>
            <w:r w:rsidRPr="00E75483">
              <w:rPr>
                <w:rFonts w:eastAsia="SimSun"/>
                <w:b/>
                <w:color w:val="000000"/>
                <w:spacing w:val="-5"/>
                <w:szCs w:val="24"/>
                <w:lang w:eastAsia="zh-CN"/>
              </w:rPr>
              <w:t xml:space="preserve">Original IA/RPC No: </w:t>
            </w:r>
            <w:sdt>
              <w:sdtPr>
                <w:rPr>
                  <w:rFonts w:eastAsia="SimSun"/>
                  <w:b/>
                  <w:color w:val="000000"/>
                  <w:spacing w:val="-5"/>
                  <w:szCs w:val="24"/>
                  <w:lang w:eastAsia="zh-CN"/>
                </w:rPr>
                <w:id w:val="-144208034"/>
                <w:placeholder>
                  <w:docPart w:val="1113A45D448A4F3CB3079362785C5F50"/>
                </w:placeholder>
              </w:sdtPr>
              <w:sdtEndPr/>
              <w:sdtContent>
                <w:r w:rsidR="00B95E62" w:rsidRPr="00B95E62">
                  <w:rPr>
                    <w:rFonts w:eastAsia="SimSun"/>
                    <w:bCs/>
                    <w:color w:val="000000"/>
                    <w:spacing w:val="-5"/>
                    <w:szCs w:val="24"/>
                    <w:lang w:eastAsia="zh-CN"/>
                  </w:rPr>
                  <w:t>RPC-4007(1)-HMT</w:t>
                </w:r>
              </w:sdtContent>
            </w:sdt>
          </w:p>
          <w:p w14:paraId="78CBDD89" w14:textId="77777777" w:rsidR="00FB44FE" w:rsidRPr="00E75483" w:rsidRDefault="00FB44FE" w:rsidP="00F6554A">
            <w:pPr>
              <w:ind w:left="113"/>
              <w:rPr>
                <w:rFonts w:ascii="Calibri" w:eastAsia="SimSun" w:hAnsi="Calibri" w:cs="Arial"/>
                <w:sz w:val="20"/>
                <w:szCs w:val="24"/>
              </w:rPr>
            </w:pPr>
          </w:p>
        </w:tc>
        <w:tc>
          <w:tcPr>
            <w:tcW w:w="4267" w:type="dxa"/>
            <w:shd w:val="clear" w:color="auto" w:fill="auto"/>
            <w:vAlign w:val="center"/>
          </w:tcPr>
          <w:p w14:paraId="3FFED34C" w14:textId="4035C9EF" w:rsidR="00FB44FE" w:rsidRPr="00E75483" w:rsidRDefault="00FB44FE" w:rsidP="00F6554A">
            <w:pPr>
              <w:ind w:left="142"/>
              <w:rPr>
                <w:rFonts w:asciiTheme="minorHAnsi" w:eastAsia="SimSun" w:hAnsiTheme="minorHAnsi" w:cstheme="minorBidi"/>
                <w:lang w:eastAsia="en-GB"/>
              </w:rPr>
            </w:pPr>
            <w:r w:rsidRPr="00E75483">
              <w:rPr>
                <w:rFonts w:eastAsia="SimSun"/>
                <w:b/>
                <w:color w:val="000000"/>
                <w:spacing w:val="-5"/>
                <w:szCs w:val="24"/>
                <w:lang w:eastAsia="zh-CN"/>
              </w:rPr>
              <w:t xml:space="preserve">Type of regulation:  </w:t>
            </w:r>
            <w:sdt>
              <w:sdtPr>
                <w:rPr>
                  <w:rFonts w:eastAsia="SimSun"/>
                  <w:b/>
                  <w:color w:val="000000"/>
                  <w:spacing w:val="-5"/>
                  <w:sz w:val="20"/>
                  <w:szCs w:val="20"/>
                  <w:lang w:eastAsia="zh-CN"/>
                </w:rPr>
                <w:id w:val="-531804822"/>
                <w:placeholder>
                  <w:docPart w:val="158A7B0A85CC4EA28EB3B09A223E2EA7"/>
                </w:placeholder>
                <w:dropDownList>
                  <w:listItem w:value="Choose an item."/>
                  <w:listItem w:displayText="Domestic" w:value="Domestic"/>
                  <w:listItem w:displayText="EU" w:value="EU"/>
                </w:dropDownList>
              </w:sdtPr>
              <w:sdtEndPr>
                <w:rPr>
                  <w:sz w:val="24"/>
                  <w:szCs w:val="24"/>
                </w:rPr>
              </w:sdtEndPr>
              <w:sdtContent>
                <w:r w:rsidR="00516250">
                  <w:rPr>
                    <w:rFonts w:eastAsia="SimSun"/>
                    <w:b/>
                    <w:color w:val="000000"/>
                    <w:spacing w:val="-5"/>
                    <w:sz w:val="20"/>
                    <w:szCs w:val="20"/>
                    <w:lang w:eastAsia="zh-CN"/>
                  </w:rPr>
                  <w:t>Domestic</w:t>
                </w:r>
              </w:sdtContent>
            </w:sdt>
          </w:p>
        </w:tc>
      </w:tr>
      <w:tr w:rsidR="00FB44FE" w:rsidRPr="00E75483" w14:paraId="519C105C" w14:textId="77777777" w:rsidTr="00E12B99">
        <w:trPr>
          <w:trHeight w:hRule="exact" w:val="485"/>
        </w:trPr>
        <w:tc>
          <w:tcPr>
            <w:tcW w:w="6086" w:type="dxa"/>
            <w:tcBorders>
              <w:top w:val="nil"/>
              <w:bottom w:val="nil"/>
            </w:tcBorders>
            <w:shd w:val="clear" w:color="auto" w:fill="auto"/>
            <w:vAlign w:val="center"/>
          </w:tcPr>
          <w:p w14:paraId="568207BB" w14:textId="29981AF1" w:rsidR="00FB44FE" w:rsidRPr="00E75483" w:rsidRDefault="00FB44FE" w:rsidP="00F6554A">
            <w:pPr>
              <w:spacing w:before="110" w:after="50"/>
              <w:ind w:left="113"/>
              <w:rPr>
                <w:rFonts w:eastAsia="SimSun"/>
                <w:b/>
                <w:color w:val="000000"/>
                <w:spacing w:val="-5"/>
                <w:szCs w:val="24"/>
                <w:lang w:eastAsia="zh-CN"/>
              </w:rPr>
            </w:pPr>
            <w:r w:rsidRPr="00E75483">
              <w:rPr>
                <w:rFonts w:eastAsia="SimSun"/>
                <w:b/>
                <w:color w:val="000000"/>
                <w:spacing w:val="-5"/>
                <w:szCs w:val="24"/>
                <w:lang w:eastAsia="zh-CN"/>
              </w:rPr>
              <w:t>Lead department or agency:</w:t>
            </w:r>
            <w:r>
              <w:rPr>
                <w:rFonts w:eastAsia="SimSun"/>
                <w:b/>
                <w:color w:val="000000"/>
                <w:spacing w:val="-5"/>
                <w:szCs w:val="24"/>
                <w:lang w:eastAsia="zh-CN"/>
              </w:rPr>
              <w:t xml:space="preserve"> </w:t>
            </w:r>
            <w:sdt>
              <w:sdtPr>
                <w:rPr>
                  <w:rFonts w:eastAsia="SimSun"/>
                  <w:bCs/>
                  <w:color w:val="000000"/>
                  <w:spacing w:val="-5"/>
                  <w:szCs w:val="20"/>
                  <w:lang w:eastAsia="zh-CN"/>
                </w:rPr>
                <w:id w:val="1553043058"/>
                <w:placeholder>
                  <w:docPart w:val="F3A97EFDDC9E4ECA8968905F9E33617A"/>
                </w:placeholder>
              </w:sdtPr>
              <w:sdtEndPr/>
              <w:sdtContent>
                <w:r w:rsidR="001B336D" w:rsidRPr="001B336D">
                  <w:rPr>
                    <w:rFonts w:eastAsia="SimSun"/>
                    <w:bCs/>
                    <w:color w:val="000000"/>
                    <w:spacing w:val="-5"/>
                    <w:szCs w:val="20"/>
                    <w:lang w:eastAsia="zh-CN"/>
                  </w:rPr>
                  <w:t>HM Treasury</w:t>
                </w:r>
              </w:sdtContent>
            </w:sdt>
          </w:p>
          <w:p w14:paraId="556F6288" w14:textId="77777777" w:rsidR="00FB44FE" w:rsidRPr="00E75483" w:rsidRDefault="00FB44FE" w:rsidP="00F6554A">
            <w:pPr>
              <w:ind w:left="113"/>
              <w:rPr>
                <w:rFonts w:ascii="Calibri" w:eastAsia="SimSun" w:hAnsi="Calibri" w:cs="Arial"/>
                <w:sz w:val="20"/>
                <w:szCs w:val="24"/>
              </w:rPr>
            </w:pPr>
          </w:p>
        </w:tc>
        <w:tc>
          <w:tcPr>
            <w:tcW w:w="4267" w:type="dxa"/>
            <w:tcBorders>
              <w:bottom w:val="single" w:sz="4" w:space="0" w:color="auto"/>
            </w:tcBorders>
            <w:shd w:val="clear" w:color="auto" w:fill="auto"/>
            <w:vAlign w:val="center"/>
          </w:tcPr>
          <w:p w14:paraId="2D23CDD4" w14:textId="6F5EE96A" w:rsidR="00FB44FE" w:rsidRPr="00E75483" w:rsidRDefault="00FB44FE" w:rsidP="00F6554A">
            <w:pPr>
              <w:ind w:left="142"/>
              <w:rPr>
                <w:rFonts w:asciiTheme="minorHAnsi" w:eastAsia="SimSun" w:hAnsiTheme="minorHAnsi" w:cstheme="minorBidi"/>
                <w:lang w:eastAsia="en-GB"/>
              </w:rPr>
            </w:pPr>
            <w:r w:rsidRPr="00E75483">
              <w:rPr>
                <w:rFonts w:eastAsia="SimSun"/>
                <w:b/>
                <w:color w:val="000000"/>
                <w:spacing w:val="-5"/>
                <w:szCs w:val="24"/>
                <w:lang w:eastAsia="zh-CN"/>
              </w:rPr>
              <w:t xml:space="preserve">Type of review:  </w:t>
            </w:r>
            <w:sdt>
              <w:sdtPr>
                <w:rPr>
                  <w:rFonts w:eastAsia="SimSun"/>
                  <w:b/>
                  <w:color w:val="000000"/>
                  <w:spacing w:val="-5"/>
                  <w:szCs w:val="24"/>
                  <w:lang w:eastAsia="zh-CN"/>
                </w:rPr>
                <w:id w:val="1179546308"/>
                <w:placeholder>
                  <w:docPart w:val="CE978E46EE994C5BAC6288FFBCE328F2"/>
                </w:placeholder>
                <w:dropDownList>
                  <w:listItem w:value="Choose an item."/>
                  <w:listItem w:displayText="Statutory" w:value="Statutory"/>
                  <w:listItem w:displayText="Non-statutory" w:value="Non-statutory"/>
                </w:dropDownList>
              </w:sdtPr>
              <w:sdtEndPr/>
              <w:sdtContent>
                <w:r w:rsidR="001B336D">
                  <w:rPr>
                    <w:rFonts w:eastAsia="SimSun"/>
                    <w:b/>
                    <w:color w:val="000000"/>
                    <w:spacing w:val="-5"/>
                    <w:szCs w:val="24"/>
                    <w:lang w:eastAsia="zh-CN"/>
                  </w:rPr>
                  <w:t>Statutory</w:t>
                </w:r>
              </w:sdtContent>
            </w:sdt>
          </w:p>
        </w:tc>
      </w:tr>
      <w:tr w:rsidR="00FB44FE" w:rsidRPr="00E75483" w14:paraId="048E76AE" w14:textId="77777777" w:rsidTr="00E12B99">
        <w:trPr>
          <w:trHeight w:hRule="exact" w:val="481"/>
        </w:trPr>
        <w:tc>
          <w:tcPr>
            <w:tcW w:w="6086" w:type="dxa"/>
            <w:tcBorders>
              <w:top w:val="nil"/>
              <w:bottom w:val="nil"/>
            </w:tcBorders>
            <w:shd w:val="clear" w:color="auto" w:fill="auto"/>
            <w:vAlign w:val="center"/>
          </w:tcPr>
          <w:p w14:paraId="6B2C8B29" w14:textId="16B92AFD" w:rsidR="00FB44FE" w:rsidRPr="00E75483" w:rsidRDefault="00FB44FE" w:rsidP="00F6554A">
            <w:pPr>
              <w:spacing w:before="50"/>
              <w:ind w:left="113" w:right="113"/>
              <w:rPr>
                <w:rFonts w:eastAsia="SimSun"/>
                <w:b/>
                <w:color w:val="000000"/>
                <w:spacing w:val="-5"/>
                <w:szCs w:val="24"/>
                <w:lang w:eastAsia="zh-CN"/>
              </w:rPr>
            </w:pPr>
            <w:r w:rsidRPr="00E75483">
              <w:rPr>
                <w:rFonts w:eastAsia="SimSun"/>
                <w:b/>
                <w:color w:val="000000"/>
                <w:spacing w:val="-5"/>
                <w:szCs w:val="24"/>
                <w:lang w:eastAsia="zh-CN"/>
              </w:rPr>
              <w:t xml:space="preserve">Other departments or agencies:   </w:t>
            </w:r>
          </w:p>
        </w:tc>
        <w:tc>
          <w:tcPr>
            <w:tcW w:w="4267" w:type="dxa"/>
            <w:tcBorders>
              <w:bottom w:val="nil"/>
            </w:tcBorders>
            <w:shd w:val="clear" w:color="auto" w:fill="auto"/>
            <w:vAlign w:val="center"/>
          </w:tcPr>
          <w:p w14:paraId="26E399C2" w14:textId="77777777" w:rsidR="00FB44FE" w:rsidRPr="00E75483" w:rsidRDefault="00FB44FE" w:rsidP="00FB44FE">
            <w:pPr>
              <w:ind w:left="142"/>
              <w:rPr>
                <w:rFonts w:asciiTheme="minorHAnsi" w:eastAsia="SimSun" w:hAnsiTheme="minorHAnsi" w:cstheme="minorBidi"/>
                <w:lang w:eastAsia="en-GB"/>
              </w:rPr>
            </w:pPr>
            <w:r w:rsidRPr="00E75483">
              <w:rPr>
                <w:rFonts w:eastAsia="SimSun"/>
                <w:b/>
                <w:color w:val="000000"/>
                <w:spacing w:val="-5"/>
                <w:szCs w:val="24"/>
                <w:lang w:eastAsia="zh-CN"/>
              </w:rPr>
              <w:t xml:space="preserve">Date measure came into force:  </w:t>
            </w:r>
          </w:p>
        </w:tc>
      </w:tr>
      <w:tr w:rsidR="00FB44FE" w:rsidRPr="00E75483" w14:paraId="4F6B8D64" w14:textId="77777777" w:rsidTr="00E12B99">
        <w:trPr>
          <w:trHeight w:hRule="exact" w:val="425"/>
        </w:trPr>
        <w:tc>
          <w:tcPr>
            <w:tcW w:w="6086" w:type="dxa"/>
            <w:tcBorders>
              <w:top w:val="nil"/>
              <w:bottom w:val="nil"/>
            </w:tcBorders>
            <w:shd w:val="clear" w:color="auto" w:fill="auto"/>
          </w:tcPr>
          <w:p w14:paraId="686BA476" w14:textId="17CCBF3D" w:rsidR="00FB44FE" w:rsidRPr="001B336D" w:rsidRDefault="00DB35E7" w:rsidP="00F6554A">
            <w:pPr>
              <w:ind w:left="113"/>
              <w:rPr>
                <w:rFonts w:ascii="Calibri" w:eastAsia="SimSun" w:hAnsi="Calibri" w:cs="Arial"/>
                <w:bCs/>
                <w:sz w:val="20"/>
                <w:szCs w:val="24"/>
              </w:rPr>
            </w:pPr>
            <w:sdt>
              <w:sdtPr>
                <w:rPr>
                  <w:rFonts w:eastAsia="SimSun"/>
                  <w:bCs/>
                  <w:color w:val="000000"/>
                  <w:spacing w:val="-5"/>
                  <w:szCs w:val="24"/>
                  <w:lang w:eastAsia="zh-CN"/>
                </w:rPr>
                <w:id w:val="65383828"/>
                <w:placeholder>
                  <w:docPart w:val="DDE40D88EA984057B22C1B10B2CE26B2"/>
                </w:placeholder>
              </w:sdtPr>
              <w:sdtEndPr/>
              <w:sdtContent>
                <w:r w:rsidR="001B336D" w:rsidRPr="001B336D">
                  <w:rPr>
                    <w:rFonts w:eastAsia="SimSun"/>
                    <w:bCs/>
                    <w:color w:val="000000"/>
                    <w:spacing w:val="-5"/>
                    <w:szCs w:val="24"/>
                    <w:lang w:eastAsia="zh-CN"/>
                  </w:rPr>
                  <w:t>Financial Conduct Authority (FCA)</w:t>
                </w:r>
              </w:sdtContent>
            </w:sdt>
          </w:p>
        </w:tc>
        <w:tc>
          <w:tcPr>
            <w:tcW w:w="4267" w:type="dxa"/>
            <w:tcBorders>
              <w:top w:val="nil"/>
            </w:tcBorders>
            <w:shd w:val="clear" w:color="auto" w:fill="auto"/>
          </w:tcPr>
          <w:p w14:paraId="04912600" w14:textId="1E6026AE" w:rsidR="00FB44FE" w:rsidRPr="00BD7DFC" w:rsidRDefault="00DB35E7" w:rsidP="00FB44FE">
            <w:pPr>
              <w:ind w:left="113" w:right="113"/>
              <w:rPr>
                <w:rFonts w:eastAsia="SimSun" w:cs="Arial"/>
                <w:lang w:eastAsia="en-GB"/>
              </w:rPr>
            </w:pPr>
            <w:sdt>
              <w:sdtPr>
                <w:rPr>
                  <w:rFonts w:eastAsia="SimSun"/>
                  <w:b/>
                  <w:color w:val="000000"/>
                  <w:spacing w:val="-5"/>
                  <w:szCs w:val="24"/>
                  <w:lang w:eastAsia="zh-CN"/>
                </w:rPr>
                <w:id w:val="-601483073"/>
                <w:placeholder>
                  <w:docPart w:val="898FEDAD1042462BA0AFE067F1F9666D"/>
                </w:placeholder>
                <w:date w:fullDate="2017-06-26T00:00:00Z">
                  <w:dateFormat w:val="dd/MM/yyyy"/>
                  <w:lid w:val="en-GB"/>
                  <w:storeMappedDataAs w:val="dateTime"/>
                  <w:calendar w:val="gregorian"/>
                </w:date>
              </w:sdtPr>
              <w:sdtEndPr/>
              <w:sdtContent>
                <w:r w:rsidR="005C600F">
                  <w:rPr>
                    <w:rFonts w:eastAsia="SimSun"/>
                    <w:b/>
                    <w:color w:val="000000"/>
                    <w:spacing w:val="-5"/>
                    <w:szCs w:val="24"/>
                    <w:lang w:eastAsia="zh-CN"/>
                  </w:rPr>
                  <w:t>26/06/2017</w:t>
                </w:r>
              </w:sdtContent>
            </w:sdt>
          </w:p>
        </w:tc>
      </w:tr>
      <w:tr w:rsidR="00FB44FE" w:rsidRPr="00E75483" w14:paraId="5C61E339" w14:textId="77777777" w:rsidTr="00E12B99">
        <w:trPr>
          <w:trHeight w:hRule="exact" w:val="418"/>
        </w:trPr>
        <w:tc>
          <w:tcPr>
            <w:tcW w:w="6086" w:type="dxa"/>
            <w:tcBorders>
              <w:top w:val="nil"/>
              <w:bottom w:val="nil"/>
            </w:tcBorders>
            <w:shd w:val="clear" w:color="auto" w:fill="auto"/>
            <w:vAlign w:val="center"/>
          </w:tcPr>
          <w:p w14:paraId="6C1C026D" w14:textId="77777777" w:rsidR="00FB44FE" w:rsidRPr="00E75483" w:rsidRDefault="00FB44FE" w:rsidP="00F6554A">
            <w:pPr>
              <w:tabs>
                <w:tab w:val="left" w:pos="3936"/>
              </w:tabs>
              <w:autoSpaceDE w:val="0"/>
              <w:autoSpaceDN w:val="0"/>
              <w:adjustRightInd w:val="0"/>
              <w:spacing w:after="200" w:line="276" w:lineRule="auto"/>
              <w:ind w:left="142"/>
              <w:rPr>
                <w:rFonts w:eastAsiaTheme="minorEastAsia" w:cs="Arial"/>
                <w:lang w:eastAsia="en-GB"/>
              </w:rPr>
            </w:pPr>
          </w:p>
        </w:tc>
        <w:tc>
          <w:tcPr>
            <w:tcW w:w="4267" w:type="dxa"/>
            <w:shd w:val="clear" w:color="auto" w:fill="FFFFFF" w:themeFill="background1"/>
            <w:vAlign w:val="center"/>
          </w:tcPr>
          <w:p w14:paraId="09960C48" w14:textId="385361B0" w:rsidR="00FB44FE" w:rsidRPr="00FB44FE" w:rsidRDefault="00FB44FE" w:rsidP="00FB44FE">
            <w:pPr>
              <w:ind w:left="113" w:right="113"/>
              <w:rPr>
                <w:rFonts w:eastAsia="SimSun"/>
                <w:b/>
                <w:color w:val="000000"/>
                <w:spacing w:val="-5"/>
                <w:szCs w:val="24"/>
                <w:lang w:eastAsia="zh-CN"/>
              </w:rPr>
            </w:pPr>
            <w:r w:rsidRPr="00E75483">
              <w:rPr>
                <w:rFonts w:eastAsia="SimSun"/>
                <w:b/>
                <w:color w:val="000000"/>
                <w:spacing w:val="-5"/>
                <w:szCs w:val="24"/>
                <w:lang w:eastAsia="zh-CN"/>
              </w:rPr>
              <w:t xml:space="preserve">Recommendation:  </w:t>
            </w:r>
            <w:sdt>
              <w:sdtPr>
                <w:rPr>
                  <w:rFonts w:eastAsia="SimSun"/>
                  <w:b/>
                  <w:color w:val="000000"/>
                  <w:spacing w:val="-5"/>
                  <w:szCs w:val="24"/>
                  <w:lang w:eastAsia="zh-CN"/>
                </w:rPr>
                <w:id w:val="-1832674736"/>
                <w:placeholder>
                  <w:docPart w:val="2D599A6A128F431AAF1476D664D64650"/>
                </w:placeholder>
                <w:dropDownList>
                  <w:listItem w:value="Choose an item."/>
                  <w:listItem w:displayText="Keep" w:value="Keep"/>
                  <w:listItem w:displayText="Amend" w:value="Amend"/>
                  <w:listItem w:displayText="Repeal" w:value="Repeal"/>
                  <w:listItem w:displayText="Replace" w:value="Replace"/>
                </w:dropDownList>
              </w:sdtPr>
              <w:sdtEndPr/>
              <w:sdtContent>
                <w:r w:rsidR="00C717C7">
                  <w:rPr>
                    <w:rFonts w:eastAsia="SimSun"/>
                    <w:b/>
                    <w:color w:val="000000"/>
                    <w:spacing w:val="-5"/>
                    <w:szCs w:val="24"/>
                    <w:lang w:eastAsia="zh-CN"/>
                  </w:rPr>
                  <w:t>Amend</w:t>
                </w:r>
              </w:sdtContent>
            </w:sdt>
          </w:p>
        </w:tc>
      </w:tr>
      <w:tr w:rsidR="00FB44FE" w:rsidRPr="00E75483" w14:paraId="34CB25B8" w14:textId="77777777" w:rsidTr="007D0199">
        <w:trPr>
          <w:trHeight w:hRule="exact" w:val="685"/>
        </w:trPr>
        <w:tc>
          <w:tcPr>
            <w:tcW w:w="6086" w:type="dxa"/>
            <w:tcBorders>
              <w:top w:val="nil"/>
            </w:tcBorders>
            <w:shd w:val="clear" w:color="auto" w:fill="auto"/>
            <w:vAlign w:val="center"/>
          </w:tcPr>
          <w:p w14:paraId="3256DCF9" w14:textId="235A3553" w:rsidR="00FB44FE" w:rsidRPr="00E75483" w:rsidRDefault="00FB44FE" w:rsidP="00F6554A">
            <w:pPr>
              <w:tabs>
                <w:tab w:val="left" w:pos="3936"/>
              </w:tabs>
              <w:autoSpaceDE w:val="0"/>
              <w:autoSpaceDN w:val="0"/>
              <w:adjustRightInd w:val="0"/>
              <w:spacing w:after="200" w:line="276" w:lineRule="auto"/>
              <w:ind w:left="142"/>
              <w:rPr>
                <w:rFonts w:asciiTheme="minorHAnsi" w:eastAsiaTheme="minorEastAsia" w:hAnsiTheme="minorHAnsi" w:cstheme="minorBidi"/>
                <w:sz w:val="28"/>
                <w:szCs w:val="28"/>
                <w:lang w:eastAsia="en-GB"/>
              </w:rPr>
            </w:pPr>
            <w:r w:rsidRPr="00E75483">
              <w:rPr>
                <w:rFonts w:eastAsiaTheme="minorEastAsia" w:cs="Arial"/>
                <w:lang w:eastAsia="en-GB"/>
              </w:rPr>
              <w:t>Contact for enquiries:</w:t>
            </w:r>
            <w:r w:rsidRPr="00E75483">
              <w:rPr>
                <w:rFonts w:asciiTheme="minorHAnsi" w:eastAsiaTheme="minorEastAsia" w:hAnsiTheme="minorHAnsi" w:cstheme="minorBidi"/>
                <w:szCs w:val="24"/>
                <w:lang w:eastAsia="en-GB"/>
              </w:rPr>
              <w:t xml:space="preserve">  </w:t>
            </w:r>
            <w:sdt>
              <w:sdtPr>
                <w:rPr>
                  <w:rFonts w:eastAsia="SimSun"/>
                  <w:b/>
                  <w:color w:val="000000"/>
                  <w:spacing w:val="-5"/>
                  <w:szCs w:val="24"/>
                  <w:lang w:eastAsia="zh-CN"/>
                </w:rPr>
                <w:id w:val="-1286339966"/>
                <w:placeholder>
                  <w:docPart w:val="DAC78B3A0A33455B8CD38464899BF10F"/>
                </w:placeholder>
              </w:sdtPr>
              <w:sdtEndPr/>
              <w:sdtContent>
                <w:sdt>
                  <w:sdtPr>
                    <w:rPr>
                      <w:rFonts w:eastAsia="SimSun"/>
                      <w:b/>
                      <w:color w:val="000000"/>
                      <w:spacing w:val="-5"/>
                      <w:szCs w:val="24"/>
                      <w:lang w:eastAsia="zh-CN"/>
                    </w:rPr>
                    <w:id w:val="-367763996"/>
                    <w:placeholder>
                      <w:docPart w:val="40F3A8CC909B4C83BE5300B0E52DA25E"/>
                    </w:placeholder>
                  </w:sdtPr>
                  <w:sdtEndPr/>
                  <w:sdtContent>
                    <w:r w:rsidR="007D0199" w:rsidRPr="00235709">
                      <w:rPr>
                        <w:rFonts w:eastAsia="SimSun"/>
                        <w:b/>
                        <w:color w:val="000000"/>
                        <w:spacing w:val="-5"/>
                        <w:szCs w:val="24"/>
                        <w:lang w:eastAsia="zh-CN"/>
                      </w:rPr>
                      <w:t>anti-moneylaunderingbranch@hmtreasury.gov.uk</w:t>
                    </w:r>
                  </w:sdtContent>
                </w:sdt>
              </w:sdtContent>
            </w:sdt>
            <w:r w:rsidRPr="00E75483">
              <w:rPr>
                <w:rFonts w:asciiTheme="minorHAnsi" w:eastAsiaTheme="minorEastAsia" w:hAnsiTheme="minorHAnsi" w:cstheme="minorBidi"/>
                <w:sz w:val="28"/>
                <w:szCs w:val="28"/>
                <w:lang w:eastAsia="en-GB"/>
              </w:rPr>
              <w:tab/>
            </w:r>
          </w:p>
        </w:tc>
        <w:tc>
          <w:tcPr>
            <w:tcW w:w="4267" w:type="dxa"/>
            <w:shd w:val="clear" w:color="auto" w:fill="FFFFFF" w:themeFill="background1"/>
            <w:vAlign w:val="center"/>
          </w:tcPr>
          <w:p w14:paraId="4967F913" w14:textId="4A53D694" w:rsidR="00FB44FE" w:rsidRPr="00E75483" w:rsidRDefault="00FB44FE" w:rsidP="00F6554A">
            <w:pPr>
              <w:ind w:left="113"/>
              <w:outlineLvl w:val="0"/>
              <w:rPr>
                <w:rFonts w:eastAsia="SimSun" w:cs="Arial"/>
                <w:b/>
                <w:kern w:val="28"/>
              </w:rPr>
            </w:pPr>
            <w:bookmarkStart w:id="0" w:name="_Toc1400839892"/>
            <w:bookmarkStart w:id="1" w:name="_Toc104977792"/>
            <w:r w:rsidRPr="7525DD66">
              <w:rPr>
                <w:rFonts w:eastAsia="SimSun" w:cs="Arial"/>
                <w:b/>
                <w:kern w:val="28"/>
              </w:rPr>
              <w:t>RPC Opinion:</w:t>
            </w:r>
            <w:r w:rsidR="00892578">
              <w:rPr>
                <w:rFonts w:eastAsia="SimSun" w:cs="Arial"/>
                <w:b/>
                <w:kern w:val="28"/>
              </w:rPr>
              <w:t xml:space="preserve"> </w:t>
            </w:r>
            <w:r w:rsidR="00904401">
              <w:rPr>
                <w:rFonts w:eastAsia="SimSun" w:cs="Arial"/>
                <w:b/>
                <w:kern w:val="28"/>
              </w:rPr>
              <w:t>Fit for purpose</w:t>
            </w:r>
            <w:r w:rsidRPr="7525DD66">
              <w:rPr>
                <w:rFonts w:eastAsia="SimSun" w:cs="Arial"/>
                <w:b/>
                <w:kern w:val="28"/>
              </w:rPr>
              <w:t xml:space="preserve"> </w:t>
            </w:r>
            <w:bookmarkEnd w:id="0"/>
            <w:bookmarkEnd w:id="1"/>
          </w:p>
        </w:tc>
      </w:tr>
    </w:tbl>
    <w:p w14:paraId="7072D92F" w14:textId="77777777" w:rsidR="00FB44FE" w:rsidRPr="00CE1D6F" w:rsidRDefault="00FB44FE">
      <w:pPr>
        <w:rPr>
          <w:rFonts w:cs="Arial"/>
          <w:sz w:val="4"/>
          <w:szCs w:val="4"/>
        </w:rPr>
      </w:pPr>
    </w:p>
    <w:tbl>
      <w:tblPr>
        <w:tblpPr w:leftFromText="180" w:rightFromText="180" w:vertAnchor="text" w:horzAnchor="margin" w:tblpX="85" w:tblpY="108"/>
        <w:tblW w:w="10345"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1E0" w:firstRow="1" w:lastRow="1" w:firstColumn="1" w:lastColumn="1" w:noHBand="0" w:noVBand="0"/>
      </w:tblPr>
      <w:tblGrid>
        <w:gridCol w:w="10345"/>
      </w:tblGrid>
      <w:tr w:rsidR="00CE1D6F" w:rsidRPr="00FB44FE" w14:paraId="65BEFCFC" w14:textId="77777777" w:rsidTr="380134FD">
        <w:trPr>
          <w:trHeight w:val="71"/>
        </w:trPr>
        <w:tc>
          <w:tcPr>
            <w:tcW w:w="10345" w:type="dxa"/>
            <w:tcBorders>
              <w:top w:val="nil"/>
              <w:left w:val="nil"/>
              <w:bottom w:val="single" w:sz="4" w:space="0" w:color="auto"/>
              <w:right w:val="nil"/>
            </w:tcBorders>
          </w:tcPr>
          <w:p w14:paraId="0102DC03" w14:textId="77777777" w:rsidR="00CE1D6F" w:rsidRPr="00CE1D6F" w:rsidRDefault="00CE1D6F" w:rsidP="00BD7DFC">
            <w:pPr>
              <w:ind w:left="113" w:right="113"/>
              <w:rPr>
                <w:rFonts w:eastAsia="SimSun"/>
                <w:b/>
                <w:color w:val="000000"/>
                <w:spacing w:val="-5"/>
                <w:sz w:val="4"/>
                <w:szCs w:val="4"/>
                <w:lang w:eastAsia="zh-CN"/>
              </w:rPr>
            </w:pPr>
            <w:r w:rsidRPr="00CE1D6F">
              <w:rPr>
                <w:rFonts w:eastAsia="SimSun"/>
                <w:b/>
                <w:color w:val="FFFFFF" w:themeColor="background1"/>
                <w:spacing w:val="-5"/>
                <w:sz w:val="4"/>
                <w:szCs w:val="4"/>
                <w:lang w:eastAsia="zh-CN"/>
              </w:rPr>
              <w:t>Questions</w:t>
            </w:r>
          </w:p>
        </w:tc>
      </w:tr>
      <w:tr w:rsidR="00CE1D6F" w:rsidRPr="00FB44FE" w14:paraId="698718AC" w14:textId="77777777" w:rsidTr="380134FD">
        <w:trPr>
          <w:trHeight w:val="1618"/>
        </w:trPr>
        <w:tc>
          <w:tcPr>
            <w:tcW w:w="10345" w:type="dxa"/>
            <w:tcBorders>
              <w:top w:val="single" w:sz="4" w:space="0" w:color="auto"/>
              <w:bottom w:val="nil"/>
            </w:tcBorders>
          </w:tcPr>
          <w:p w14:paraId="367B0A9C" w14:textId="5E80ABA2" w:rsidR="00CE1D6F" w:rsidRPr="00844C44" w:rsidRDefault="00CE1D6F" w:rsidP="000944DC">
            <w:pPr>
              <w:pStyle w:val="ListParagraph"/>
              <w:numPr>
                <w:ilvl w:val="0"/>
                <w:numId w:val="38"/>
              </w:numPr>
              <w:spacing w:before="120" w:after="50"/>
              <w:ind w:right="113"/>
              <w:rPr>
                <w:rFonts w:eastAsia="SimSun"/>
                <w:color w:val="000000"/>
                <w:spacing w:val="-5"/>
                <w:szCs w:val="24"/>
                <w:lang w:eastAsia="zh-CN"/>
              </w:rPr>
            </w:pPr>
            <w:r w:rsidRPr="007F39AA">
              <w:rPr>
                <w:rFonts w:eastAsia="SimSun"/>
                <w:b/>
                <w:color w:val="000000"/>
                <w:spacing w:val="-5"/>
                <w:szCs w:val="24"/>
                <w:lang w:eastAsia="zh-CN"/>
              </w:rPr>
              <w:t xml:space="preserve">What were the policy objectives of the measure? </w:t>
            </w:r>
          </w:p>
          <w:p w14:paraId="1520B7CC" w14:textId="3F6BEC50" w:rsidR="00C6021F" w:rsidRDefault="000908C0" w:rsidP="2F7DB547">
            <w:pPr>
              <w:spacing w:before="120" w:after="50"/>
              <w:ind w:right="113"/>
              <w:rPr>
                <w:rFonts w:eastAsia="SimSun"/>
                <w:color w:val="000000"/>
                <w:spacing w:val="-5"/>
                <w:lang w:eastAsia="zh-CN"/>
              </w:rPr>
            </w:pPr>
            <w:r w:rsidRPr="2F7DB547">
              <w:rPr>
                <w:rFonts w:eastAsia="SimSun"/>
                <w:color w:val="000000"/>
                <w:spacing w:val="-5"/>
                <w:lang w:eastAsia="zh-CN"/>
              </w:rPr>
              <w:t>T</w:t>
            </w:r>
            <w:r w:rsidR="00C07B12" w:rsidRPr="2F7DB547">
              <w:rPr>
                <w:rFonts w:eastAsia="SimSun"/>
                <w:color w:val="000000"/>
                <w:spacing w:val="-5"/>
                <w:lang w:eastAsia="zh-CN"/>
              </w:rPr>
              <w:t>h</w:t>
            </w:r>
            <w:r w:rsidR="003C66FF" w:rsidRPr="2F7DB547">
              <w:rPr>
                <w:rFonts w:eastAsia="SimSun"/>
                <w:color w:val="000000"/>
                <w:spacing w:val="-5"/>
                <w:lang w:eastAsia="zh-CN"/>
              </w:rPr>
              <w:t>e Office for Professional Body AML Supervis</w:t>
            </w:r>
            <w:r w:rsidR="0043196F" w:rsidRPr="2F7DB547">
              <w:rPr>
                <w:rFonts w:eastAsia="SimSun"/>
                <w:color w:val="000000"/>
                <w:spacing w:val="-5"/>
                <w:lang w:eastAsia="zh-CN"/>
              </w:rPr>
              <w:t>ion</w:t>
            </w:r>
            <w:r w:rsidR="003C66FF" w:rsidRPr="2F7DB547">
              <w:rPr>
                <w:rFonts w:eastAsia="SimSun"/>
                <w:color w:val="000000"/>
                <w:spacing w:val="-5"/>
                <w:lang w:eastAsia="zh-CN"/>
              </w:rPr>
              <w:t xml:space="preserve"> </w:t>
            </w:r>
            <w:r w:rsidR="00DA2E25" w:rsidRPr="2F7DB547">
              <w:rPr>
                <w:rFonts w:eastAsia="SimSun"/>
                <w:color w:val="000000"/>
                <w:spacing w:val="-5"/>
                <w:lang w:eastAsia="zh-CN"/>
              </w:rPr>
              <w:t xml:space="preserve">Regulations (OPBAS) was </w:t>
            </w:r>
            <w:r w:rsidR="004C6B12" w:rsidRPr="2F7DB547">
              <w:rPr>
                <w:rFonts w:eastAsia="SimSun"/>
                <w:color w:val="000000"/>
                <w:spacing w:val="-5"/>
                <w:lang w:eastAsia="zh-CN"/>
              </w:rPr>
              <w:t>established to oversee</w:t>
            </w:r>
            <w:r w:rsidR="008601A4" w:rsidRPr="2F7DB547">
              <w:rPr>
                <w:rFonts w:eastAsia="SimSun"/>
                <w:color w:val="000000"/>
                <w:spacing w:val="-5"/>
                <w:lang w:eastAsia="zh-CN"/>
              </w:rPr>
              <w:t xml:space="preserve"> the anti-money laundering and counter terrorist financing (“AML” and “CTF”) supervision </w:t>
            </w:r>
            <w:r w:rsidR="00793059" w:rsidRPr="2F7DB547">
              <w:rPr>
                <w:rFonts w:eastAsia="SimSun"/>
                <w:color w:val="000000"/>
                <w:spacing w:val="-5"/>
                <w:lang w:eastAsia="zh-CN"/>
              </w:rPr>
              <w:t xml:space="preserve">of the </w:t>
            </w:r>
            <w:r w:rsidR="008601A4" w:rsidRPr="2F7DB547">
              <w:rPr>
                <w:rFonts w:eastAsia="SimSun"/>
                <w:color w:val="000000"/>
                <w:spacing w:val="-5"/>
                <w:lang w:eastAsia="zh-CN"/>
              </w:rPr>
              <w:t>accountancy and legal sectors by the Professional Body Supervisors (PBSs).</w:t>
            </w:r>
            <w:r w:rsidR="0092245B" w:rsidRPr="2F7DB547">
              <w:rPr>
                <w:rFonts w:eastAsia="SimSun"/>
                <w:color w:val="000000"/>
                <w:spacing w:val="-5"/>
                <w:lang w:eastAsia="zh-CN"/>
              </w:rPr>
              <w:t xml:space="preserve"> </w:t>
            </w:r>
            <w:r w:rsidR="00C02719" w:rsidRPr="00C02719">
              <w:rPr>
                <w:rFonts w:eastAsia="SimSun"/>
                <w:color w:val="000000"/>
                <w:spacing w:val="-5"/>
                <w:lang w:eastAsia="zh-CN"/>
              </w:rPr>
              <w:t xml:space="preserve">OPBAS </w:t>
            </w:r>
            <w:r w:rsidR="00C02719">
              <w:rPr>
                <w:rFonts w:eastAsia="SimSun"/>
                <w:color w:val="000000"/>
                <w:spacing w:val="-5"/>
                <w:lang w:eastAsia="zh-CN"/>
              </w:rPr>
              <w:t xml:space="preserve">currently </w:t>
            </w:r>
            <w:r w:rsidR="00C02719" w:rsidRPr="00C02719">
              <w:rPr>
                <w:rFonts w:eastAsia="SimSun"/>
                <w:color w:val="000000"/>
                <w:spacing w:val="-5"/>
                <w:lang w:eastAsia="zh-CN"/>
              </w:rPr>
              <w:t>oversee 22 PBSs responsible for AML and CTF supervision</w:t>
            </w:r>
            <w:r w:rsidR="00D872CF">
              <w:rPr>
                <w:rFonts w:eastAsia="SimSun"/>
                <w:color w:val="000000"/>
                <w:spacing w:val="-5"/>
                <w:lang w:eastAsia="zh-CN"/>
              </w:rPr>
              <w:t>,</w:t>
            </w:r>
            <w:r w:rsidR="00C02719" w:rsidRPr="00C02719">
              <w:rPr>
                <w:rFonts w:eastAsia="SimSun"/>
                <w:color w:val="000000"/>
                <w:spacing w:val="-5"/>
                <w:lang w:eastAsia="zh-CN"/>
              </w:rPr>
              <w:t xml:space="preserve"> plus an additional 3 PBSs </w:t>
            </w:r>
            <w:r w:rsidR="0040467F">
              <w:rPr>
                <w:rFonts w:eastAsia="SimSun"/>
                <w:color w:val="000000"/>
                <w:spacing w:val="-5"/>
                <w:lang w:eastAsia="zh-CN"/>
              </w:rPr>
              <w:t>from</w:t>
            </w:r>
            <w:r w:rsidR="00477C2F">
              <w:rPr>
                <w:rFonts w:eastAsia="SimSun"/>
                <w:color w:val="000000"/>
                <w:spacing w:val="-5"/>
                <w:lang w:eastAsia="zh-CN"/>
              </w:rPr>
              <w:t xml:space="preserve"> </w:t>
            </w:r>
            <w:r w:rsidR="00C02719" w:rsidRPr="00C02719">
              <w:rPr>
                <w:rFonts w:eastAsia="SimSun"/>
                <w:color w:val="000000"/>
                <w:spacing w:val="-5"/>
                <w:lang w:eastAsia="zh-CN"/>
              </w:rPr>
              <w:t xml:space="preserve">whom supervisory functions have been delegated. </w:t>
            </w:r>
          </w:p>
          <w:p w14:paraId="6AFC3B98" w14:textId="57E8B2D0" w:rsidR="00CE1D6F" w:rsidRPr="007F39AA" w:rsidRDefault="0092245B" w:rsidP="2F7DB547">
            <w:pPr>
              <w:spacing w:before="120" w:after="50"/>
              <w:ind w:right="113"/>
              <w:rPr>
                <w:rFonts w:eastAsia="SimSun"/>
                <w:b/>
                <w:bCs/>
                <w:color w:val="000000"/>
                <w:spacing w:val="-5"/>
                <w:lang w:eastAsia="zh-CN"/>
              </w:rPr>
            </w:pPr>
            <w:r w:rsidRPr="2F7DB547">
              <w:rPr>
                <w:rFonts w:eastAsia="SimSun"/>
                <w:color w:val="000000"/>
                <w:spacing w:val="-5"/>
                <w:lang w:eastAsia="zh-CN"/>
              </w:rPr>
              <w:t xml:space="preserve">The OPBAS objectives </w:t>
            </w:r>
            <w:r w:rsidR="00D514D9" w:rsidRPr="7EF754B6">
              <w:rPr>
                <w:rFonts w:eastAsia="SimSun"/>
                <w:color w:val="000000" w:themeColor="text1"/>
                <w:lang w:eastAsia="zh-CN"/>
              </w:rPr>
              <w:t xml:space="preserve">detailed in the Impact Assessment </w:t>
            </w:r>
            <w:r w:rsidRPr="2F7DB547">
              <w:rPr>
                <w:rFonts w:eastAsia="SimSun"/>
                <w:color w:val="000000"/>
                <w:spacing w:val="-5"/>
                <w:lang w:eastAsia="zh-CN"/>
              </w:rPr>
              <w:t>were to:</w:t>
            </w:r>
          </w:p>
        </w:tc>
      </w:tr>
      <w:tr w:rsidR="00CE1D6F" w:rsidRPr="00FB44FE" w14:paraId="37938CD2" w14:textId="77777777" w:rsidTr="380134FD">
        <w:trPr>
          <w:trHeight w:val="1935"/>
        </w:trPr>
        <w:tc>
          <w:tcPr>
            <w:tcW w:w="10345" w:type="dxa"/>
            <w:tcBorders>
              <w:top w:val="nil"/>
              <w:bottom w:val="single" w:sz="4" w:space="0" w:color="auto"/>
            </w:tcBorders>
          </w:tcPr>
          <w:p w14:paraId="7B24815E" w14:textId="3E0FE097" w:rsidR="00751213" w:rsidRDefault="00E060CB" w:rsidP="00751213">
            <w:pPr>
              <w:pStyle w:val="ListParagraph"/>
              <w:numPr>
                <w:ilvl w:val="0"/>
                <w:numId w:val="7"/>
              </w:numPr>
              <w:spacing w:before="120" w:after="50"/>
              <w:ind w:right="113"/>
              <w:rPr>
                <w:rFonts w:eastAsia="SimSun" w:cs="Arial"/>
              </w:rPr>
            </w:pPr>
            <w:r>
              <w:rPr>
                <w:rFonts w:eastAsia="SimSun" w:cs="Arial"/>
              </w:rPr>
              <w:t>E</w:t>
            </w:r>
            <w:r w:rsidR="00751213">
              <w:rPr>
                <w:rFonts w:eastAsia="SimSun" w:cs="Arial"/>
              </w:rPr>
              <w:t>nsure</w:t>
            </w:r>
            <w:r w:rsidR="00DC1CA4">
              <w:rPr>
                <w:rFonts w:eastAsia="SimSun" w:cs="Arial"/>
              </w:rPr>
              <w:t xml:space="preserve"> supervisory authorities comply with their AML obligations, to </w:t>
            </w:r>
            <w:r w:rsidR="00C00AEA">
              <w:rPr>
                <w:rFonts w:eastAsia="SimSun" w:cs="Arial"/>
              </w:rPr>
              <w:t>make</w:t>
            </w:r>
            <w:r w:rsidR="00751213">
              <w:rPr>
                <w:rFonts w:eastAsia="SimSun" w:cs="Arial"/>
              </w:rPr>
              <w:t xml:space="preserve"> the UK’s financial system a hostile environment for illicit finance</w:t>
            </w:r>
          </w:p>
          <w:p w14:paraId="4552144F" w14:textId="23A07BE9" w:rsidR="00516250" w:rsidRDefault="0092245B" w:rsidP="004B30A7">
            <w:pPr>
              <w:pStyle w:val="ListParagraph"/>
              <w:numPr>
                <w:ilvl w:val="0"/>
                <w:numId w:val="7"/>
              </w:numPr>
              <w:spacing w:before="120" w:after="50"/>
              <w:ind w:right="113"/>
              <w:rPr>
                <w:rFonts w:eastAsia="SimSun" w:cs="Arial"/>
              </w:rPr>
            </w:pPr>
            <w:r w:rsidRPr="2F7DB547">
              <w:rPr>
                <w:rFonts w:eastAsia="SimSun" w:cs="Arial"/>
              </w:rPr>
              <w:t>Address weaknesses in the UK’s AML supervision regime</w:t>
            </w:r>
            <w:r w:rsidR="00751213">
              <w:rPr>
                <w:rFonts w:eastAsia="SimSun" w:cs="Arial"/>
              </w:rPr>
              <w:t>, such as the need for greater consistency and effectiveness</w:t>
            </w:r>
          </w:p>
          <w:p w14:paraId="42A70142" w14:textId="31BE5C95" w:rsidR="00634043" w:rsidRPr="00785A02" w:rsidRDefault="0092245B" w:rsidP="00634043">
            <w:pPr>
              <w:pStyle w:val="ListParagraph"/>
              <w:numPr>
                <w:ilvl w:val="0"/>
                <w:numId w:val="7"/>
              </w:numPr>
              <w:spacing w:before="120" w:after="50"/>
              <w:ind w:right="113"/>
              <w:rPr>
                <w:rFonts w:ascii="Verdana" w:eastAsia="Verdana" w:hAnsi="Verdana" w:cs="Verdana"/>
                <w:color w:val="3F3F3F"/>
                <w:sz w:val="21"/>
                <w:szCs w:val="21"/>
              </w:rPr>
            </w:pPr>
            <w:r w:rsidRPr="2F7DB547">
              <w:rPr>
                <w:rFonts w:eastAsia="SimSun" w:cs="Arial"/>
              </w:rPr>
              <w:t>Minimise unnecessary burdens on businesses</w:t>
            </w:r>
          </w:p>
          <w:p w14:paraId="6EF291E0" w14:textId="5427EA46" w:rsidR="00634043" w:rsidRPr="00785A02" w:rsidRDefault="00634043" w:rsidP="00785A02">
            <w:pPr>
              <w:spacing w:before="120" w:after="50"/>
              <w:ind w:right="113"/>
              <w:rPr>
                <w:rFonts w:eastAsia="Verdana" w:cs="Arial"/>
                <w:szCs w:val="24"/>
              </w:rPr>
            </w:pPr>
            <w:r w:rsidRPr="00785A02">
              <w:rPr>
                <w:rFonts w:eastAsia="Verdana" w:cs="Arial"/>
              </w:rPr>
              <w:t>These objectives are</w:t>
            </w:r>
            <w:r w:rsidR="0047409B" w:rsidRPr="00785A02">
              <w:rPr>
                <w:rFonts w:eastAsia="Verdana" w:cs="Arial"/>
              </w:rPr>
              <w:t xml:space="preserve"> noted in OPBAS explanatory memorandum in the following way:</w:t>
            </w:r>
            <w:r w:rsidRPr="00785A02">
              <w:rPr>
                <w:rFonts w:eastAsia="Verdana" w:cs="Arial"/>
              </w:rPr>
              <w:t xml:space="preserve"> </w:t>
            </w:r>
          </w:p>
          <w:p w14:paraId="3E5B5295" w14:textId="580E8464" w:rsidR="00516250" w:rsidRPr="00785A02" w:rsidRDefault="00EB7992" w:rsidP="00634043">
            <w:pPr>
              <w:pStyle w:val="ListParagraph"/>
              <w:numPr>
                <w:ilvl w:val="0"/>
                <w:numId w:val="7"/>
              </w:numPr>
              <w:spacing w:before="120" w:after="50"/>
              <w:ind w:right="113"/>
              <w:rPr>
                <w:rFonts w:eastAsia="Verdana" w:cs="Arial"/>
                <w:szCs w:val="24"/>
              </w:rPr>
            </w:pPr>
            <w:r>
              <w:rPr>
                <w:rFonts w:eastAsia="Verdana" w:cs="Arial"/>
                <w:szCs w:val="24"/>
              </w:rPr>
              <w:t>E</w:t>
            </w:r>
            <w:r w:rsidR="2F7DB547" w:rsidRPr="00785A02">
              <w:rPr>
                <w:rFonts w:eastAsia="Verdana" w:cs="Arial"/>
                <w:szCs w:val="24"/>
              </w:rPr>
              <w:t>nsur</w:t>
            </w:r>
            <w:r w:rsidR="006B2C19" w:rsidRPr="00785A02">
              <w:rPr>
                <w:rFonts w:eastAsia="Verdana" w:cs="Arial"/>
                <w:szCs w:val="24"/>
              </w:rPr>
              <w:t>e</w:t>
            </w:r>
            <w:r w:rsidR="2F7DB547" w:rsidRPr="00785A02">
              <w:rPr>
                <w:rFonts w:eastAsia="Verdana" w:cs="Arial"/>
                <w:szCs w:val="24"/>
              </w:rPr>
              <w:t xml:space="preserve"> a robust and consistently high standard of supervision by the PBSs overseeing the legal and accountancy sectors</w:t>
            </w:r>
            <w:r w:rsidR="00DB56E3" w:rsidRPr="00785A02">
              <w:rPr>
                <w:rFonts w:eastAsia="Verdana" w:cs="Arial"/>
                <w:szCs w:val="24"/>
              </w:rPr>
              <w:t>; and</w:t>
            </w:r>
          </w:p>
          <w:p w14:paraId="35E5EA4B" w14:textId="6FFB20B1" w:rsidR="00516250" w:rsidRPr="00785A02" w:rsidRDefault="00EB7992" w:rsidP="00D666CB">
            <w:pPr>
              <w:pStyle w:val="ListParagraph"/>
              <w:numPr>
                <w:ilvl w:val="0"/>
                <w:numId w:val="7"/>
              </w:numPr>
              <w:spacing w:before="120" w:after="50"/>
              <w:rPr>
                <w:rFonts w:eastAsia="Verdana" w:cs="Arial"/>
                <w:szCs w:val="24"/>
              </w:rPr>
            </w:pPr>
            <w:r>
              <w:rPr>
                <w:rFonts w:eastAsia="Verdana" w:cs="Arial"/>
                <w:szCs w:val="24"/>
              </w:rPr>
              <w:t>F</w:t>
            </w:r>
            <w:r w:rsidR="4EFFA774" w:rsidRPr="00785A02">
              <w:rPr>
                <w:rFonts w:eastAsia="Verdana" w:cs="Arial"/>
                <w:szCs w:val="24"/>
              </w:rPr>
              <w:t>acilitat</w:t>
            </w:r>
            <w:r w:rsidR="49795EA2" w:rsidRPr="00785A02">
              <w:rPr>
                <w:rFonts w:eastAsia="Verdana" w:cs="Arial"/>
                <w:szCs w:val="24"/>
              </w:rPr>
              <w:t>e</w:t>
            </w:r>
            <w:r w:rsidR="4EFFA774" w:rsidRPr="00785A02">
              <w:rPr>
                <w:rFonts w:eastAsia="Verdana" w:cs="Arial"/>
                <w:szCs w:val="24"/>
              </w:rPr>
              <w:t xml:space="preserve"> and increase collaboration and information and intelligence sharing between PBSs, statutory supervisors and law enforcement agencies</w:t>
            </w:r>
          </w:p>
          <w:p w14:paraId="7ECA7265" w14:textId="56F3A738" w:rsidR="00900242" w:rsidRPr="00915B42" w:rsidRDefault="001A646E" w:rsidP="00915B42">
            <w:pPr>
              <w:tabs>
                <w:tab w:val="left" w:pos="1325"/>
              </w:tabs>
              <w:rPr>
                <w:rFonts w:eastAsia="SimSun"/>
                <w:szCs w:val="24"/>
                <w:lang w:eastAsia="zh-CN"/>
              </w:rPr>
            </w:pPr>
            <w:r>
              <w:rPr>
                <w:rFonts w:eastAsia="SimSun" w:cs="Arial"/>
              </w:rPr>
              <w:t>Intended effects included improved AML supervisory standards; more open collaboration and sharing of best practice; and improved collaboration among supervisors and with law enforcement.</w:t>
            </w:r>
          </w:p>
        </w:tc>
      </w:tr>
      <w:tr w:rsidR="00FB44FE" w:rsidRPr="00FB44FE" w14:paraId="114D9387" w14:textId="77777777" w:rsidTr="380134FD">
        <w:trPr>
          <w:trHeight w:val="583"/>
        </w:trPr>
        <w:tc>
          <w:tcPr>
            <w:tcW w:w="10345" w:type="dxa"/>
            <w:tcBorders>
              <w:top w:val="single" w:sz="4" w:space="0" w:color="auto"/>
              <w:bottom w:val="nil"/>
            </w:tcBorders>
          </w:tcPr>
          <w:p w14:paraId="328E1F25" w14:textId="58073341" w:rsidR="00FB44FE" w:rsidRPr="00FB44FE" w:rsidRDefault="00FB44FE" w:rsidP="001D00DB">
            <w:pPr>
              <w:spacing w:before="120" w:after="50"/>
              <w:ind w:right="113"/>
              <w:rPr>
                <w:rFonts w:eastAsia="SimSun"/>
                <w:b/>
                <w:color w:val="000000"/>
                <w:spacing w:val="-5"/>
                <w:szCs w:val="24"/>
                <w:lang w:eastAsia="zh-CN"/>
              </w:rPr>
            </w:pPr>
            <w:r w:rsidRPr="00FB44FE">
              <w:rPr>
                <w:rFonts w:eastAsia="SimSun"/>
                <w:b/>
                <w:color w:val="000000"/>
                <w:spacing w:val="-5"/>
                <w:szCs w:val="24"/>
                <w:lang w:eastAsia="zh-CN"/>
              </w:rPr>
              <w:t>2. What evidence has informed the</w:t>
            </w:r>
            <w:r w:rsidR="00CD133E">
              <w:rPr>
                <w:rFonts w:eastAsia="SimSun"/>
                <w:b/>
                <w:color w:val="000000"/>
                <w:spacing w:val="-5"/>
                <w:szCs w:val="24"/>
                <w:lang w:eastAsia="zh-CN"/>
              </w:rPr>
              <w:t xml:space="preserve"> </w:t>
            </w:r>
            <w:r w:rsidRPr="00FB44FE">
              <w:rPr>
                <w:rFonts w:eastAsia="SimSun"/>
                <w:b/>
                <w:color w:val="000000"/>
                <w:spacing w:val="-5"/>
                <w:szCs w:val="24"/>
                <w:lang w:eastAsia="zh-CN"/>
              </w:rPr>
              <w:t xml:space="preserve">PIR? </w:t>
            </w:r>
          </w:p>
        </w:tc>
      </w:tr>
      <w:tr w:rsidR="001D00DB" w:rsidRPr="00FB44FE" w14:paraId="649241B1" w14:textId="77777777" w:rsidTr="380134FD">
        <w:trPr>
          <w:trHeight w:val="567"/>
        </w:trPr>
        <w:tc>
          <w:tcPr>
            <w:tcW w:w="10345" w:type="dxa"/>
            <w:tcBorders>
              <w:top w:val="nil"/>
              <w:bottom w:val="single" w:sz="4" w:space="0" w:color="auto"/>
            </w:tcBorders>
          </w:tcPr>
          <w:sdt>
            <w:sdtPr>
              <w:rPr>
                <w:rFonts w:eastAsia="SimSun" w:cs="Arial"/>
              </w:rPr>
              <w:id w:val="-1027096883"/>
              <w:placeholder>
                <w:docPart w:val="2351CC0C73744C439D6EFE84E0EFD4B3"/>
              </w:placeholder>
            </w:sdtPr>
            <w:sdtEndPr/>
            <w:sdtContent>
              <w:p w14:paraId="69DD1DFB" w14:textId="102216B2" w:rsidR="00C828AB" w:rsidRDefault="00161CE9" w:rsidP="00024B87">
                <w:pPr>
                  <w:rPr>
                    <w:rFonts w:eastAsia="SimSun" w:cs="Arial"/>
                  </w:rPr>
                </w:pPr>
                <w:r>
                  <w:rPr>
                    <w:rFonts w:eastAsia="SimSun" w:cs="Arial"/>
                  </w:rPr>
                  <w:t xml:space="preserve">This PIR uses a range of evidence to </w:t>
                </w:r>
                <w:r w:rsidR="00DF7D36">
                  <w:rPr>
                    <w:rFonts w:eastAsia="SimSun" w:cs="Arial"/>
                  </w:rPr>
                  <w:t xml:space="preserve">show that the OPBAS Regulations have </w:t>
                </w:r>
                <w:r w:rsidR="0050494B">
                  <w:rPr>
                    <w:rFonts w:eastAsia="SimSun" w:cs="Arial"/>
                  </w:rPr>
                  <w:t xml:space="preserve">made significant progress </w:t>
                </w:r>
                <w:r w:rsidR="008E46DA">
                  <w:rPr>
                    <w:rFonts w:eastAsia="SimSun" w:cs="Arial"/>
                  </w:rPr>
                  <w:t>to</w:t>
                </w:r>
                <w:r w:rsidR="0050494B">
                  <w:rPr>
                    <w:rFonts w:eastAsia="SimSun" w:cs="Arial"/>
                  </w:rPr>
                  <w:t>wards</w:t>
                </w:r>
                <w:r w:rsidR="008E46DA">
                  <w:rPr>
                    <w:rFonts w:eastAsia="SimSun" w:cs="Arial"/>
                  </w:rPr>
                  <w:t xml:space="preserve"> meeting their</w:t>
                </w:r>
                <w:r w:rsidR="00DF7D36">
                  <w:rPr>
                    <w:rFonts w:eastAsia="SimSun" w:cs="Arial"/>
                  </w:rPr>
                  <w:t xml:space="preserve"> objectives. </w:t>
                </w:r>
              </w:p>
              <w:p w14:paraId="0496CD2A" w14:textId="6559A956" w:rsidR="00831447" w:rsidRDefault="00DF7D36" w:rsidP="00024B87">
                <w:pPr>
                  <w:rPr>
                    <w:rFonts w:eastAsia="SimSun" w:cs="Arial"/>
                  </w:rPr>
                </w:pPr>
                <w:r>
                  <w:rPr>
                    <w:rFonts w:eastAsia="SimSun" w:cs="Arial"/>
                  </w:rPr>
                  <w:t xml:space="preserve">Three reports published by OPBAS show </w:t>
                </w:r>
                <w:r w:rsidR="0096370F">
                  <w:rPr>
                    <w:rFonts w:eastAsia="SimSun" w:cs="Arial"/>
                  </w:rPr>
                  <w:t xml:space="preserve">progress in the supervisory functions of professional body supervisors as a result of </w:t>
                </w:r>
                <w:r w:rsidR="00C828AB">
                  <w:rPr>
                    <w:rFonts w:eastAsia="SimSun" w:cs="Arial"/>
                  </w:rPr>
                  <w:t>OPBAS</w:t>
                </w:r>
                <w:r w:rsidR="0096370F">
                  <w:rPr>
                    <w:rFonts w:eastAsia="SimSun" w:cs="Arial"/>
                  </w:rPr>
                  <w:t xml:space="preserve"> intervention</w:t>
                </w:r>
                <w:r w:rsidR="00C828AB">
                  <w:rPr>
                    <w:rFonts w:eastAsia="SimSun" w:cs="Arial"/>
                  </w:rPr>
                  <w:t>s and guidance. For example</w:t>
                </w:r>
                <w:r w:rsidR="00AA2C23">
                  <w:rPr>
                    <w:rFonts w:eastAsia="SimSun" w:cs="Arial"/>
                  </w:rPr>
                  <w:t>, in the</w:t>
                </w:r>
                <w:r w:rsidR="00F729B6">
                  <w:rPr>
                    <w:rFonts w:eastAsia="SimSun" w:cs="Arial"/>
                  </w:rPr>
                  <w:t xml:space="preserve"> 2019 report, the</w:t>
                </w:r>
                <w:r w:rsidR="00AA2C23">
                  <w:rPr>
                    <w:rFonts w:eastAsia="SimSun" w:cs="Arial"/>
                  </w:rPr>
                  <w:t xml:space="preserve"> first report published </w:t>
                </w:r>
                <w:r w:rsidR="00F729B6">
                  <w:rPr>
                    <w:rFonts w:eastAsia="SimSun" w:cs="Arial"/>
                  </w:rPr>
                  <w:t xml:space="preserve">by OPBAS, </w:t>
                </w:r>
                <w:r w:rsidR="00A00F69">
                  <w:rPr>
                    <w:rFonts w:eastAsia="SimSun" w:cs="Arial"/>
                  </w:rPr>
                  <w:t>91% of relevant PBSs were not fully applying a risk-based approach to their AML supervision</w:t>
                </w:r>
                <w:r w:rsidR="00182AB5">
                  <w:rPr>
                    <w:rFonts w:eastAsia="SimSun" w:cs="Arial"/>
                  </w:rPr>
                  <w:t xml:space="preserve">. </w:t>
                </w:r>
                <w:r w:rsidR="000E42AC">
                  <w:rPr>
                    <w:rFonts w:eastAsia="SimSun" w:cs="Arial"/>
                  </w:rPr>
                  <w:t>By the second report, this</w:t>
                </w:r>
                <w:r w:rsidR="00182AB5">
                  <w:rPr>
                    <w:rFonts w:eastAsia="SimSun" w:cs="Arial"/>
                  </w:rPr>
                  <w:t xml:space="preserve"> had reduced to 14%</w:t>
                </w:r>
                <w:r w:rsidR="00E5544D">
                  <w:rPr>
                    <w:rFonts w:eastAsia="SimSun" w:cs="Arial"/>
                  </w:rPr>
                  <w:t xml:space="preserve">. The most recent report, published in 2021, found that 80% had </w:t>
                </w:r>
                <w:r w:rsidR="00E5544D" w:rsidRPr="00D666CB">
                  <w:rPr>
                    <w:rFonts w:eastAsia="SimSun" w:cs="Arial"/>
                  </w:rPr>
                  <w:t>not</w:t>
                </w:r>
                <w:r w:rsidR="00E5544D">
                  <w:rPr>
                    <w:rFonts w:eastAsia="SimSun" w:cs="Arial"/>
                  </w:rPr>
                  <w:t xml:space="preserve"> implemented an </w:t>
                </w:r>
                <w:r w:rsidR="00E5544D" w:rsidRPr="00BD3CFA">
                  <w:rPr>
                    <w:rFonts w:eastAsia="SimSun" w:cs="Arial"/>
                    <w:u w:val="single"/>
                  </w:rPr>
                  <w:t>effective</w:t>
                </w:r>
                <w:r w:rsidR="00E5544D">
                  <w:rPr>
                    <w:rFonts w:eastAsia="SimSun" w:cs="Arial"/>
                  </w:rPr>
                  <w:t xml:space="preserve"> risk-based approach. This </w:t>
                </w:r>
                <w:r w:rsidR="00FF4C9A">
                  <w:rPr>
                    <w:rFonts w:eastAsia="SimSun" w:cs="Arial"/>
                  </w:rPr>
                  <w:t xml:space="preserve">reflects </w:t>
                </w:r>
                <w:r w:rsidR="00E5544D">
                  <w:rPr>
                    <w:rFonts w:eastAsia="SimSun" w:cs="Arial"/>
                  </w:rPr>
                  <w:t>a change in focus by OPBAS to effectiveness</w:t>
                </w:r>
              </w:p>
              <w:p w14:paraId="3A26381A" w14:textId="43DAAF68" w:rsidR="00F64764" w:rsidRDefault="00F65C35" w:rsidP="00024B87">
                <w:pPr>
                  <w:rPr>
                    <w:rFonts w:eastAsia="SimSun" w:cs="Arial"/>
                  </w:rPr>
                </w:pPr>
                <w:r>
                  <w:rPr>
                    <w:rFonts w:eastAsia="SimSun" w:cs="Arial"/>
                  </w:rPr>
                  <w:t xml:space="preserve">The OPBAS sourcebook has also been a key piece of evidence in </w:t>
                </w:r>
                <w:r w:rsidR="008079AD">
                  <w:rPr>
                    <w:rFonts w:eastAsia="SimSun" w:cs="Arial"/>
                  </w:rPr>
                  <w:t>showing how OPBAS have improved the consistency of professional body supervision. This</w:t>
                </w:r>
                <w:r w:rsidR="004A72F6" w:rsidRPr="28F156CA">
                  <w:rPr>
                    <w:rFonts w:eastAsia="SimSun" w:cs="Arial"/>
                  </w:rPr>
                  <w:t xml:space="preserve"> </w:t>
                </w:r>
                <w:r w:rsidR="00A26CFB" w:rsidRPr="28F156CA">
                  <w:rPr>
                    <w:rFonts w:eastAsia="SimSun" w:cs="Arial"/>
                  </w:rPr>
                  <w:t xml:space="preserve">provides guidance </w:t>
                </w:r>
                <w:r w:rsidR="008079AD">
                  <w:rPr>
                    <w:rFonts w:eastAsia="SimSun" w:cs="Arial"/>
                  </w:rPr>
                  <w:t xml:space="preserve">and information </w:t>
                </w:r>
                <w:r w:rsidR="00DF06BC" w:rsidRPr="28F156CA">
                  <w:rPr>
                    <w:rFonts w:eastAsia="SimSun" w:cs="Arial"/>
                  </w:rPr>
                  <w:t xml:space="preserve">for professional body AML supervisors on how they can </w:t>
                </w:r>
                <w:r w:rsidR="003A18DD" w:rsidRPr="28F156CA">
                  <w:rPr>
                    <w:rFonts w:eastAsia="SimSun" w:cs="Arial"/>
                  </w:rPr>
                  <w:t xml:space="preserve">meet their </w:t>
                </w:r>
                <w:r w:rsidR="00AC0BC9" w:rsidRPr="28F156CA">
                  <w:rPr>
                    <w:rFonts w:eastAsia="SimSun" w:cs="Arial"/>
                  </w:rPr>
                  <w:t>obligations</w:t>
                </w:r>
                <w:r w:rsidR="001F372D">
                  <w:rPr>
                    <w:rFonts w:eastAsia="SimSun" w:cs="Arial"/>
                  </w:rPr>
                  <w:t xml:space="preserve"> </w:t>
                </w:r>
                <w:r w:rsidR="001F372D">
                  <w:rPr>
                    <w:rFonts w:eastAsia="SimSun" w:cs="Arial"/>
                  </w:rPr>
                  <w:lastRenderedPageBreak/>
                  <w:t>under the M</w:t>
                </w:r>
                <w:r w:rsidR="00F230FF">
                  <w:rPr>
                    <w:rFonts w:eastAsia="SimSun" w:cs="Arial"/>
                  </w:rPr>
                  <w:t>oney Laundering Regulations</w:t>
                </w:r>
                <w:r w:rsidR="00EA129D">
                  <w:rPr>
                    <w:rFonts w:eastAsia="SimSun" w:cs="Arial"/>
                  </w:rPr>
                  <w:t xml:space="preserve"> (MLRs)</w:t>
                </w:r>
                <w:r w:rsidR="009D3396">
                  <w:rPr>
                    <w:rFonts w:eastAsia="SimSun" w:cs="Arial"/>
                  </w:rPr>
                  <w:t>, as well as examples of good practice and poor practice.</w:t>
                </w:r>
                <w:r w:rsidR="00AC0BC9" w:rsidRPr="28F156CA">
                  <w:rPr>
                    <w:rFonts w:eastAsia="SimSun" w:cs="Arial"/>
                  </w:rPr>
                  <w:t xml:space="preserve"> </w:t>
                </w:r>
              </w:p>
              <w:p w14:paraId="65A04752" w14:textId="2C6B9B16" w:rsidR="00516250" w:rsidRDefault="009D3396" w:rsidP="00024B87">
                <w:pPr>
                  <w:rPr>
                    <w:rFonts w:eastAsia="SimSun" w:cs="Arial"/>
                  </w:rPr>
                </w:pPr>
                <w:r>
                  <w:rPr>
                    <w:rFonts w:eastAsia="SimSun" w:cs="Arial"/>
                  </w:rPr>
                  <w:t>HM Treasury also collects supervision and enforcement data annually. This is used to inform the Treasury’s own supervision report that aims to evaluate the performance of supervisors</w:t>
                </w:r>
                <w:r w:rsidR="00FC1874">
                  <w:rPr>
                    <w:rFonts w:eastAsia="SimSun" w:cs="Arial"/>
                  </w:rPr>
                  <w:t xml:space="preserve">. </w:t>
                </w:r>
                <w:r w:rsidR="00724669">
                  <w:rPr>
                    <w:rFonts w:eastAsia="SimSun" w:cs="Arial"/>
                  </w:rPr>
                  <w:t>The data shows that</w:t>
                </w:r>
                <w:r w:rsidR="00CE4AF1">
                  <w:rPr>
                    <w:rFonts w:eastAsia="SimSun" w:cs="Arial"/>
                  </w:rPr>
                  <w:t xml:space="preserve"> intensity of supervision by professional body supervisors is increasing, </w:t>
                </w:r>
                <w:r w:rsidR="00463CD5">
                  <w:rPr>
                    <w:rFonts w:eastAsia="SimSun" w:cs="Arial"/>
                  </w:rPr>
                  <w:t xml:space="preserve">there are also more instances of enforcement against </w:t>
                </w:r>
                <w:r w:rsidR="00EA129D">
                  <w:rPr>
                    <w:rFonts w:eastAsia="SimSun" w:cs="Arial"/>
                  </w:rPr>
                  <w:t>regulated bodies that breach the MLRs.</w:t>
                </w:r>
              </w:p>
              <w:p w14:paraId="398A9ABB" w14:textId="21A5312C" w:rsidR="2F7DB547" w:rsidRDefault="00EA129D">
                <w:r>
                  <w:rPr>
                    <w:rFonts w:eastAsia="SimSun" w:cs="Arial"/>
                  </w:rPr>
                  <w:t>HM Treasury also published a</w:t>
                </w:r>
                <w:r w:rsidR="00733618">
                  <w:rPr>
                    <w:rFonts w:eastAsia="SimSun" w:cs="Arial"/>
                  </w:rPr>
                  <w:t xml:space="preserve"> Call for Evidence on the effectiveness of the Money Laundering Regulations </w:t>
                </w:r>
                <w:r>
                  <w:rPr>
                    <w:rFonts w:eastAsia="SimSun" w:cs="Arial"/>
                  </w:rPr>
                  <w:t xml:space="preserve">to </w:t>
                </w:r>
                <w:r w:rsidR="00733618">
                  <w:rPr>
                    <w:rFonts w:eastAsia="SimSun" w:cs="Arial"/>
                  </w:rPr>
                  <w:t xml:space="preserve">assess views of </w:t>
                </w:r>
                <w:r w:rsidR="004208BA">
                  <w:rPr>
                    <w:rFonts w:eastAsia="SimSun" w:cs="Arial"/>
                  </w:rPr>
                  <w:t>AML-</w:t>
                </w:r>
                <w:r w:rsidR="00733618">
                  <w:rPr>
                    <w:rFonts w:eastAsia="SimSun" w:cs="Arial"/>
                  </w:rPr>
                  <w:t xml:space="preserve">regulated sectors, and </w:t>
                </w:r>
                <w:r w:rsidR="003A18DD">
                  <w:rPr>
                    <w:rFonts w:eastAsia="SimSun" w:cs="Arial"/>
                  </w:rPr>
                  <w:t>p</w:t>
                </w:r>
                <w:r w:rsidR="004208BA">
                  <w:rPr>
                    <w:rFonts w:eastAsia="SimSun" w:cs="Arial"/>
                  </w:rPr>
                  <w:t xml:space="preserve">rofessional </w:t>
                </w:r>
                <w:r w:rsidR="003A18DD">
                  <w:rPr>
                    <w:rFonts w:eastAsia="SimSun" w:cs="Arial"/>
                  </w:rPr>
                  <w:t>b</w:t>
                </w:r>
                <w:r w:rsidR="004208BA">
                  <w:rPr>
                    <w:rFonts w:eastAsia="SimSun" w:cs="Arial"/>
                  </w:rPr>
                  <w:t xml:space="preserve">ody </w:t>
                </w:r>
                <w:r w:rsidR="003A18DD">
                  <w:rPr>
                    <w:rFonts w:eastAsia="SimSun" w:cs="Arial"/>
                  </w:rPr>
                  <w:t>s</w:t>
                </w:r>
                <w:r w:rsidR="004208BA">
                  <w:rPr>
                    <w:rFonts w:eastAsia="SimSun" w:cs="Arial"/>
                  </w:rPr>
                  <w:t>uperviso</w:t>
                </w:r>
                <w:r w:rsidR="00C44B2E">
                  <w:rPr>
                    <w:rFonts w:eastAsia="SimSun" w:cs="Arial"/>
                  </w:rPr>
                  <w:t xml:space="preserve">rs. There were </w:t>
                </w:r>
                <w:r w:rsidR="00513C5E">
                  <w:rPr>
                    <w:rFonts w:eastAsia="SimSun" w:cs="Arial"/>
                  </w:rPr>
                  <w:t xml:space="preserve">94 responses to the Call for Evidence, </w:t>
                </w:r>
                <w:r w:rsidR="00F8231A">
                  <w:rPr>
                    <w:rFonts w:eastAsia="SimSun" w:cs="Arial"/>
                  </w:rPr>
                  <w:t>and responses</w:t>
                </w:r>
                <w:r w:rsidR="00003DA7">
                  <w:rPr>
                    <w:rFonts w:eastAsia="SimSun" w:cs="Arial"/>
                  </w:rPr>
                  <w:t xml:space="preserve"> came from those in the accountancy, legal </w:t>
                </w:r>
                <w:r w:rsidR="003848EF">
                  <w:rPr>
                    <w:rFonts w:eastAsia="SimSun" w:cs="Arial"/>
                  </w:rPr>
                  <w:t>and financial sectors as well as others in civil society for example.</w:t>
                </w:r>
              </w:p>
            </w:sdtContent>
          </w:sdt>
          <w:p w14:paraId="25B8E63F" w14:textId="77777777" w:rsidR="3EB4B684" w:rsidRDefault="3EB4B684"/>
        </w:tc>
      </w:tr>
    </w:tbl>
    <w:p w14:paraId="0F67520E" w14:textId="595C3A40" w:rsidR="005D5ED0" w:rsidRDefault="005D5ED0"/>
    <w:tbl>
      <w:tblPr>
        <w:tblpPr w:leftFromText="180" w:rightFromText="180" w:vertAnchor="text" w:horzAnchor="margin" w:tblpX="85" w:tblpY="108"/>
        <w:tblW w:w="10345"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1E0" w:firstRow="1" w:lastRow="1" w:firstColumn="1" w:lastColumn="1" w:noHBand="0" w:noVBand="0"/>
      </w:tblPr>
      <w:tblGrid>
        <w:gridCol w:w="10345"/>
      </w:tblGrid>
      <w:tr w:rsidR="00FB44FE" w:rsidRPr="00FB44FE" w14:paraId="4066A044" w14:textId="77777777" w:rsidTr="00785A02">
        <w:trPr>
          <w:trHeight w:val="410"/>
        </w:trPr>
        <w:tc>
          <w:tcPr>
            <w:tcW w:w="10345" w:type="dxa"/>
            <w:tcBorders>
              <w:top w:val="single" w:sz="4" w:space="0" w:color="auto"/>
              <w:bottom w:val="nil"/>
            </w:tcBorders>
          </w:tcPr>
          <w:p w14:paraId="59EEFCD7" w14:textId="4A49FFF2" w:rsidR="00FB44FE" w:rsidRPr="00FB44FE" w:rsidRDefault="00FB44FE" w:rsidP="009D0711">
            <w:pPr>
              <w:spacing w:before="120" w:after="50" w:line="276" w:lineRule="auto"/>
              <w:rPr>
                <w:rFonts w:eastAsia="Times New Roman" w:cs="Arial"/>
                <w:b/>
                <w:szCs w:val="24"/>
                <w:lang w:eastAsia="en-GB"/>
              </w:rPr>
            </w:pPr>
            <w:r w:rsidRPr="00FB44FE">
              <w:rPr>
                <w:rFonts w:eastAsia="Times New Roman" w:cs="Arial"/>
                <w:b/>
                <w:szCs w:val="24"/>
                <w:lang w:eastAsia="en-GB"/>
              </w:rPr>
              <w:t>3. To what extent have the policy objectives been achieved?</w:t>
            </w:r>
          </w:p>
        </w:tc>
      </w:tr>
      <w:tr w:rsidR="001D00DB" w:rsidRPr="00FB44FE" w14:paraId="15170C7F" w14:textId="77777777" w:rsidTr="00F729B6">
        <w:trPr>
          <w:trHeight w:val="6374"/>
        </w:trPr>
        <w:tc>
          <w:tcPr>
            <w:tcW w:w="10345" w:type="dxa"/>
            <w:shd w:val="clear" w:color="auto" w:fill="auto"/>
          </w:tcPr>
          <w:sdt>
            <w:sdtPr>
              <w:rPr>
                <w:rFonts w:eastAsia="SimSun" w:cs="Arial"/>
              </w:rPr>
              <w:id w:val="480352157"/>
              <w:placeholder>
                <w:docPart w:val="1279F852F47A462C9210C86210B0C946"/>
              </w:placeholder>
            </w:sdtPr>
            <w:sdtEndPr>
              <w:rPr>
                <w:rFonts w:eastAsiaTheme="minorHAnsi" w:cs="Times New Roman"/>
              </w:rPr>
            </w:sdtEndPr>
            <w:sdtContent>
              <w:p w14:paraId="760732E1" w14:textId="21A55813" w:rsidR="00C46065" w:rsidRDefault="00022DD7" w:rsidP="00BD3CFA">
                <w:pPr>
                  <w:rPr>
                    <w:rFonts w:eastAsia="SimSun" w:cs="Arial"/>
                  </w:rPr>
                </w:pPr>
                <w:r w:rsidRPr="28F156CA">
                  <w:rPr>
                    <w:rFonts w:eastAsia="SimSun" w:cs="Arial"/>
                  </w:rPr>
                  <w:t xml:space="preserve">The analysis of the PIR suggests that the overall </w:t>
                </w:r>
                <w:r w:rsidR="00516250" w:rsidRPr="28F156CA">
                  <w:rPr>
                    <w:rFonts w:eastAsia="SimSun" w:cs="Arial"/>
                  </w:rPr>
                  <w:t xml:space="preserve">policy objectives have </w:t>
                </w:r>
                <w:r w:rsidRPr="28F156CA">
                  <w:rPr>
                    <w:rFonts w:eastAsia="SimSun" w:cs="Arial"/>
                  </w:rPr>
                  <w:t xml:space="preserve">been partly </w:t>
                </w:r>
                <w:r w:rsidR="00516250" w:rsidRPr="28F156CA">
                  <w:rPr>
                    <w:rFonts w:eastAsia="SimSun" w:cs="Arial"/>
                  </w:rPr>
                  <w:t>achieved</w:t>
                </w:r>
                <w:r w:rsidR="00F95357">
                  <w:rPr>
                    <w:rFonts w:eastAsia="SimSun" w:cs="Arial"/>
                  </w:rPr>
                  <w:t>.</w:t>
                </w:r>
                <w:r w:rsidR="00F95357" w:rsidRPr="00F95357">
                  <w:rPr>
                    <w:rFonts w:ascii="Humnst777 Lt BT" w:hAnsi="Humnst777 Lt BT"/>
                    <w:szCs w:val="24"/>
                  </w:rPr>
                  <w:t xml:space="preserve"> </w:t>
                </w:r>
                <w:r w:rsidR="00F95357" w:rsidRPr="00F95357">
                  <w:rPr>
                    <w:rFonts w:eastAsia="SimSun" w:cs="Arial"/>
                  </w:rPr>
                  <w:t>OPBAS has made significant progress since its inception in 2018</w:t>
                </w:r>
                <w:r w:rsidR="00B6446E">
                  <w:rPr>
                    <w:rFonts w:eastAsia="SimSun" w:cs="Arial"/>
                  </w:rPr>
                  <w:t xml:space="preserve"> </w:t>
                </w:r>
                <w:r w:rsidR="00F95357" w:rsidRPr="00F95357">
                  <w:rPr>
                    <w:rFonts w:eastAsia="SimSun" w:cs="Arial"/>
                  </w:rPr>
                  <w:t>but there is more that can be done. The objectives remain appropriate but there is scope to reconfigure how they are best met, which has been looked at in the forward-looking part of the review:</w:t>
                </w:r>
              </w:p>
              <w:p w14:paraId="0D37DA3A" w14:textId="77A83D67" w:rsidR="00B90F84" w:rsidRDefault="0070375C" w:rsidP="00A00880">
                <w:pPr>
                  <w:pStyle w:val="ListParagraph"/>
                  <w:numPr>
                    <w:ilvl w:val="0"/>
                    <w:numId w:val="39"/>
                  </w:numPr>
                  <w:rPr>
                    <w:rFonts w:eastAsia="SimSun" w:cs="Arial"/>
                  </w:rPr>
                </w:pPr>
                <w:r w:rsidRPr="007F39AA">
                  <w:rPr>
                    <w:rFonts w:eastAsia="SimSun" w:cs="Arial"/>
                  </w:rPr>
                  <w:t xml:space="preserve">The technical compliance </w:t>
                </w:r>
                <w:r w:rsidR="00547902">
                  <w:rPr>
                    <w:rFonts w:eastAsia="SimSun" w:cs="Arial"/>
                  </w:rPr>
                  <w:t xml:space="preserve">of the PBSs </w:t>
                </w:r>
                <w:r w:rsidR="00DF0D6E" w:rsidRPr="00844C44">
                  <w:rPr>
                    <w:rFonts w:eastAsia="SimSun" w:cs="Arial"/>
                  </w:rPr>
                  <w:t xml:space="preserve">with the Money Laundering Regulations </w:t>
                </w:r>
                <w:r w:rsidRPr="00844C44">
                  <w:rPr>
                    <w:rFonts w:eastAsia="SimSun" w:cs="Arial"/>
                  </w:rPr>
                  <w:t xml:space="preserve">has </w:t>
                </w:r>
                <w:r w:rsidRPr="00E27A2D">
                  <w:rPr>
                    <w:rFonts w:eastAsia="SimSun" w:cs="Arial"/>
                  </w:rPr>
                  <w:t>improved since the implementation of the OPBAS regulations</w:t>
                </w:r>
                <w:r w:rsidR="001A646E" w:rsidRPr="004A72F6">
                  <w:rPr>
                    <w:rFonts w:eastAsia="SimSun" w:cs="Arial"/>
                  </w:rPr>
                  <w:t>, standards of supervision are therefore higher</w:t>
                </w:r>
                <w:r w:rsidR="00C46065" w:rsidRPr="003A18DD">
                  <w:rPr>
                    <w:rFonts w:eastAsia="SimSun" w:cs="Arial"/>
                  </w:rPr>
                  <w:t xml:space="preserve"> and some weaknesses have been addressed. </w:t>
                </w:r>
              </w:p>
              <w:p w14:paraId="32BB998B" w14:textId="11AA0D5A" w:rsidR="0070375C" w:rsidRPr="00386091" w:rsidRDefault="001A646E" w:rsidP="00A00880">
                <w:pPr>
                  <w:pStyle w:val="ListParagraph"/>
                  <w:numPr>
                    <w:ilvl w:val="0"/>
                    <w:numId w:val="39"/>
                  </w:numPr>
                  <w:rPr>
                    <w:rFonts w:eastAsia="SimSun" w:cs="Arial"/>
                  </w:rPr>
                </w:pPr>
                <w:r w:rsidRPr="007F39AA">
                  <w:rPr>
                    <w:rFonts w:eastAsia="SimSun" w:cs="Arial"/>
                  </w:rPr>
                  <w:t>There has been le</w:t>
                </w:r>
                <w:r w:rsidRPr="00844C44">
                  <w:rPr>
                    <w:rFonts w:eastAsia="SimSun" w:cs="Arial"/>
                  </w:rPr>
                  <w:t xml:space="preserve">ss </w:t>
                </w:r>
                <w:r w:rsidR="00516250" w:rsidRPr="00844C44">
                  <w:rPr>
                    <w:rFonts w:eastAsia="SimSun" w:cs="Arial"/>
                  </w:rPr>
                  <w:t>of an improvement</w:t>
                </w:r>
                <w:r w:rsidRPr="00844C44">
                  <w:rPr>
                    <w:rFonts w:eastAsia="SimSun" w:cs="Arial"/>
                  </w:rPr>
                  <w:t xml:space="preserve"> when it comes to the </w:t>
                </w:r>
                <w:r w:rsidRPr="00915B42">
                  <w:rPr>
                    <w:rFonts w:eastAsia="SimSun" w:cs="Arial"/>
                    <w:i/>
                    <w:iCs/>
                  </w:rPr>
                  <w:t>outcomes</w:t>
                </w:r>
                <w:r w:rsidRPr="00844C44">
                  <w:rPr>
                    <w:rFonts w:eastAsia="SimSun" w:cs="Arial"/>
                  </w:rPr>
                  <w:t xml:space="preserve"> of this compliance</w:t>
                </w:r>
                <w:r w:rsidR="00C46065" w:rsidRPr="00E27A2D">
                  <w:rPr>
                    <w:rFonts w:eastAsia="SimSun" w:cs="Arial"/>
                  </w:rPr>
                  <w:t xml:space="preserve"> and </w:t>
                </w:r>
                <w:r w:rsidR="00F853D6">
                  <w:rPr>
                    <w:rFonts w:eastAsia="SimSun" w:cs="Arial"/>
                  </w:rPr>
                  <w:t>OPBAS will</w:t>
                </w:r>
                <w:r w:rsidR="00C46065" w:rsidRPr="007F39AA">
                  <w:rPr>
                    <w:rFonts w:eastAsia="SimSun" w:cs="Arial"/>
                  </w:rPr>
                  <w:t xml:space="preserve"> </w:t>
                </w:r>
                <w:r w:rsidR="00C46065" w:rsidRPr="00386091">
                  <w:rPr>
                    <w:rFonts w:eastAsia="SimSun" w:cs="Arial"/>
                  </w:rPr>
                  <w:t>focus</w:t>
                </w:r>
                <w:r w:rsidR="00C46065">
                  <w:rPr>
                    <w:rFonts w:eastAsia="SimSun" w:cs="Arial"/>
                  </w:rPr>
                  <w:t xml:space="preserve"> </w:t>
                </w:r>
                <w:r w:rsidR="00F853D6">
                  <w:rPr>
                    <w:rFonts w:eastAsia="SimSun" w:cs="Arial"/>
                  </w:rPr>
                  <w:t>more in future</w:t>
                </w:r>
                <w:r w:rsidR="00C46065" w:rsidRPr="00386091">
                  <w:rPr>
                    <w:rFonts w:eastAsia="SimSun" w:cs="Arial"/>
                  </w:rPr>
                  <w:t xml:space="preserve"> on effectiveness rather than</w:t>
                </w:r>
                <w:r w:rsidR="00662D03">
                  <w:rPr>
                    <w:rFonts w:eastAsia="SimSun" w:cs="Arial"/>
                  </w:rPr>
                  <w:t xml:space="preserve"> just technical</w:t>
                </w:r>
                <w:r w:rsidR="00C46065" w:rsidRPr="00386091">
                  <w:rPr>
                    <w:rFonts w:eastAsia="SimSun" w:cs="Arial"/>
                  </w:rPr>
                  <w:t xml:space="preserve"> compliance. </w:t>
                </w:r>
              </w:p>
              <w:p w14:paraId="78207F2A" w14:textId="19A58E71" w:rsidR="00F729B6" w:rsidRPr="00BD3CFA" w:rsidRDefault="00F729B6" w:rsidP="00785A02">
                <w:pPr>
                  <w:rPr>
                    <w:lang w:eastAsia="en-GB"/>
                  </w:rPr>
                </w:pPr>
                <w:r>
                  <w:rPr>
                    <w:lang w:eastAsia="en-GB"/>
                  </w:rPr>
                  <w:t xml:space="preserve">Below is the OPBAS breakdown of the corresponding policy objectives and progress made: </w:t>
                </w:r>
              </w:p>
              <w:p w14:paraId="3E665224" w14:textId="0B09C189" w:rsidR="00F95357" w:rsidRPr="00F95357" w:rsidRDefault="00F95357" w:rsidP="00A00880">
                <w:pPr>
                  <w:pStyle w:val="ListParagraph"/>
                  <w:numPr>
                    <w:ilvl w:val="0"/>
                    <w:numId w:val="39"/>
                  </w:numPr>
                  <w:rPr>
                    <w:lang w:eastAsia="en-GB"/>
                  </w:rPr>
                </w:pPr>
                <w:r w:rsidRPr="00F95357">
                  <w:rPr>
                    <w:b/>
                    <w:bCs/>
                    <w:lang w:eastAsia="en-GB"/>
                  </w:rPr>
                  <w:t>Consistency of professional body supervisor approach to supervision</w:t>
                </w:r>
                <w:r w:rsidRPr="00F95357">
                  <w:rPr>
                    <w:lang w:eastAsia="en-GB"/>
                  </w:rPr>
                  <w:t xml:space="preserve"> is still limited, despite many improvements that have been seen. OPBAS ha</w:t>
                </w:r>
                <w:r w:rsidR="00597D7A">
                  <w:rPr>
                    <w:lang w:eastAsia="en-GB"/>
                  </w:rPr>
                  <w:t>s</w:t>
                </w:r>
                <w:r w:rsidRPr="00F95357">
                  <w:rPr>
                    <w:lang w:eastAsia="en-GB"/>
                  </w:rPr>
                  <w:t xml:space="preserve"> further to go in this area to meet the policy objective of the Regulations.</w:t>
                </w:r>
              </w:p>
              <w:p w14:paraId="766A0731" w14:textId="1BB10881" w:rsidR="00F95357" w:rsidRPr="00F95357" w:rsidRDefault="00F95357" w:rsidP="00A00880">
                <w:pPr>
                  <w:pStyle w:val="ListParagraph"/>
                  <w:numPr>
                    <w:ilvl w:val="0"/>
                    <w:numId w:val="39"/>
                  </w:numPr>
                  <w:rPr>
                    <w:lang w:eastAsia="en-GB"/>
                  </w:rPr>
                </w:pPr>
                <w:r w:rsidRPr="00F95357">
                  <w:rPr>
                    <w:b/>
                    <w:bCs/>
                    <w:lang w:eastAsia="en-GB"/>
                  </w:rPr>
                  <w:t>Information and intelligence sharing</w:t>
                </w:r>
                <w:r w:rsidRPr="00F95357">
                  <w:rPr>
                    <w:lang w:eastAsia="en-GB"/>
                  </w:rPr>
                  <w:t xml:space="preserve"> has improved significantly, much as a result of the work OPBAS has done in creating, and encouraging use of, sharing forums</w:t>
                </w:r>
                <w:r w:rsidR="00662D03">
                  <w:rPr>
                    <w:lang w:eastAsia="en-GB"/>
                  </w:rPr>
                  <w:t xml:space="preserve"> such as the Information Sharing Expert Working Groups</w:t>
                </w:r>
                <w:r w:rsidRPr="00F95357">
                  <w:rPr>
                    <w:lang w:eastAsia="en-GB"/>
                  </w:rPr>
                  <w:t xml:space="preserve">. </w:t>
                </w:r>
              </w:p>
              <w:p w14:paraId="56DEA982" w14:textId="4F879E37" w:rsidR="28F156CA" w:rsidRPr="000C7F2B" w:rsidRDefault="00F95357" w:rsidP="00A00880">
                <w:pPr>
                  <w:pStyle w:val="ListParagraph"/>
                  <w:numPr>
                    <w:ilvl w:val="0"/>
                    <w:numId w:val="39"/>
                  </w:numPr>
                  <w:rPr>
                    <w:lang w:eastAsia="en-GB"/>
                  </w:rPr>
                </w:pPr>
                <w:r w:rsidRPr="00F95357">
                  <w:rPr>
                    <w:lang w:eastAsia="en-GB"/>
                  </w:rPr>
                  <w:t xml:space="preserve">There have been </w:t>
                </w:r>
                <w:r w:rsidRPr="00F95357">
                  <w:rPr>
                    <w:b/>
                    <w:lang w:eastAsia="en-GB"/>
                  </w:rPr>
                  <w:t>clear improvements</w:t>
                </w:r>
                <w:r w:rsidR="00AA315B">
                  <w:rPr>
                    <w:b/>
                    <w:lang w:eastAsia="en-GB"/>
                  </w:rPr>
                  <w:t xml:space="preserve"> in</w:t>
                </w:r>
                <w:r w:rsidRPr="00F95357">
                  <w:rPr>
                    <w:b/>
                    <w:lang w:eastAsia="en-GB"/>
                  </w:rPr>
                  <w:t xml:space="preserve"> the UK supervisory regime and PBS compliance with the MLRs</w:t>
                </w:r>
                <w:r w:rsidRPr="00F95357">
                  <w:rPr>
                    <w:lang w:eastAsia="en-GB"/>
                  </w:rPr>
                  <w:t xml:space="preserve">, reflected in sector feedback in the Call for Evidence and an increase in overall enforcement against breaches of the MLRs by regulated entities. Policy objectives in this area have been </w:t>
                </w:r>
                <w:r w:rsidR="0047409B">
                  <w:rPr>
                    <w:lang w:eastAsia="en-GB"/>
                  </w:rPr>
                  <w:t>partly</w:t>
                </w:r>
                <w:r w:rsidR="0047409B" w:rsidRPr="00F95357">
                  <w:rPr>
                    <w:lang w:eastAsia="en-GB"/>
                  </w:rPr>
                  <w:t xml:space="preserve"> </w:t>
                </w:r>
                <w:r w:rsidRPr="00F95357">
                  <w:rPr>
                    <w:lang w:eastAsia="en-GB"/>
                  </w:rPr>
                  <w:t xml:space="preserve">met, with the need for a </w:t>
                </w:r>
                <w:r w:rsidR="00FF4C9A">
                  <w:rPr>
                    <w:lang w:eastAsia="en-GB"/>
                  </w:rPr>
                  <w:t xml:space="preserve">continued </w:t>
                </w:r>
                <w:r w:rsidRPr="00F95357">
                  <w:rPr>
                    <w:lang w:eastAsia="en-GB"/>
                  </w:rPr>
                  <w:t>focus on overall effectiveness rather than compliance moving forward.</w:t>
                </w:r>
              </w:p>
            </w:sdtContent>
          </w:sdt>
          <w:p w14:paraId="2E2F5806" w14:textId="77777777" w:rsidR="2F7DB547" w:rsidRDefault="2F7DB547"/>
        </w:tc>
      </w:tr>
    </w:tbl>
    <w:p w14:paraId="3047179D" w14:textId="3300F0DE" w:rsidR="00BD7DFC" w:rsidRPr="001D00DB" w:rsidRDefault="00BD7DFC" w:rsidP="00BD7DFC">
      <w:pPr>
        <w:pStyle w:val="IASign-offlabel"/>
        <w:rPr>
          <w:b w:val="0"/>
          <w:sz w:val="24"/>
          <w:szCs w:val="24"/>
        </w:rPr>
      </w:pPr>
      <w:bookmarkStart w:id="2" w:name="SignOfftext"/>
      <w:r w:rsidRPr="001D00DB">
        <w:rPr>
          <w:b w:val="0"/>
          <w:sz w:val="24"/>
          <w:szCs w:val="24"/>
          <w:u w:val="none"/>
        </w:rPr>
        <w:t xml:space="preserve">Sign-off </w:t>
      </w:r>
      <w:r w:rsidR="001D00DB" w:rsidRPr="001D00DB">
        <w:rPr>
          <w:b w:val="0"/>
          <w:sz w:val="24"/>
          <w:szCs w:val="24"/>
          <w:u w:val="none"/>
        </w:rPr>
        <w:t>f</w:t>
      </w:r>
      <w:r w:rsidRPr="001D00DB">
        <w:rPr>
          <w:b w:val="0"/>
          <w:sz w:val="24"/>
          <w:szCs w:val="24"/>
          <w:u w:val="none"/>
        </w:rPr>
        <w:t>or Post Implementation Review</w:t>
      </w:r>
      <w:r w:rsidR="00BB1073">
        <w:rPr>
          <w:b w:val="0"/>
          <w:sz w:val="24"/>
          <w:szCs w:val="24"/>
          <w:u w:val="none"/>
        </w:rPr>
        <w:t xml:space="preserve">: </w:t>
      </w:r>
      <w:r w:rsidR="009D69FC" w:rsidRPr="009D69FC">
        <w:rPr>
          <w:b w:val="0"/>
          <w:sz w:val="24"/>
          <w:szCs w:val="24"/>
          <w:u w:val="none"/>
        </w:rPr>
        <w:t>Economic Secretary to the Treasury</w:t>
      </w:r>
    </w:p>
    <w:p w14:paraId="3261B3B5" w14:textId="77777777" w:rsidR="00BD7DFC" w:rsidRPr="00BA2F10" w:rsidRDefault="00BD7DFC" w:rsidP="00BA2F10">
      <w:pPr>
        <w:pStyle w:val="IASign-off"/>
        <w:spacing w:after="120"/>
        <w:rPr>
          <w:szCs w:val="24"/>
        </w:rPr>
      </w:pPr>
      <w:r w:rsidRPr="00FD25C3">
        <w:rPr>
          <w:szCs w:val="24"/>
        </w:rPr>
        <w:t>I have read the PIR and I am satisfied that it represents a fair and proportionate assessment of the impact of the</w:t>
      </w:r>
      <w:bookmarkEnd w:id="2"/>
      <w:r>
        <w:rPr>
          <w:szCs w:val="24"/>
        </w:rPr>
        <w:t xml:space="preserve"> measure</w:t>
      </w:r>
      <w:r w:rsidRPr="00FD25C3">
        <w:rPr>
          <w:szCs w:val="24"/>
        </w:rPr>
        <w:t>.</w:t>
      </w:r>
    </w:p>
    <w:p w14:paraId="69380024" w14:textId="54AB6878" w:rsidR="00BD7DFC" w:rsidRPr="00BD7DFC" w:rsidRDefault="00BD7DFC" w:rsidP="00BD7DFC">
      <w:pPr>
        <w:pStyle w:val="IASign-off"/>
        <w:rPr>
          <w:b w:val="0"/>
          <w:i w:val="0"/>
          <w:szCs w:val="24"/>
        </w:rPr>
      </w:pPr>
      <w:r w:rsidRPr="00FD25C3">
        <w:rPr>
          <w:b w:val="0"/>
          <w:i w:val="0"/>
          <w:szCs w:val="24"/>
        </w:rPr>
        <w:t>Signed:</w:t>
      </w:r>
      <w:r>
        <w:rPr>
          <w:b w:val="0"/>
          <w:i w:val="0"/>
          <w:szCs w:val="24"/>
        </w:rPr>
        <w:t xml:space="preserve">  </w:t>
      </w:r>
      <w:sdt>
        <w:sdtPr>
          <w:rPr>
            <w:color w:val="000000"/>
            <w:szCs w:val="24"/>
          </w:rPr>
          <w:id w:val="-1390569859"/>
          <w:placeholder>
            <w:docPart w:val="89AD2A266F224B6387CCAA0CCC6431E5"/>
          </w:placeholder>
        </w:sdtPr>
        <w:sdtEndPr/>
        <w:sdtContent>
          <w:r w:rsidR="00DB35E7">
            <w:rPr>
              <w:color w:val="000000"/>
              <w:szCs w:val="24"/>
            </w:rPr>
            <w:t>Richard Fuller</w:t>
          </w:r>
        </w:sdtContent>
      </w:sdt>
      <w:r>
        <w:rPr>
          <w:b w:val="0"/>
          <w:i w:val="0"/>
          <w:szCs w:val="24"/>
        </w:rPr>
        <w:tab/>
      </w:r>
      <w:r>
        <w:rPr>
          <w:b w:val="0"/>
          <w:i w:val="0"/>
          <w:szCs w:val="24"/>
        </w:rPr>
        <w:tab/>
      </w:r>
      <w:r>
        <w:rPr>
          <w:b w:val="0"/>
          <w:i w:val="0"/>
          <w:szCs w:val="24"/>
        </w:rPr>
        <w:tab/>
      </w:r>
      <w:r>
        <w:rPr>
          <w:b w:val="0"/>
          <w:i w:val="0"/>
          <w:szCs w:val="24"/>
        </w:rPr>
        <w:tab/>
      </w:r>
      <w:r>
        <w:rPr>
          <w:b w:val="0"/>
          <w:i w:val="0"/>
          <w:szCs w:val="24"/>
        </w:rPr>
        <w:tab/>
      </w:r>
      <w:r w:rsidRPr="00FD25C3">
        <w:rPr>
          <w:b w:val="0"/>
          <w:i w:val="0"/>
          <w:szCs w:val="24"/>
        </w:rPr>
        <w:t xml:space="preserve">Date: </w:t>
      </w:r>
      <w:sdt>
        <w:sdtPr>
          <w:rPr>
            <w:b w:val="0"/>
            <w:i w:val="0"/>
            <w:color w:val="000000"/>
            <w:sz w:val="22"/>
            <w:szCs w:val="22"/>
          </w:rPr>
          <w:id w:val="289397917"/>
          <w:placeholder>
            <w:docPart w:val="F5D217F847D94880A8E4C0642902DCB8"/>
          </w:placeholder>
          <w:date w:fullDate="2022-07-21T00:00:00Z">
            <w:dateFormat w:val="dd/MM/yyyy"/>
            <w:lid w:val="en-GB"/>
            <w:storeMappedDataAs w:val="dateTime"/>
            <w:calendar w:val="gregorian"/>
          </w:date>
        </w:sdtPr>
        <w:sdtEndPr>
          <w:rPr>
            <w:i/>
            <w:sz w:val="24"/>
            <w:szCs w:val="24"/>
          </w:rPr>
        </w:sdtEndPr>
        <w:sdtContent>
          <w:r w:rsidR="00DB35E7">
            <w:rPr>
              <w:b w:val="0"/>
              <w:i w:val="0"/>
              <w:color w:val="000000"/>
              <w:sz w:val="22"/>
              <w:szCs w:val="22"/>
            </w:rPr>
            <w:t>21/07/2022</w:t>
          </w:r>
        </w:sdtContent>
      </w:sdt>
    </w:p>
    <w:p w14:paraId="1EFEC0E0" w14:textId="195DA526" w:rsidR="001D00DB" w:rsidRPr="008B409D" w:rsidRDefault="00063DFE" w:rsidP="001D00DB">
      <w:pPr>
        <w:pStyle w:val="EBBodyPara"/>
        <w:keepNext/>
        <w:keepLines/>
        <w:rPr>
          <w:rFonts w:ascii="Calibri" w:hAnsi="Calibri"/>
          <w:b/>
          <w:sz w:val="28"/>
          <w:szCs w:val="28"/>
        </w:rPr>
      </w:pPr>
      <w:r>
        <w:rPr>
          <w:rFonts w:ascii="Calibri" w:hAnsi="Calibri"/>
          <w:b/>
          <w:sz w:val="28"/>
          <w:szCs w:val="28"/>
        </w:rPr>
        <w:t>F</w:t>
      </w:r>
      <w:r w:rsidR="001D00DB">
        <w:rPr>
          <w:rFonts w:ascii="Calibri" w:hAnsi="Calibri"/>
          <w:b/>
          <w:sz w:val="28"/>
          <w:szCs w:val="28"/>
        </w:rPr>
        <w:t xml:space="preserve">urther </w:t>
      </w:r>
      <w:r w:rsidR="00DA7D3B">
        <w:rPr>
          <w:rFonts w:ascii="Calibri" w:hAnsi="Calibri"/>
          <w:b/>
          <w:sz w:val="28"/>
          <w:szCs w:val="28"/>
        </w:rPr>
        <w:t>i</w:t>
      </w:r>
      <w:r w:rsidR="001D00DB">
        <w:rPr>
          <w:rFonts w:ascii="Calibri" w:hAnsi="Calibri"/>
          <w:b/>
          <w:sz w:val="28"/>
          <w:szCs w:val="28"/>
        </w:rPr>
        <w:t xml:space="preserve">nformation </w:t>
      </w:r>
      <w:r w:rsidR="00DA7D3B">
        <w:rPr>
          <w:rFonts w:ascii="Calibri" w:hAnsi="Calibri"/>
          <w:b/>
          <w:sz w:val="28"/>
          <w:szCs w:val="28"/>
        </w:rPr>
        <w:t>s</w:t>
      </w:r>
      <w:r w:rsidR="001D00DB">
        <w:rPr>
          <w:rFonts w:ascii="Calibri" w:hAnsi="Calibri"/>
          <w:b/>
          <w:sz w:val="28"/>
          <w:szCs w:val="28"/>
        </w:rPr>
        <w:t>heet</w:t>
      </w:r>
    </w:p>
    <w:p w14:paraId="2E3A1D5B" w14:textId="77777777" w:rsidR="001D00DB" w:rsidRDefault="001D00DB" w:rsidP="001D00DB">
      <w:pPr>
        <w:pStyle w:val="EBBodyPara"/>
        <w:keepNext/>
        <w:keepLines/>
        <w:rPr>
          <w:szCs w:val="24"/>
        </w:rPr>
      </w:pPr>
      <w:r w:rsidRPr="00FC6D47">
        <w:rPr>
          <w:szCs w:val="24"/>
        </w:rPr>
        <w:t xml:space="preserve">Please provide additional evidence in subsequent sheets, as required. </w:t>
      </w:r>
    </w:p>
    <w:p w14:paraId="76FE5B3C" w14:textId="77777777" w:rsidR="00404CB8" w:rsidRDefault="00404CB8" w:rsidP="001D00DB">
      <w:pPr>
        <w:pStyle w:val="EBBodyPara"/>
        <w:keepNext/>
        <w:keepLines/>
        <w:rPr>
          <w:szCs w:val="24"/>
        </w:rPr>
      </w:pPr>
    </w:p>
    <w:p w14:paraId="4FD69F70" w14:textId="77777777" w:rsidR="00404CB8" w:rsidRDefault="00404CB8" w:rsidP="001D00DB">
      <w:pPr>
        <w:pStyle w:val="EBBodyPara"/>
        <w:keepNext/>
        <w:keepLines/>
        <w:rPr>
          <w:szCs w:val="24"/>
        </w:rPr>
      </w:pPr>
    </w:p>
    <w:p w14:paraId="20E4C60D" w14:textId="77777777" w:rsidR="00404CB8" w:rsidRDefault="00404CB8" w:rsidP="001D00DB">
      <w:pPr>
        <w:pStyle w:val="EBBodyPara"/>
        <w:keepNext/>
        <w:keepLines/>
        <w:rPr>
          <w:szCs w:val="24"/>
        </w:rPr>
      </w:pPr>
    </w:p>
    <w:p w14:paraId="11C0E438" w14:textId="77777777" w:rsidR="00404CB8" w:rsidRDefault="00404CB8" w:rsidP="001D00DB">
      <w:pPr>
        <w:pStyle w:val="EBBodyPara"/>
        <w:keepNext/>
        <w:keepLines/>
        <w:rPr>
          <w:szCs w:val="24"/>
        </w:rPr>
      </w:pPr>
    </w:p>
    <w:tbl>
      <w:tblPr>
        <w:tblpPr w:leftFromText="180" w:rightFromText="180" w:vertAnchor="text" w:horzAnchor="margin" w:tblpX="85" w:tblpY="108"/>
        <w:tblW w:w="10360"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1E0" w:firstRow="1" w:lastRow="1" w:firstColumn="1" w:lastColumn="1" w:noHBand="0" w:noVBand="0"/>
      </w:tblPr>
      <w:tblGrid>
        <w:gridCol w:w="10360"/>
      </w:tblGrid>
      <w:tr w:rsidR="009D0711" w:rsidRPr="00FB44FE" w14:paraId="338E9049" w14:textId="77777777" w:rsidTr="6BD975F8">
        <w:trPr>
          <w:trHeight w:val="70"/>
        </w:trPr>
        <w:tc>
          <w:tcPr>
            <w:tcW w:w="10360" w:type="dxa"/>
            <w:tcBorders>
              <w:top w:val="nil"/>
              <w:left w:val="nil"/>
              <w:bottom w:val="single" w:sz="4" w:space="0" w:color="auto"/>
              <w:right w:val="nil"/>
            </w:tcBorders>
          </w:tcPr>
          <w:p w14:paraId="0684E695" w14:textId="77777777" w:rsidR="009D0711" w:rsidRPr="00CE1D6F" w:rsidRDefault="009D0711" w:rsidP="00F6554A">
            <w:pPr>
              <w:ind w:left="113" w:right="113"/>
              <w:rPr>
                <w:rFonts w:eastAsia="SimSun"/>
                <w:b/>
                <w:color w:val="000000"/>
                <w:spacing w:val="-5"/>
                <w:sz w:val="4"/>
                <w:szCs w:val="4"/>
                <w:lang w:eastAsia="zh-CN"/>
              </w:rPr>
            </w:pPr>
            <w:r w:rsidRPr="00CE1D6F">
              <w:rPr>
                <w:rFonts w:eastAsia="SimSun"/>
                <w:b/>
                <w:color w:val="FFFFFF" w:themeColor="background1"/>
                <w:spacing w:val="-5"/>
                <w:sz w:val="4"/>
                <w:szCs w:val="4"/>
                <w:lang w:eastAsia="zh-CN"/>
              </w:rPr>
              <w:t>Questions</w:t>
            </w:r>
          </w:p>
        </w:tc>
      </w:tr>
      <w:tr w:rsidR="009D0711" w:rsidRPr="00FB44FE" w14:paraId="25591457" w14:textId="77777777" w:rsidTr="6BD975F8">
        <w:trPr>
          <w:trHeight w:val="483"/>
        </w:trPr>
        <w:tc>
          <w:tcPr>
            <w:tcW w:w="10360" w:type="dxa"/>
            <w:tcBorders>
              <w:top w:val="single" w:sz="4" w:space="0" w:color="auto"/>
              <w:bottom w:val="nil"/>
            </w:tcBorders>
          </w:tcPr>
          <w:p w14:paraId="7F421629" w14:textId="42178CB2" w:rsidR="009D0711" w:rsidRPr="00FB44FE" w:rsidRDefault="009D0711" w:rsidP="28F156CA">
            <w:pPr>
              <w:spacing w:before="120" w:after="50"/>
              <w:ind w:right="113"/>
              <w:rPr>
                <w:rFonts w:eastAsia="SimSun"/>
                <w:b/>
                <w:color w:val="000000"/>
                <w:spacing w:val="-5"/>
                <w:szCs w:val="24"/>
                <w:lang w:eastAsia="zh-CN"/>
              </w:rPr>
            </w:pPr>
            <w:r>
              <w:rPr>
                <w:rFonts w:eastAsia="SimSun"/>
                <w:b/>
                <w:color w:val="000000"/>
                <w:spacing w:val="-5"/>
                <w:szCs w:val="24"/>
                <w:lang w:eastAsia="zh-CN"/>
              </w:rPr>
              <w:lastRenderedPageBreak/>
              <w:t>4</w:t>
            </w:r>
            <w:r w:rsidRPr="00FB44FE">
              <w:rPr>
                <w:rFonts w:eastAsia="SimSun"/>
                <w:b/>
                <w:color w:val="000000"/>
                <w:spacing w:val="-5"/>
                <w:szCs w:val="24"/>
                <w:lang w:eastAsia="zh-CN"/>
              </w:rPr>
              <w:t xml:space="preserve">. </w:t>
            </w:r>
            <w:r>
              <w:t xml:space="preserve"> </w:t>
            </w:r>
            <w:r w:rsidRPr="009D0711">
              <w:rPr>
                <w:rFonts w:eastAsia="SimSun"/>
                <w:b/>
                <w:color w:val="000000"/>
                <w:spacing w:val="-5"/>
                <w:szCs w:val="24"/>
                <w:lang w:eastAsia="zh-CN"/>
              </w:rPr>
              <w:t>What were the original assumptions?</w:t>
            </w:r>
          </w:p>
        </w:tc>
      </w:tr>
      <w:tr w:rsidR="009D0711" w:rsidRPr="00FB44FE" w14:paraId="4837D3C9" w14:textId="77777777" w:rsidTr="6BD975F8">
        <w:trPr>
          <w:trHeight w:val="569"/>
        </w:trPr>
        <w:tc>
          <w:tcPr>
            <w:tcW w:w="10360" w:type="dxa"/>
            <w:tcBorders>
              <w:top w:val="nil"/>
              <w:bottom w:val="single" w:sz="4" w:space="0" w:color="auto"/>
            </w:tcBorders>
          </w:tcPr>
          <w:p w14:paraId="2C7965DF" w14:textId="77777777" w:rsidR="005E7996" w:rsidRDefault="00DD4B0E" w:rsidP="00DD4B0E">
            <w:pPr>
              <w:rPr>
                <w:lang w:eastAsia="zh-CN"/>
              </w:rPr>
            </w:pPr>
            <w:r>
              <w:rPr>
                <w:lang w:eastAsia="zh-CN"/>
              </w:rPr>
              <w:t>It was assumed that</w:t>
            </w:r>
            <w:r w:rsidR="005E7996">
              <w:rPr>
                <w:lang w:eastAsia="zh-CN"/>
              </w:rPr>
              <w:t>:</w:t>
            </w:r>
          </w:p>
          <w:p w14:paraId="49BFB067" w14:textId="353F7105" w:rsidR="005E7996" w:rsidRDefault="00DD4B0E" w:rsidP="000944DC">
            <w:pPr>
              <w:pStyle w:val="ListParagraph"/>
              <w:numPr>
                <w:ilvl w:val="0"/>
                <w:numId w:val="40"/>
              </w:numPr>
              <w:rPr>
                <w:lang w:eastAsia="zh-CN"/>
              </w:rPr>
            </w:pPr>
            <w:r>
              <w:rPr>
                <w:lang w:eastAsia="zh-CN"/>
              </w:rPr>
              <w:t xml:space="preserve">the creation of OPBAS would alter the framework of the AML regime, which may lead to some PBSs leaving, or being removed from, the regime and their members moving to other supervisors. </w:t>
            </w:r>
          </w:p>
          <w:p w14:paraId="134A2D0E" w14:textId="0FE748B7" w:rsidR="005E7996" w:rsidRPr="00785A02" w:rsidRDefault="7525DD66" w:rsidP="000944DC">
            <w:pPr>
              <w:pStyle w:val="ListParagraph"/>
              <w:numPr>
                <w:ilvl w:val="0"/>
                <w:numId w:val="40"/>
              </w:numPr>
              <w:rPr>
                <w:rFonts w:eastAsia="Arial" w:cs="Arial"/>
                <w:lang w:eastAsia="zh-CN"/>
              </w:rPr>
            </w:pPr>
            <w:r w:rsidRPr="7525DD66">
              <w:rPr>
                <w:rFonts w:eastAsia="Calibri"/>
                <w:szCs w:val="24"/>
                <w:lang w:eastAsia="zh-CN"/>
              </w:rPr>
              <w:t xml:space="preserve">OPBAS would oversee 22 PBSs responsible for AML and CTF supervision of the accountancy and legal sectors </w:t>
            </w:r>
            <w:r w:rsidR="6C72CD1C" w:rsidRPr="00785A02">
              <w:rPr>
                <w:rFonts w:eastAsia="Arial" w:cs="Arial"/>
                <w:lang w:eastAsia="zh-CN"/>
              </w:rPr>
              <w:t>OPBAS would be funded by a fee on 22 PBSs, with a cost of c</w:t>
            </w:r>
            <w:r w:rsidR="109FDF47" w:rsidRPr="00785A02">
              <w:rPr>
                <w:rFonts w:eastAsia="Arial" w:cs="Arial"/>
                <w:lang w:eastAsia="zh-CN"/>
              </w:rPr>
              <w:t xml:space="preserve">. </w:t>
            </w:r>
            <w:r w:rsidR="6C72CD1C" w:rsidRPr="00785A02">
              <w:rPr>
                <w:rFonts w:eastAsia="Arial" w:cs="Arial"/>
                <w:lang w:eastAsia="zh-CN"/>
              </w:rPr>
              <w:t xml:space="preserve">£2m p.a. when operational and in steady state. </w:t>
            </w:r>
          </w:p>
          <w:p w14:paraId="0C1BD840" w14:textId="1BCAD94E" w:rsidR="004C3A99" w:rsidRDefault="005E7996" w:rsidP="000944DC">
            <w:pPr>
              <w:pStyle w:val="ListParagraph"/>
              <w:numPr>
                <w:ilvl w:val="0"/>
                <w:numId w:val="40"/>
              </w:numPr>
              <w:rPr>
                <w:lang w:eastAsia="zh-CN"/>
              </w:rPr>
            </w:pPr>
            <w:r>
              <w:rPr>
                <w:lang w:eastAsia="zh-CN"/>
              </w:rPr>
              <w:t>The 22</w:t>
            </w:r>
            <w:r w:rsidR="4522DEFD" w:rsidRPr="7525DD66">
              <w:rPr>
                <w:lang w:eastAsia="zh-CN"/>
              </w:rPr>
              <w:t xml:space="preserve"> relevant</w:t>
            </w:r>
            <w:r>
              <w:rPr>
                <w:lang w:eastAsia="zh-CN"/>
              </w:rPr>
              <w:t xml:space="preserve"> PBSs would also incur a familiarisation cost if they need to adapt their supervisory approach to meet OPBAS’s best practice and they would incur ongoing costs from engaging with OPBAS.</w:t>
            </w:r>
          </w:p>
          <w:p w14:paraId="1E0FCDAD" w14:textId="16D70793" w:rsidR="005E7996" w:rsidRDefault="00E3207C" w:rsidP="000944DC">
            <w:pPr>
              <w:pStyle w:val="ListParagraph"/>
              <w:numPr>
                <w:ilvl w:val="0"/>
                <w:numId w:val="40"/>
              </w:numPr>
              <w:rPr>
                <w:lang w:eastAsia="zh-CN"/>
              </w:rPr>
            </w:pPr>
            <w:r>
              <w:rPr>
                <w:lang w:eastAsia="zh-CN"/>
              </w:rPr>
              <w:t xml:space="preserve">Currently, </w:t>
            </w:r>
            <w:r w:rsidR="004C3A99" w:rsidRPr="004C3A99">
              <w:rPr>
                <w:lang w:eastAsia="zh-CN"/>
              </w:rPr>
              <w:t>the OPBAS levy consists of a flat fee of £5,000 if the professional body supervises up to 6,000 individuals and a variable fee for every supervised individual above the 6,000 threshold, if applicable</w:t>
            </w:r>
            <w:r w:rsidR="004C3A99">
              <w:rPr>
                <w:lang w:eastAsia="zh-CN"/>
              </w:rPr>
              <w:t>.</w:t>
            </w:r>
            <w:r w:rsidR="005E7996">
              <w:rPr>
                <w:lang w:eastAsia="zh-CN"/>
              </w:rPr>
              <w:t xml:space="preserve"> </w:t>
            </w:r>
            <w:r w:rsidR="007B0A23">
              <w:rPr>
                <w:lang w:eastAsia="zh-CN"/>
              </w:rPr>
              <w:t>This is subject to change year-on-year.</w:t>
            </w:r>
          </w:p>
          <w:p w14:paraId="0F5059D0" w14:textId="2B950BCD" w:rsidR="00E353B5" w:rsidRDefault="00E353B5" w:rsidP="000944DC">
            <w:pPr>
              <w:pStyle w:val="ListParagraph"/>
              <w:numPr>
                <w:ilvl w:val="0"/>
                <w:numId w:val="40"/>
              </w:numPr>
              <w:rPr>
                <w:lang w:eastAsia="zh-CN"/>
              </w:rPr>
            </w:pPr>
            <w:r>
              <w:rPr>
                <w:lang w:eastAsia="zh-CN"/>
              </w:rPr>
              <w:t>If PBSs d</w:t>
            </w:r>
            <w:r w:rsidR="00841074">
              <w:rPr>
                <w:lang w:eastAsia="zh-CN"/>
              </w:rPr>
              <w:t>id</w:t>
            </w:r>
            <w:r>
              <w:rPr>
                <w:lang w:eastAsia="zh-CN"/>
              </w:rPr>
              <w:t xml:space="preserve"> not comply with their obligations in the MLRs, OPBAS would be able to publicly censure them</w:t>
            </w:r>
            <w:r w:rsidR="0019541A">
              <w:rPr>
                <w:lang w:eastAsia="zh-CN"/>
              </w:rPr>
              <w:t xml:space="preserve"> (</w:t>
            </w:r>
            <w:r w:rsidR="000602BB">
              <w:rPr>
                <w:lang w:eastAsia="zh-CN"/>
              </w:rPr>
              <w:t xml:space="preserve">publish a notice </w:t>
            </w:r>
            <w:r w:rsidR="00DF2935">
              <w:rPr>
                <w:lang w:eastAsia="zh-CN"/>
              </w:rPr>
              <w:t>detailing</w:t>
            </w:r>
            <w:r w:rsidR="00A50F6F">
              <w:rPr>
                <w:lang w:eastAsia="zh-CN"/>
              </w:rPr>
              <w:t xml:space="preserve"> </w:t>
            </w:r>
            <w:r w:rsidR="00EE436F">
              <w:rPr>
                <w:lang w:eastAsia="zh-CN"/>
              </w:rPr>
              <w:t>the PBS’s</w:t>
            </w:r>
            <w:r w:rsidR="00A50F6F">
              <w:rPr>
                <w:lang w:eastAsia="zh-CN"/>
              </w:rPr>
              <w:t xml:space="preserve"> </w:t>
            </w:r>
            <w:r w:rsidR="00BA5738">
              <w:rPr>
                <w:lang w:eastAsia="zh-CN"/>
              </w:rPr>
              <w:t>failure to comply</w:t>
            </w:r>
            <w:r w:rsidR="00A50F6F">
              <w:rPr>
                <w:lang w:eastAsia="zh-CN"/>
              </w:rPr>
              <w:t>)</w:t>
            </w:r>
            <w:r w:rsidR="00270CBF">
              <w:rPr>
                <w:lang w:eastAsia="zh-CN"/>
              </w:rPr>
              <w:t xml:space="preserve"> or</w:t>
            </w:r>
            <w:r>
              <w:rPr>
                <w:lang w:eastAsia="zh-CN"/>
              </w:rPr>
              <w:t xml:space="preserve"> recommend HMT removes their responsibilit</w:t>
            </w:r>
            <w:r w:rsidR="001941C8">
              <w:rPr>
                <w:lang w:eastAsia="zh-CN"/>
              </w:rPr>
              <w:t>ies</w:t>
            </w:r>
            <w:r>
              <w:rPr>
                <w:lang w:eastAsia="zh-CN"/>
              </w:rPr>
              <w:t xml:space="preserve"> as an AML supervisor. The costs that PBSs </w:t>
            </w:r>
            <w:r w:rsidR="00787B57">
              <w:rPr>
                <w:lang w:eastAsia="zh-CN"/>
              </w:rPr>
              <w:t>could</w:t>
            </w:r>
            <w:r>
              <w:rPr>
                <w:lang w:eastAsia="zh-CN"/>
              </w:rPr>
              <w:t xml:space="preserve"> incur </w:t>
            </w:r>
            <w:r w:rsidR="00787B57">
              <w:rPr>
                <w:lang w:eastAsia="zh-CN"/>
              </w:rPr>
              <w:t>in th</w:t>
            </w:r>
            <w:r w:rsidR="0046722A">
              <w:rPr>
                <w:lang w:eastAsia="zh-CN"/>
              </w:rPr>
              <w:t xml:space="preserve">is scenario </w:t>
            </w:r>
            <w:r w:rsidR="006778B0">
              <w:rPr>
                <w:lang w:eastAsia="zh-CN"/>
              </w:rPr>
              <w:t xml:space="preserve">were </w:t>
            </w:r>
            <w:r>
              <w:rPr>
                <w:lang w:eastAsia="zh-CN"/>
              </w:rPr>
              <w:t xml:space="preserve">not included in the Impact Assessment. </w:t>
            </w:r>
          </w:p>
          <w:p w14:paraId="3D668FCB" w14:textId="74EBA6E9" w:rsidR="00AE47F0" w:rsidRDefault="00AE47F0" w:rsidP="000944DC">
            <w:pPr>
              <w:pStyle w:val="ListParagraph"/>
              <w:numPr>
                <w:ilvl w:val="0"/>
                <w:numId w:val="40"/>
              </w:numPr>
              <w:rPr>
                <w:lang w:eastAsia="zh-CN"/>
              </w:rPr>
            </w:pPr>
            <w:r>
              <w:rPr>
                <w:lang w:eastAsia="zh-CN"/>
              </w:rPr>
              <w:t xml:space="preserve">PBSs would benefit from OPBAS improving information sharing and increasing collaboration, therefore enabling them to target their resources more effectively. </w:t>
            </w:r>
          </w:p>
          <w:p w14:paraId="0277F816" w14:textId="67C9CBE5" w:rsidR="00AE47F0" w:rsidRDefault="00AE47F0" w:rsidP="000944DC">
            <w:pPr>
              <w:pStyle w:val="ListParagraph"/>
              <w:numPr>
                <w:ilvl w:val="0"/>
                <w:numId w:val="40"/>
              </w:numPr>
              <w:rPr>
                <w:lang w:eastAsia="zh-CN"/>
              </w:rPr>
            </w:pPr>
            <w:r>
              <w:rPr>
                <w:lang w:eastAsia="zh-CN"/>
              </w:rPr>
              <w:t xml:space="preserve">Regulated businesses and their customers would benefit from supervisors taking a more risk-based </w:t>
            </w:r>
            <w:r w:rsidR="0001602E">
              <w:rPr>
                <w:lang w:eastAsia="zh-CN"/>
              </w:rPr>
              <w:t>approach and</w:t>
            </w:r>
            <w:r>
              <w:rPr>
                <w:lang w:eastAsia="zh-CN"/>
              </w:rPr>
              <w:t xml:space="preserve"> having more consistent standards and expectations. </w:t>
            </w:r>
          </w:p>
          <w:p w14:paraId="5FA8AE94" w14:textId="1D40C639" w:rsidR="00AE47F0" w:rsidRDefault="00AE47F0" w:rsidP="000944DC">
            <w:pPr>
              <w:pStyle w:val="ListParagraph"/>
              <w:numPr>
                <w:ilvl w:val="0"/>
                <w:numId w:val="40"/>
              </w:numPr>
              <w:rPr>
                <w:lang w:eastAsia="zh-CN"/>
              </w:rPr>
            </w:pPr>
            <w:r>
              <w:rPr>
                <w:lang w:eastAsia="zh-CN"/>
              </w:rPr>
              <w:t>There would also be a benefit to the wider economy as stronger supervision reduces economic crime.</w:t>
            </w:r>
          </w:p>
          <w:p w14:paraId="656E0161" w14:textId="31CC36E6" w:rsidR="009D0711" w:rsidRPr="00BD7DFC" w:rsidRDefault="009D0711" w:rsidP="00024B87">
            <w:pPr>
              <w:rPr>
                <w:lang w:eastAsia="zh-CN"/>
              </w:rPr>
            </w:pPr>
          </w:p>
        </w:tc>
      </w:tr>
      <w:tr w:rsidR="009D0711" w:rsidRPr="00FB44FE" w14:paraId="2FABE9D3" w14:textId="77777777" w:rsidTr="6BD975F8">
        <w:trPr>
          <w:trHeight w:val="451"/>
        </w:trPr>
        <w:tc>
          <w:tcPr>
            <w:tcW w:w="10360" w:type="dxa"/>
            <w:tcBorders>
              <w:top w:val="single" w:sz="4" w:space="0" w:color="auto"/>
              <w:bottom w:val="nil"/>
            </w:tcBorders>
          </w:tcPr>
          <w:p w14:paraId="20C48EED" w14:textId="6A673ED6" w:rsidR="009D0711" w:rsidRPr="00FB44FE" w:rsidRDefault="009D0711" w:rsidP="00F6554A">
            <w:pPr>
              <w:spacing w:before="120" w:after="50"/>
              <w:ind w:right="113"/>
              <w:rPr>
                <w:rFonts w:eastAsia="SimSun"/>
                <w:b/>
                <w:color w:val="000000"/>
                <w:spacing w:val="-5"/>
                <w:szCs w:val="24"/>
                <w:lang w:eastAsia="zh-CN"/>
              </w:rPr>
            </w:pPr>
            <w:r>
              <w:rPr>
                <w:rFonts w:eastAsia="SimSun"/>
                <w:b/>
                <w:color w:val="000000"/>
                <w:spacing w:val="-5"/>
                <w:szCs w:val="24"/>
                <w:lang w:eastAsia="zh-CN"/>
              </w:rPr>
              <w:t>5</w:t>
            </w:r>
            <w:r w:rsidRPr="00FB44FE">
              <w:rPr>
                <w:rFonts w:eastAsia="SimSun"/>
                <w:b/>
                <w:color w:val="000000"/>
                <w:spacing w:val="-5"/>
                <w:szCs w:val="24"/>
                <w:lang w:eastAsia="zh-CN"/>
              </w:rPr>
              <w:t xml:space="preserve">. </w:t>
            </w:r>
            <w:r>
              <w:t xml:space="preserve"> </w:t>
            </w:r>
            <w:r w:rsidRPr="009D0711">
              <w:rPr>
                <w:rFonts w:eastAsia="SimSun"/>
                <w:b/>
                <w:color w:val="000000"/>
                <w:spacing w:val="-5"/>
                <w:szCs w:val="24"/>
                <w:lang w:eastAsia="zh-CN"/>
              </w:rPr>
              <w:t>Were there any unintended consequences?</w:t>
            </w:r>
          </w:p>
        </w:tc>
      </w:tr>
      <w:tr w:rsidR="009D0711" w:rsidRPr="00FB44FE" w14:paraId="3FDD6D12" w14:textId="77777777" w:rsidTr="6BD975F8">
        <w:trPr>
          <w:trHeight w:val="415"/>
        </w:trPr>
        <w:tc>
          <w:tcPr>
            <w:tcW w:w="10360" w:type="dxa"/>
            <w:tcBorders>
              <w:top w:val="nil"/>
              <w:bottom w:val="single" w:sz="4" w:space="0" w:color="auto"/>
            </w:tcBorders>
          </w:tcPr>
          <w:p w14:paraId="71360151" w14:textId="328AA4FD" w:rsidR="009D0711" w:rsidRPr="009D0711" w:rsidRDefault="00DB35E7" w:rsidP="00024B87">
            <w:pPr>
              <w:rPr>
                <w:rFonts w:eastAsia="SimSun" w:cs="Arial"/>
                <w:highlight w:val="yellow"/>
                <w:lang w:eastAsia="zh-CN"/>
              </w:rPr>
            </w:pPr>
            <w:sdt>
              <w:sdtPr>
                <w:rPr>
                  <w:rFonts w:eastAsia="SimSun" w:cs="Arial"/>
                </w:rPr>
                <w:id w:val="-638876628"/>
                <w:placeholder>
                  <w:docPart w:val="7DD3198DCF444E449B08809B388B3ED7"/>
                </w:placeholder>
              </w:sdtPr>
              <w:sdtEndPr/>
              <w:sdtContent>
                <w:r w:rsidR="008A6C40">
                  <w:rPr>
                    <w:rFonts w:eastAsia="SimSun" w:cs="Arial"/>
                  </w:rPr>
                  <w:t xml:space="preserve">The Call for Evidence sought views on </w:t>
                </w:r>
                <w:r w:rsidR="007C08D7">
                  <w:rPr>
                    <w:rFonts w:eastAsia="SimSun" w:cs="Arial"/>
                  </w:rPr>
                  <w:t>the effectiveness of OPBAS and no unintended consequences were identified.</w:t>
                </w:r>
                <w:r w:rsidR="05F2D10E" w:rsidRPr="05F2D10E">
                  <w:rPr>
                    <w:rFonts w:eastAsia="SimSun" w:cs="Arial"/>
                  </w:rPr>
                  <w:t xml:space="preserve"> </w:t>
                </w:r>
              </w:sdtContent>
            </w:sdt>
          </w:p>
        </w:tc>
      </w:tr>
      <w:tr w:rsidR="009D0711" w:rsidRPr="00FB44FE" w14:paraId="32103290" w14:textId="77777777" w:rsidTr="6BD975F8">
        <w:trPr>
          <w:trHeight w:val="453"/>
        </w:trPr>
        <w:tc>
          <w:tcPr>
            <w:tcW w:w="10360" w:type="dxa"/>
            <w:tcBorders>
              <w:top w:val="single" w:sz="4" w:space="0" w:color="auto"/>
              <w:bottom w:val="nil"/>
            </w:tcBorders>
          </w:tcPr>
          <w:p w14:paraId="2CAE3411" w14:textId="3AF0F552" w:rsidR="009D0711" w:rsidRPr="00FB44FE" w:rsidRDefault="009D0711" w:rsidP="007F39AA">
            <w:pPr>
              <w:spacing w:before="120" w:after="50" w:line="276" w:lineRule="auto"/>
              <w:rPr>
                <w:rFonts w:eastAsia="Times New Roman" w:cs="Arial"/>
                <w:b/>
                <w:szCs w:val="24"/>
                <w:lang w:eastAsia="en-GB"/>
              </w:rPr>
            </w:pPr>
            <w:r>
              <w:rPr>
                <w:rFonts w:eastAsia="Times New Roman" w:cs="Arial"/>
                <w:b/>
                <w:szCs w:val="24"/>
                <w:lang w:eastAsia="en-GB"/>
              </w:rPr>
              <w:t>6</w:t>
            </w:r>
            <w:r w:rsidRPr="00FB44FE">
              <w:rPr>
                <w:rFonts w:eastAsia="Times New Roman" w:cs="Arial"/>
                <w:b/>
                <w:szCs w:val="24"/>
                <w:lang w:eastAsia="en-GB"/>
              </w:rPr>
              <w:t>.</w:t>
            </w:r>
            <w:r w:rsidR="00DA7D3B">
              <w:rPr>
                <w:rFonts w:eastAsia="Times New Roman" w:cs="Arial"/>
                <w:b/>
                <w:szCs w:val="24"/>
                <w:lang w:eastAsia="en-GB"/>
              </w:rPr>
              <w:t xml:space="preserve"> </w:t>
            </w:r>
            <w:r w:rsidRPr="009D0711">
              <w:rPr>
                <w:rFonts w:eastAsia="Times New Roman" w:cs="Arial"/>
                <w:b/>
                <w:szCs w:val="24"/>
                <w:lang w:eastAsia="en-GB"/>
              </w:rPr>
              <w:t xml:space="preserve">Has the evidence identified any opportunities for reducing the burden on business? </w:t>
            </w:r>
          </w:p>
        </w:tc>
      </w:tr>
      <w:tr w:rsidR="009D0711" w:rsidRPr="00FB44FE" w14:paraId="2428263D" w14:textId="77777777" w:rsidTr="6BD975F8">
        <w:trPr>
          <w:trHeight w:val="6456"/>
        </w:trPr>
        <w:tc>
          <w:tcPr>
            <w:tcW w:w="10360" w:type="dxa"/>
            <w:tcBorders>
              <w:top w:val="nil"/>
              <w:bottom w:val="single" w:sz="4" w:space="0" w:color="auto"/>
            </w:tcBorders>
          </w:tcPr>
          <w:p w14:paraId="14E8F297" w14:textId="0E81DE81" w:rsidR="007E51C5" w:rsidRDefault="00C85968" w:rsidP="00024B87">
            <w:pPr>
              <w:rPr>
                <w:rFonts w:eastAsia="SimSun" w:cs="Arial"/>
              </w:rPr>
            </w:pPr>
            <w:r w:rsidRPr="00C85968">
              <w:rPr>
                <w:rFonts w:eastAsia="SimSun" w:cs="Arial"/>
              </w:rPr>
              <w:lastRenderedPageBreak/>
              <w:t xml:space="preserve">Whether the objectives could be achieved in another way which involves less onerous regulatory provision </w:t>
            </w:r>
            <w:r>
              <w:rPr>
                <w:rFonts w:eastAsia="SimSun" w:cs="Arial"/>
              </w:rPr>
              <w:t>has been</w:t>
            </w:r>
            <w:r w:rsidRPr="00C85968">
              <w:rPr>
                <w:rFonts w:eastAsia="SimSun" w:cs="Arial"/>
              </w:rPr>
              <w:t xml:space="preserve"> explored further through the broader, forward-looking element of the MLRs Review.</w:t>
            </w:r>
            <w:r w:rsidR="006444BA">
              <w:rPr>
                <w:rFonts w:eastAsia="SimSun" w:cs="Arial"/>
              </w:rPr>
              <w:t xml:space="preserve"> </w:t>
            </w:r>
          </w:p>
          <w:p w14:paraId="7E8630D4" w14:textId="2DEC8F94" w:rsidR="009D0711" w:rsidRDefault="007E51C5" w:rsidP="00024B87">
            <w:pPr>
              <w:rPr>
                <w:rFonts w:eastAsia="SimSun" w:cs="Arial"/>
              </w:rPr>
            </w:pPr>
            <w:r>
              <w:rPr>
                <w:rFonts w:eastAsia="SimSun" w:cs="Arial"/>
              </w:rPr>
              <w:t xml:space="preserve">A few different options for </w:t>
            </w:r>
            <w:r w:rsidR="00E00EED">
              <w:rPr>
                <w:rFonts w:eastAsia="SimSun" w:cs="Arial"/>
              </w:rPr>
              <w:t>development of the supervision regime have been explor</w:t>
            </w:r>
            <w:r w:rsidR="00E17236">
              <w:rPr>
                <w:rFonts w:eastAsia="SimSun" w:cs="Arial"/>
              </w:rPr>
              <w:t>ed in the wider report.</w:t>
            </w:r>
            <w:r w:rsidR="00E11F6E">
              <w:rPr>
                <w:rFonts w:eastAsia="SimSun" w:cs="Arial"/>
              </w:rPr>
              <w:t xml:space="preserve"> </w:t>
            </w:r>
          </w:p>
          <w:p w14:paraId="2F53980F" w14:textId="77777777" w:rsidR="00E17236" w:rsidRPr="00E17236" w:rsidRDefault="00E17236" w:rsidP="00BD3CFA">
            <w:pPr>
              <w:rPr>
                <w:lang w:eastAsia="en-GB"/>
              </w:rPr>
            </w:pPr>
            <w:r w:rsidRPr="00E17236">
              <w:rPr>
                <w:lang w:eastAsia="en-GB"/>
              </w:rPr>
              <w:t xml:space="preserve">Based on the findings of the PIR and the CfE responses, HM Treasury have developed four different policy options for supervisory reform. </w:t>
            </w:r>
          </w:p>
          <w:p w14:paraId="34FD43F4" w14:textId="59E81FB4" w:rsidR="00E17236" w:rsidRPr="00E17236" w:rsidRDefault="00E17236" w:rsidP="00BD3CFA">
            <w:pPr>
              <w:numPr>
                <w:ilvl w:val="0"/>
                <w:numId w:val="64"/>
              </w:numPr>
              <w:rPr>
                <w:lang w:eastAsia="en-GB"/>
              </w:rPr>
            </w:pPr>
            <w:r w:rsidRPr="00E17236">
              <w:rPr>
                <w:lang w:eastAsia="en-GB"/>
              </w:rPr>
              <w:t xml:space="preserve">The first of these is the </w:t>
            </w:r>
            <w:r w:rsidRPr="00E17236">
              <w:rPr>
                <w:b/>
                <w:bCs/>
                <w:lang w:eastAsia="en-GB"/>
              </w:rPr>
              <w:t>OPBAS+ model</w:t>
            </w:r>
            <w:r w:rsidRPr="00E17236">
              <w:rPr>
                <w:lang w:eastAsia="en-GB"/>
              </w:rPr>
              <w:t xml:space="preserve"> which involves formally expanding the remit of OPBAS to focus on effectiveness of PBSs, rather than just technical compliance</w:t>
            </w:r>
            <w:r w:rsidR="008C10D2">
              <w:rPr>
                <w:lang w:eastAsia="en-GB"/>
              </w:rPr>
              <w:t xml:space="preserve">; and expanding OPBAS’s </w:t>
            </w:r>
            <w:r w:rsidRPr="00E17236">
              <w:rPr>
                <w:lang w:eastAsia="en-GB"/>
              </w:rPr>
              <w:t>powers</w:t>
            </w:r>
            <w:r w:rsidR="0028190E">
              <w:rPr>
                <w:lang w:eastAsia="en-GB"/>
              </w:rPr>
              <w:t xml:space="preserve">, </w:t>
            </w:r>
            <w:r w:rsidR="00F90472">
              <w:rPr>
                <w:lang w:eastAsia="en-GB"/>
              </w:rPr>
              <w:t>improv</w:t>
            </w:r>
            <w:r w:rsidR="0028190E">
              <w:rPr>
                <w:lang w:eastAsia="en-GB"/>
              </w:rPr>
              <w:t>ing</w:t>
            </w:r>
            <w:r w:rsidR="00F90472">
              <w:rPr>
                <w:lang w:eastAsia="en-GB"/>
              </w:rPr>
              <w:t xml:space="preserve"> its ability </w:t>
            </w:r>
            <w:r w:rsidRPr="00E17236">
              <w:rPr>
                <w:lang w:eastAsia="en-GB"/>
              </w:rPr>
              <w:t>to take action to resolve poor performance</w:t>
            </w:r>
            <w:r w:rsidR="001D47B7">
              <w:rPr>
                <w:lang w:eastAsia="en-GB"/>
              </w:rPr>
              <w:t xml:space="preserve"> with a </w:t>
            </w:r>
            <w:r w:rsidR="000372EC">
              <w:rPr>
                <w:lang w:eastAsia="en-GB"/>
              </w:rPr>
              <w:t>broader and more targeted range of</w:t>
            </w:r>
            <w:r w:rsidR="001D47B7">
              <w:rPr>
                <w:lang w:eastAsia="en-GB"/>
              </w:rPr>
              <w:t xml:space="preserve"> supervisory </w:t>
            </w:r>
            <w:r w:rsidR="000372EC">
              <w:rPr>
                <w:lang w:eastAsia="en-GB"/>
              </w:rPr>
              <w:t>and</w:t>
            </w:r>
            <w:r w:rsidR="001D47B7">
              <w:rPr>
                <w:lang w:eastAsia="en-GB"/>
              </w:rPr>
              <w:t xml:space="preserve"> enforcement tools</w:t>
            </w:r>
            <w:r w:rsidRPr="00E17236">
              <w:rPr>
                <w:lang w:eastAsia="en-GB"/>
              </w:rPr>
              <w:t xml:space="preserve">. </w:t>
            </w:r>
          </w:p>
          <w:p w14:paraId="7324AC92" w14:textId="7A335965" w:rsidR="00E17236" w:rsidRPr="00E17236" w:rsidRDefault="00E17236" w:rsidP="00BD3CFA">
            <w:pPr>
              <w:numPr>
                <w:ilvl w:val="0"/>
                <w:numId w:val="64"/>
              </w:numPr>
              <w:rPr>
                <w:lang w:eastAsia="en-GB"/>
              </w:rPr>
            </w:pPr>
            <w:r w:rsidRPr="00E17236">
              <w:rPr>
                <w:lang w:eastAsia="en-GB"/>
              </w:rPr>
              <w:t xml:space="preserve">A second option is </w:t>
            </w:r>
            <w:r w:rsidRPr="00E17236">
              <w:rPr>
                <w:b/>
                <w:bCs/>
                <w:lang w:eastAsia="en-GB"/>
              </w:rPr>
              <w:t>PBS consolidation</w:t>
            </w:r>
            <w:r w:rsidRPr="00E17236">
              <w:rPr>
                <w:lang w:eastAsia="en-GB"/>
              </w:rPr>
              <w:t>. This means reducing the number of PBSs</w:t>
            </w:r>
            <w:r w:rsidR="00DF1F52">
              <w:rPr>
                <w:lang w:eastAsia="en-GB"/>
              </w:rPr>
              <w:t xml:space="preserve"> </w:t>
            </w:r>
            <w:r w:rsidRPr="00E17236">
              <w:rPr>
                <w:lang w:eastAsia="en-GB"/>
              </w:rPr>
              <w:t>allowing greater oversight of the remaining supervisors</w:t>
            </w:r>
            <w:r w:rsidR="00DF1F52">
              <w:rPr>
                <w:lang w:eastAsia="en-GB"/>
              </w:rPr>
              <w:t xml:space="preserve"> and reducing complexity of the supervisory regime</w:t>
            </w:r>
            <w:r w:rsidRPr="00E17236">
              <w:rPr>
                <w:lang w:eastAsia="en-GB"/>
              </w:rPr>
              <w:t xml:space="preserve">. </w:t>
            </w:r>
          </w:p>
          <w:p w14:paraId="60FD6170" w14:textId="7B187790" w:rsidR="00E17236" w:rsidRPr="00E17236" w:rsidRDefault="00E17236" w:rsidP="00BD3CFA">
            <w:pPr>
              <w:numPr>
                <w:ilvl w:val="0"/>
                <w:numId w:val="64"/>
              </w:numPr>
              <w:rPr>
                <w:lang w:eastAsia="en-GB"/>
              </w:rPr>
            </w:pPr>
            <w:r w:rsidRPr="00E17236">
              <w:rPr>
                <w:lang w:eastAsia="en-GB"/>
              </w:rPr>
              <w:t xml:space="preserve">The third option is a </w:t>
            </w:r>
            <w:r w:rsidRPr="00E17236">
              <w:rPr>
                <w:b/>
                <w:bCs/>
                <w:lang w:eastAsia="en-GB"/>
              </w:rPr>
              <w:t>Single Professional Services Supervisor (SPSS)</w:t>
            </w:r>
            <w:r w:rsidRPr="00E17236">
              <w:rPr>
                <w:lang w:eastAsia="en-GB"/>
              </w:rPr>
              <w:t>. This would establish a new statutory supervisor for legal, accountancy and TCSP services, which would replace all 22 PBSs and HMRC as the accountancy and TCSP supervisor.</w:t>
            </w:r>
          </w:p>
          <w:p w14:paraId="738FDE06" w14:textId="77777777" w:rsidR="00E17236" w:rsidRPr="00E17236" w:rsidRDefault="00E17236" w:rsidP="00BD3CFA">
            <w:pPr>
              <w:numPr>
                <w:ilvl w:val="0"/>
                <w:numId w:val="64"/>
              </w:numPr>
              <w:rPr>
                <w:lang w:eastAsia="en-GB"/>
              </w:rPr>
            </w:pPr>
            <w:r w:rsidRPr="00E17236">
              <w:rPr>
                <w:lang w:eastAsia="en-GB"/>
              </w:rPr>
              <w:t xml:space="preserve">The final option is the </w:t>
            </w:r>
            <w:r w:rsidRPr="00E17236">
              <w:rPr>
                <w:b/>
                <w:bCs/>
                <w:lang w:eastAsia="en-GB"/>
              </w:rPr>
              <w:t>Single AML Supervisor (SAS)</w:t>
            </w:r>
            <w:r w:rsidRPr="00E17236">
              <w:rPr>
                <w:lang w:eastAsia="en-GB"/>
              </w:rPr>
              <w:t xml:space="preserve"> which would establish a new authority that would take responsibility for AML supervision across the regulated sector away from the current 22 PBSs and 3 statutory supervisors.  </w:t>
            </w:r>
          </w:p>
          <w:p w14:paraId="7145924C" w14:textId="77777777" w:rsidR="00E17236" w:rsidRPr="00E17236" w:rsidRDefault="00E17236" w:rsidP="00BD3CFA">
            <w:pPr>
              <w:ind w:left="360"/>
              <w:rPr>
                <w:lang w:eastAsia="en-GB"/>
              </w:rPr>
            </w:pPr>
            <w:r w:rsidRPr="00E17236">
              <w:rPr>
                <w:lang w:eastAsia="en-GB"/>
              </w:rPr>
              <w:t>These four options are laid out and analysed in the Review document.</w:t>
            </w:r>
            <w:r w:rsidRPr="00E17236">
              <w:rPr>
                <w:b/>
                <w:bCs/>
                <w:lang w:eastAsia="en-GB"/>
              </w:rPr>
              <w:t xml:space="preserve"> The next step will be to consult further with stakeholders before selecting a single model for implementation.</w:t>
            </w:r>
          </w:p>
          <w:p w14:paraId="3270959B" w14:textId="655B66DE" w:rsidR="00E17236" w:rsidRPr="009D0711" w:rsidRDefault="00E17236" w:rsidP="00024B87">
            <w:pPr>
              <w:rPr>
                <w:lang w:eastAsia="en-GB"/>
              </w:rPr>
            </w:pPr>
          </w:p>
        </w:tc>
      </w:tr>
      <w:tr w:rsidR="009D0711" w:rsidRPr="00FB44FE" w14:paraId="15410579" w14:textId="77777777" w:rsidTr="6BD975F8">
        <w:trPr>
          <w:trHeight w:val="937"/>
        </w:trPr>
        <w:tc>
          <w:tcPr>
            <w:tcW w:w="10360" w:type="dxa"/>
            <w:tcBorders>
              <w:top w:val="single" w:sz="4" w:space="0" w:color="auto"/>
              <w:bottom w:val="nil"/>
            </w:tcBorders>
          </w:tcPr>
          <w:p w14:paraId="334FBE37" w14:textId="063F40EA" w:rsidR="00CD133E" w:rsidRPr="009D0711" w:rsidRDefault="00DA7D3B" w:rsidP="007F39AA">
            <w:pPr>
              <w:rPr>
                <w:rFonts w:eastAsia="Times New Roman" w:cs="Arial"/>
                <w:szCs w:val="24"/>
                <w:lang w:eastAsia="en-GB"/>
              </w:rPr>
            </w:pPr>
            <w:r>
              <w:rPr>
                <w:rFonts w:eastAsia="Times New Roman" w:cs="Arial"/>
                <w:b/>
                <w:szCs w:val="24"/>
                <w:lang w:eastAsia="en-GB"/>
              </w:rPr>
              <w:t>7</w:t>
            </w:r>
            <w:r w:rsidRPr="00FB44FE">
              <w:rPr>
                <w:rFonts w:eastAsia="Times New Roman" w:cs="Arial"/>
                <w:b/>
                <w:szCs w:val="24"/>
                <w:lang w:eastAsia="en-GB"/>
              </w:rPr>
              <w:t>.</w:t>
            </w:r>
            <w:r>
              <w:rPr>
                <w:rFonts w:eastAsia="Times New Roman" w:cs="Arial"/>
                <w:b/>
                <w:szCs w:val="24"/>
                <w:lang w:eastAsia="en-GB"/>
              </w:rPr>
              <w:t xml:space="preserve"> </w:t>
            </w:r>
            <w:r w:rsidR="00CD133E" w:rsidRPr="00CD133E">
              <w:rPr>
                <w:rFonts w:cs="Arial"/>
                <w:b/>
                <w:bCs/>
                <w:color w:val="000000"/>
                <w:szCs w:val="24"/>
              </w:rPr>
              <w:t>How does the UK approach compare with the implementation of similar measures internationally, including how EU member states implemented EU requirements that are comparable or now form part of retained EU law, or how other countries have implemented international agreements?</w:t>
            </w:r>
          </w:p>
        </w:tc>
      </w:tr>
      <w:tr w:rsidR="009D0711" w:rsidRPr="00FB44FE" w14:paraId="7342924A" w14:textId="77777777" w:rsidTr="6BD975F8">
        <w:trPr>
          <w:trHeight w:val="80"/>
        </w:trPr>
        <w:tc>
          <w:tcPr>
            <w:tcW w:w="10360" w:type="dxa"/>
            <w:tcBorders>
              <w:top w:val="nil"/>
              <w:bottom w:val="single" w:sz="4" w:space="0" w:color="auto"/>
            </w:tcBorders>
          </w:tcPr>
          <w:sdt>
            <w:sdtPr>
              <w:rPr>
                <w:rFonts w:eastAsia="SimSun" w:cs="Arial"/>
              </w:rPr>
              <w:id w:val="-21790117"/>
              <w:placeholder>
                <w:docPart w:val="F6CE806EFCB74329817BE4DF8C4B6ACD"/>
              </w:placeholder>
            </w:sdtPr>
            <w:sdtEndPr/>
            <w:sdtContent>
              <w:p w14:paraId="1E3FA0A5" w14:textId="3F7679D5" w:rsidR="001A1383" w:rsidRDefault="002208E7" w:rsidP="009D4E28">
                <w:pPr>
                  <w:rPr>
                    <w:rFonts w:eastAsia="SimSun" w:cs="Arial"/>
                  </w:rPr>
                </w:pPr>
                <w:r>
                  <w:rPr>
                    <w:rFonts w:eastAsia="SimSun" w:cs="Arial"/>
                  </w:rPr>
                  <w:t xml:space="preserve">The Financial Action Task Force (FATF) </w:t>
                </w:r>
                <w:r w:rsidR="00D5264D">
                  <w:rPr>
                    <w:rFonts w:eastAsia="SimSun" w:cs="Arial"/>
                  </w:rPr>
                  <w:t xml:space="preserve">is the international standard setter for </w:t>
                </w:r>
                <w:r w:rsidR="00410E83">
                  <w:rPr>
                    <w:rFonts w:eastAsia="SimSun" w:cs="Arial"/>
                  </w:rPr>
                  <w:t>AML/CTF super</w:t>
                </w:r>
                <w:r w:rsidR="001B4A3B">
                  <w:rPr>
                    <w:rFonts w:eastAsia="SimSun" w:cs="Arial"/>
                  </w:rPr>
                  <w:t>vision</w:t>
                </w:r>
                <w:r w:rsidR="00713204">
                  <w:rPr>
                    <w:rFonts w:eastAsia="SimSun" w:cs="Arial"/>
                  </w:rPr>
                  <w:t xml:space="preserve">. </w:t>
                </w:r>
                <w:r w:rsidR="00E00D0B">
                  <w:rPr>
                    <w:rFonts w:eastAsia="SimSun" w:cs="Arial"/>
                  </w:rPr>
                  <w:t xml:space="preserve">One </w:t>
                </w:r>
                <w:r w:rsidR="00DA62EA">
                  <w:rPr>
                    <w:rFonts w:eastAsia="SimSun" w:cs="Arial"/>
                  </w:rPr>
                  <w:t>set</w:t>
                </w:r>
                <w:r w:rsidR="00E00D0B">
                  <w:rPr>
                    <w:rFonts w:eastAsia="SimSun" w:cs="Arial"/>
                  </w:rPr>
                  <w:t xml:space="preserve"> of bodies that </w:t>
                </w:r>
                <w:r w:rsidR="00AB04DA">
                  <w:rPr>
                    <w:rFonts w:eastAsia="SimSun" w:cs="Arial"/>
                  </w:rPr>
                  <w:t xml:space="preserve">require supervision according to </w:t>
                </w:r>
                <w:r>
                  <w:rPr>
                    <w:rFonts w:eastAsia="SimSun" w:cs="Arial"/>
                  </w:rPr>
                  <w:t xml:space="preserve">the Financial Action Task Force (FATF) </w:t>
                </w:r>
                <w:r w:rsidR="00DA62EA">
                  <w:rPr>
                    <w:rFonts w:eastAsia="SimSun" w:cs="Arial"/>
                  </w:rPr>
                  <w:t>are Designated Non-Financial Business and Professions</w:t>
                </w:r>
                <w:r w:rsidR="00252EEA">
                  <w:rPr>
                    <w:rFonts w:eastAsia="SimSun" w:cs="Arial"/>
                  </w:rPr>
                  <w:t xml:space="preserve"> (DNFBPs)</w:t>
                </w:r>
                <w:r w:rsidR="0050116E">
                  <w:rPr>
                    <w:rFonts w:eastAsia="SimSun" w:cs="Arial"/>
                  </w:rPr>
                  <w:t xml:space="preserve">. </w:t>
                </w:r>
                <w:r w:rsidR="008514FA">
                  <w:rPr>
                    <w:rFonts w:eastAsia="SimSun" w:cs="Arial"/>
                  </w:rPr>
                  <w:t xml:space="preserve">The category of DNFBP covers all non-financial </w:t>
                </w:r>
                <w:r w:rsidR="00ED17C5">
                  <w:rPr>
                    <w:rFonts w:eastAsia="SimSun" w:cs="Arial"/>
                  </w:rPr>
                  <w:t xml:space="preserve">sector </w:t>
                </w:r>
                <w:r w:rsidR="00E624C5">
                  <w:rPr>
                    <w:rFonts w:eastAsia="SimSun" w:cs="Arial"/>
                  </w:rPr>
                  <w:t xml:space="preserve">bodies that </w:t>
                </w:r>
                <w:r w:rsidR="00514C08">
                  <w:rPr>
                    <w:rFonts w:eastAsia="SimSun" w:cs="Arial"/>
                  </w:rPr>
                  <w:t>pose a money-laundering or terrorist financing risk. Th</w:t>
                </w:r>
                <w:r w:rsidR="0003586D">
                  <w:rPr>
                    <w:rFonts w:eastAsia="SimSun" w:cs="Arial"/>
                  </w:rPr>
                  <w:t>is includes casinos, real estate agents</w:t>
                </w:r>
                <w:r w:rsidR="007008F0">
                  <w:rPr>
                    <w:rFonts w:eastAsia="SimSun" w:cs="Arial"/>
                  </w:rPr>
                  <w:t xml:space="preserve"> and trust and company service providers (TCSPs)</w:t>
                </w:r>
                <w:r w:rsidR="00742384">
                  <w:rPr>
                    <w:rFonts w:eastAsia="SimSun" w:cs="Arial"/>
                  </w:rPr>
                  <w:t>, as well as lawyers and accountants</w:t>
                </w:r>
                <w:r w:rsidR="007309CB">
                  <w:rPr>
                    <w:rFonts w:eastAsia="SimSun" w:cs="Arial"/>
                  </w:rPr>
                  <w:t xml:space="preserve">. The legal sector and accountancy sector supervision is what </w:t>
                </w:r>
                <w:r w:rsidR="0012468F">
                  <w:rPr>
                    <w:rFonts w:eastAsia="SimSun" w:cs="Arial"/>
                  </w:rPr>
                  <w:t>OPBAS oversees.</w:t>
                </w:r>
              </w:p>
              <w:p w14:paraId="7A7B9CFD" w14:textId="587C3EC1" w:rsidR="009D0711" w:rsidRPr="009D0711" w:rsidRDefault="00B325FA" w:rsidP="009D4E28">
                <w:pPr>
                  <w:rPr>
                    <w:lang w:eastAsia="en-GB"/>
                  </w:rPr>
                </w:pPr>
                <w:r>
                  <w:rPr>
                    <w:rFonts w:eastAsia="SimSun" w:cs="Arial"/>
                  </w:rPr>
                  <w:t xml:space="preserve">The UK </w:t>
                </w:r>
                <w:r w:rsidR="00022815">
                  <w:rPr>
                    <w:rFonts w:eastAsia="SimSun" w:cs="Arial"/>
                  </w:rPr>
                  <w:t>was</w:t>
                </w:r>
                <w:r>
                  <w:rPr>
                    <w:rFonts w:eastAsia="SimSun" w:cs="Arial"/>
                  </w:rPr>
                  <w:t xml:space="preserve"> the only country </w:t>
                </w:r>
                <w:r w:rsidR="00895F17">
                  <w:rPr>
                    <w:rFonts w:eastAsia="SimSun" w:cs="Arial"/>
                  </w:rPr>
                  <w:t xml:space="preserve">out of </w:t>
                </w:r>
                <w:r w:rsidR="00AE3106">
                  <w:rPr>
                    <w:rFonts w:eastAsia="SimSun" w:cs="Arial"/>
                  </w:rPr>
                  <w:t>those</w:t>
                </w:r>
                <w:r w:rsidR="00895F17">
                  <w:rPr>
                    <w:rFonts w:eastAsia="SimSun" w:cs="Arial"/>
                  </w:rPr>
                  <w:t xml:space="preserve"> </w:t>
                </w:r>
                <w:r w:rsidR="0002353B">
                  <w:rPr>
                    <w:rFonts w:eastAsia="SimSun" w:cs="Arial"/>
                  </w:rPr>
                  <w:t>evaluated</w:t>
                </w:r>
                <w:r w:rsidR="00895F17">
                  <w:rPr>
                    <w:rFonts w:eastAsia="SimSun" w:cs="Arial"/>
                  </w:rPr>
                  <w:t xml:space="preserve"> in the fourth-round of </w:t>
                </w:r>
                <w:r w:rsidR="00FB037B">
                  <w:rPr>
                    <w:rFonts w:eastAsia="SimSun" w:cs="Arial"/>
                  </w:rPr>
                  <w:t xml:space="preserve">Financial Action Task Force (FATF) </w:t>
                </w:r>
                <w:r w:rsidR="0066254F">
                  <w:rPr>
                    <w:rFonts w:eastAsia="SimSun" w:cs="Arial"/>
                  </w:rPr>
                  <w:t xml:space="preserve">assessments </w:t>
                </w:r>
                <w:r w:rsidR="00022815">
                  <w:rPr>
                    <w:rFonts w:eastAsia="SimSun" w:cs="Arial"/>
                  </w:rPr>
                  <w:t xml:space="preserve">to gain a ‘compliant’ rating </w:t>
                </w:r>
                <w:r w:rsidR="00DD49EF">
                  <w:rPr>
                    <w:rFonts w:eastAsia="SimSun" w:cs="Arial"/>
                  </w:rPr>
                  <w:t>in Recommendation 28: regulation and supervision of DNFBPs</w:t>
                </w:r>
                <w:r w:rsidR="00AE3106">
                  <w:rPr>
                    <w:rFonts w:eastAsia="SimSun" w:cs="Arial"/>
                  </w:rPr>
                  <w:t>.</w:t>
                </w:r>
                <w:r w:rsidR="00B15389">
                  <w:rPr>
                    <w:rFonts w:eastAsia="SimSun" w:cs="Arial"/>
                  </w:rPr>
                  <w:t xml:space="preserve"> </w:t>
                </w:r>
                <w:r w:rsidR="00AE3106">
                  <w:rPr>
                    <w:rFonts w:eastAsia="SimSun" w:cs="Arial"/>
                  </w:rPr>
                  <w:t>A</w:t>
                </w:r>
                <w:r w:rsidR="00B15389">
                  <w:rPr>
                    <w:rFonts w:eastAsia="SimSun" w:cs="Arial"/>
                  </w:rPr>
                  <w:t xml:space="preserve">ll countries </w:t>
                </w:r>
                <w:r w:rsidR="00AE3106">
                  <w:rPr>
                    <w:rFonts w:eastAsia="SimSun" w:cs="Arial"/>
                  </w:rPr>
                  <w:t>in the EU are</w:t>
                </w:r>
                <w:r w:rsidR="00B15389">
                  <w:rPr>
                    <w:rFonts w:eastAsia="SimSun" w:cs="Arial"/>
                  </w:rPr>
                  <w:t xml:space="preserve"> subject to Money Laundering Directives (MLDs) </w:t>
                </w:r>
                <w:r w:rsidR="00AE3106">
                  <w:rPr>
                    <w:rFonts w:eastAsia="SimSun" w:cs="Arial"/>
                  </w:rPr>
                  <w:t xml:space="preserve">which would </w:t>
                </w:r>
                <w:r w:rsidR="00042FA6">
                  <w:rPr>
                    <w:rFonts w:eastAsia="SimSun" w:cs="Arial"/>
                  </w:rPr>
                  <w:t xml:space="preserve">mean some obligation to </w:t>
                </w:r>
                <w:r w:rsidR="009E5A91">
                  <w:rPr>
                    <w:rFonts w:eastAsia="SimSun" w:cs="Arial"/>
                  </w:rPr>
                  <w:t xml:space="preserve">supervise DNFBPs. </w:t>
                </w:r>
                <w:r w:rsidR="00FB037B">
                  <w:rPr>
                    <w:rFonts w:eastAsia="SimSun" w:cs="Arial"/>
                  </w:rPr>
                  <w:t>According to FATF, the international standard setter for AML/</w:t>
                </w:r>
                <w:r w:rsidR="1471C650" w:rsidRPr="0058B8E4">
                  <w:rPr>
                    <w:rFonts w:eastAsia="SimSun" w:cs="Arial"/>
                  </w:rPr>
                  <w:t>CTF</w:t>
                </w:r>
                <w:r w:rsidR="00156DD5">
                  <w:rPr>
                    <w:rFonts w:eastAsia="SimSun" w:cs="Arial"/>
                  </w:rPr>
                  <w:t xml:space="preserve">, the UK </w:t>
                </w:r>
                <w:r w:rsidR="005D7F6D">
                  <w:rPr>
                    <w:rFonts w:eastAsia="SimSun" w:cs="Arial"/>
                  </w:rPr>
                  <w:t xml:space="preserve">has one of the more extensive regimes of DNFBP supervision. </w:t>
                </w:r>
                <w:r w:rsidR="009B1E45">
                  <w:rPr>
                    <w:rFonts w:eastAsia="SimSun" w:cs="Arial"/>
                  </w:rPr>
                  <w:t xml:space="preserve"> </w:t>
                </w:r>
              </w:p>
            </w:sdtContent>
          </w:sdt>
          <w:p w14:paraId="468D9DC2" w14:textId="77777777" w:rsidR="6BD975F8" w:rsidRDefault="6BD975F8"/>
        </w:tc>
      </w:tr>
    </w:tbl>
    <w:p w14:paraId="5BF30ECD" w14:textId="2581E94C" w:rsidR="00DA7D3B" w:rsidRDefault="00DA7D3B"/>
    <w:p w14:paraId="361DC497" w14:textId="63D35574" w:rsidR="004225DC" w:rsidRDefault="00C277C2">
      <w:pPr>
        <w:rPr>
          <w:rFonts w:ascii="Humnst777 Lt BT" w:eastAsiaTheme="majorEastAsia" w:hAnsi="Humnst777 Lt BT" w:cstheme="majorBidi"/>
          <w:b/>
          <w:color w:val="365F91" w:themeColor="accent1" w:themeShade="BF"/>
          <w:sz w:val="32"/>
          <w:szCs w:val="24"/>
          <w:u w:val="single"/>
          <w:lang w:val="en-US"/>
        </w:rPr>
      </w:pPr>
      <w:r>
        <w:rPr>
          <w:rFonts w:ascii="Humnst777 Lt BT" w:hAnsi="Humnst777 Lt BT"/>
          <w:b/>
          <w:bCs/>
          <w:szCs w:val="24"/>
          <w:u w:val="single"/>
        </w:rPr>
        <w:br w:type="page"/>
      </w:r>
    </w:p>
    <w:p w14:paraId="3D8239FA" w14:textId="77777777" w:rsidR="004225DC" w:rsidRDefault="004225DC" w:rsidP="004225DC">
      <w:pPr>
        <w:pStyle w:val="TOCHeading"/>
        <w:rPr>
          <w:rFonts w:ascii="Humnst777 Lt BT" w:hAnsi="Humnst777 Lt BT"/>
          <w:b/>
          <w:bCs/>
          <w:szCs w:val="24"/>
          <w:u w:val="single"/>
        </w:rPr>
      </w:pPr>
    </w:p>
    <w:sdt>
      <w:sdtPr>
        <w:rPr>
          <w:rFonts w:ascii="Arial" w:eastAsiaTheme="minorHAnsi" w:hAnsi="Arial" w:cs="Times New Roman"/>
          <w:color w:val="auto"/>
          <w:sz w:val="24"/>
          <w:szCs w:val="22"/>
          <w:lang w:val="en-GB"/>
        </w:rPr>
        <w:id w:val="-1654675992"/>
        <w:docPartObj>
          <w:docPartGallery w:val="Table of Contents"/>
          <w:docPartUnique/>
        </w:docPartObj>
      </w:sdtPr>
      <w:sdtEndPr>
        <w:rPr>
          <w:b/>
          <w:bCs/>
          <w:noProof/>
        </w:rPr>
      </w:sdtEndPr>
      <w:sdtContent>
        <w:p w14:paraId="628897A2" w14:textId="61CAA4B6" w:rsidR="00CA673A" w:rsidRPr="004225DC" w:rsidRDefault="00CA673A" w:rsidP="004225DC">
          <w:pPr>
            <w:pStyle w:val="TOCHeading"/>
            <w:rPr>
              <w:rFonts w:ascii="Humnst777 Lt BT" w:hAnsi="Humnst777 Lt BT"/>
              <w:b/>
              <w:bCs/>
              <w:szCs w:val="24"/>
              <w:u w:val="single"/>
            </w:rPr>
          </w:pPr>
          <w:r w:rsidRPr="00BD3CFA">
            <w:rPr>
              <w:rFonts w:ascii="Humnst777 Lt BT" w:hAnsi="Humnst777 Lt BT"/>
            </w:rPr>
            <w:t>Contents</w:t>
          </w:r>
        </w:p>
        <w:p w14:paraId="3B6D6A65" w14:textId="340AD611" w:rsidR="001B2FA0" w:rsidRDefault="00CA673A">
          <w:pPr>
            <w:pStyle w:val="TOC1"/>
            <w:tabs>
              <w:tab w:val="right" w:leader="dot" w:pos="10194"/>
            </w:tabs>
            <w:rPr>
              <w:rFonts w:asciiTheme="minorHAnsi" w:eastAsiaTheme="minorEastAsia" w:hAnsiTheme="minorHAnsi" w:cstheme="minorBidi"/>
              <w:b w:val="0"/>
              <w:noProof/>
              <w:sz w:val="22"/>
              <w:lang w:eastAsia="en-GB"/>
            </w:rPr>
          </w:pPr>
          <w:r>
            <w:fldChar w:fldCharType="begin"/>
          </w:r>
          <w:r>
            <w:instrText xml:space="preserve"> TOC \o "1-3" \h \z \u </w:instrText>
          </w:r>
          <w:r>
            <w:fldChar w:fldCharType="separate"/>
          </w:r>
          <w:hyperlink w:anchor="_Toc104977792" w:history="1">
            <w:r w:rsidR="001B2FA0">
              <w:rPr>
                <w:rStyle w:val="Hyperlink"/>
                <w:rFonts w:cs="Arial"/>
                <w:noProof/>
                <w:kern w:val="28"/>
              </w:rPr>
              <w:t>OPBAS PIR</w:t>
            </w:r>
            <w:r w:rsidR="001B2FA0">
              <w:rPr>
                <w:noProof/>
                <w:webHidden/>
              </w:rPr>
              <w:tab/>
            </w:r>
            <w:r w:rsidR="001B2FA0">
              <w:rPr>
                <w:noProof/>
                <w:webHidden/>
              </w:rPr>
              <w:fldChar w:fldCharType="begin"/>
            </w:r>
            <w:r w:rsidR="001B2FA0">
              <w:rPr>
                <w:noProof/>
                <w:webHidden/>
              </w:rPr>
              <w:instrText xml:space="preserve"> PAGEREF _Toc104977792 \h </w:instrText>
            </w:r>
            <w:r w:rsidR="001B2FA0">
              <w:rPr>
                <w:noProof/>
                <w:webHidden/>
              </w:rPr>
            </w:r>
            <w:r w:rsidR="001B2FA0">
              <w:rPr>
                <w:noProof/>
                <w:webHidden/>
              </w:rPr>
              <w:fldChar w:fldCharType="separate"/>
            </w:r>
            <w:r w:rsidR="00404CB8">
              <w:rPr>
                <w:noProof/>
                <w:webHidden/>
              </w:rPr>
              <w:t>1</w:t>
            </w:r>
            <w:r w:rsidR="001B2FA0">
              <w:rPr>
                <w:noProof/>
                <w:webHidden/>
              </w:rPr>
              <w:fldChar w:fldCharType="end"/>
            </w:r>
          </w:hyperlink>
        </w:p>
        <w:p w14:paraId="6F977DB4" w14:textId="4146E784" w:rsidR="001B2FA0" w:rsidRDefault="00DB35E7">
          <w:pPr>
            <w:pStyle w:val="TOC1"/>
            <w:tabs>
              <w:tab w:val="right" w:leader="dot" w:pos="10194"/>
            </w:tabs>
            <w:rPr>
              <w:rFonts w:asciiTheme="minorHAnsi" w:eastAsiaTheme="minorEastAsia" w:hAnsiTheme="minorHAnsi" w:cstheme="minorBidi"/>
              <w:b w:val="0"/>
              <w:noProof/>
              <w:sz w:val="22"/>
              <w:lang w:eastAsia="en-GB"/>
            </w:rPr>
          </w:pPr>
          <w:hyperlink w:anchor="_Toc104977793" w:history="1">
            <w:r w:rsidR="001B2FA0" w:rsidRPr="008A6636">
              <w:rPr>
                <w:rStyle w:val="Hyperlink"/>
                <w:rFonts w:ascii="Humnst777 Lt BT" w:hAnsi="Humnst777 Lt BT"/>
                <w:noProof/>
              </w:rPr>
              <w:t>Introduction and background</w:t>
            </w:r>
            <w:r w:rsidR="001B2FA0">
              <w:rPr>
                <w:noProof/>
                <w:webHidden/>
              </w:rPr>
              <w:tab/>
            </w:r>
            <w:r w:rsidR="001B2FA0">
              <w:rPr>
                <w:noProof/>
                <w:webHidden/>
              </w:rPr>
              <w:fldChar w:fldCharType="begin"/>
            </w:r>
            <w:r w:rsidR="001B2FA0">
              <w:rPr>
                <w:noProof/>
                <w:webHidden/>
              </w:rPr>
              <w:instrText xml:space="preserve"> PAGEREF _Toc104977793 \h </w:instrText>
            </w:r>
            <w:r w:rsidR="001B2FA0">
              <w:rPr>
                <w:noProof/>
                <w:webHidden/>
              </w:rPr>
            </w:r>
            <w:r w:rsidR="001B2FA0">
              <w:rPr>
                <w:noProof/>
                <w:webHidden/>
              </w:rPr>
              <w:fldChar w:fldCharType="separate"/>
            </w:r>
            <w:r w:rsidR="00404CB8">
              <w:rPr>
                <w:noProof/>
                <w:webHidden/>
              </w:rPr>
              <w:t>6</w:t>
            </w:r>
            <w:r w:rsidR="001B2FA0">
              <w:rPr>
                <w:noProof/>
                <w:webHidden/>
              </w:rPr>
              <w:fldChar w:fldCharType="end"/>
            </w:r>
          </w:hyperlink>
        </w:p>
        <w:p w14:paraId="21BE5A81" w14:textId="242B97CD"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794" w:history="1">
            <w:r w:rsidR="001B2FA0" w:rsidRPr="008A6636">
              <w:rPr>
                <w:rStyle w:val="Hyperlink"/>
                <w:rFonts w:ascii="Humnst777 Lt BT" w:hAnsi="Humnst777 Lt BT"/>
                <w:noProof/>
              </w:rPr>
              <w:t>Background</w:t>
            </w:r>
            <w:r w:rsidR="001B2FA0">
              <w:rPr>
                <w:noProof/>
                <w:webHidden/>
              </w:rPr>
              <w:tab/>
            </w:r>
            <w:r w:rsidR="001B2FA0">
              <w:rPr>
                <w:noProof/>
                <w:webHidden/>
              </w:rPr>
              <w:fldChar w:fldCharType="begin"/>
            </w:r>
            <w:r w:rsidR="001B2FA0">
              <w:rPr>
                <w:noProof/>
                <w:webHidden/>
              </w:rPr>
              <w:instrText xml:space="preserve"> PAGEREF _Toc104977794 \h </w:instrText>
            </w:r>
            <w:r w:rsidR="001B2FA0">
              <w:rPr>
                <w:noProof/>
                <w:webHidden/>
              </w:rPr>
            </w:r>
            <w:r w:rsidR="001B2FA0">
              <w:rPr>
                <w:noProof/>
                <w:webHidden/>
              </w:rPr>
              <w:fldChar w:fldCharType="separate"/>
            </w:r>
            <w:r w:rsidR="00404CB8">
              <w:rPr>
                <w:noProof/>
                <w:webHidden/>
              </w:rPr>
              <w:t>6</w:t>
            </w:r>
            <w:r w:rsidR="001B2FA0">
              <w:rPr>
                <w:noProof/>
                <w:webHidden/>
              </w:rPr>
              <w:fldChar w:fldCharType="end"/>
            </w:r>
          </w:hyperlink>
        </w:p>
        <w:p w14:paraId="1EA2C0EF" w14:textId="4A13E649" w:rsidR="001B2FA0" w:rsidRDefault="00DB35E7">
          <w:pPr>
            <w:pStyle w:val="TOC3"/>
            <w:tabs>
              <w:tab w:val="right" w:leader="dot" w:pos="10194"/>
            </w:tabs>
            <w:rPr>
              <w:rFonts w:asciiTheme="minorHAnsi" w:eastAsiaTheme="minorEastAsia" w:hAnsiTheme="minorHAnsi" w:cstheme="minorBidi"/>
              <w:noProof/>
              <w:sz w:val="22"/>
              <w:lang w:eastAsia="en-GB"/>
            </w:rPr>
          </w:pPr>
          <w:hyperlink w:anchor="_Toc104977795" w:history="1">
            <w:r w:rsidR="001B2FA0" w:rsidRPr="008A6636">
              <w:rPr>
                <w:rStyle w:val="Hyperlink"/>
                <w:rFonts w:ascii="Humnst777 Lt BT" w:hAnsi="Humnst777 Lt BT"/>
                <w:noProof/>
              </w:rPr>
              <w:t>The Money Laundering, Terrorist Financing and Transfer of Funds (Information on the Payer) Regulations 2017</w:t>
            </w:r>
            <w:r w:rsidR="001B2FA0">
              <w:rPr>
                <w:noProof/>
                <w:webHidden/>
              </w:rPr>
              <w:tab/>
            </w:r>
            <w:r w:rsidR="001B2FA0">
              <w:rPr>
                <w:noProof/>
                <w:webHidden/>
              </w:rPr>
              <w:fldChar w:fldCharType="begin"/>
            </w:r>
            <w:r w:rsidR="001B2FA0">
              <w:rPr>
                <w:noProof/>
                <w:webHidden/>
              </w:rPr>
              <w:instrText xml:space="preserve"> PAGEREF _Toc104977795 \h </w:instrText>
            </w:r>
            <w:r w:rsidR="001B2FA0">
              <w:rPr>
                <w:noProof/>
                <w:webHidden/>
              </w:rPr>
            </w:r>
            <w:r w:rsidR="001B2FA0">
              <w:rPr>
                <w:noProof/>
                <w:webHidden/>
              </w:rPr>
              <w:fldChar w:fldCharType="separate"/>
            </w:r>
            <w:r w:rsidR="00404CB8">
              <w:rPr>
                <w:noProof/>
                <w:webHidden/>
              </w:rPr>
              <w:t>7</w:t>
            </w:r>
            <w:r w:rsidR="001B2FA0">
              <w:rPr>
                <w:noProof/>
                <w:webHidden/>
              </w:rPr>
              <w:fldChar w:fldCharType="end"/>
            </w:r>
          </w:hyperlink>
        </w:p>
        <w:p w14:paraId="64D061E5" w14:textId="71056041" w:rsidR="001B2FA0" w:rsidRDefault="00DB35E7">
          <w:pPr>
            <w:pStyle w:val="TOC3"/>
            <w:tabs>
              <w:tab w:val="right" w:leader="dot" w:pos="10194"/>
            </w:tabs>
            <w:rPr>
              <w:rFonts w:asciiTheme="minorHAnsi" w:eastAsiaTheme="minorEastAsia" w:hAnsiTheme="minorHAnsi" w:cstheme="minorBidi"/>
              <w:noProof/>
              <w:sz w:val="22"/>
              <w:lang w:eastAsia="en-GB"/>
            </w:rPr>
          </w:pPr>
          <w:hyperlink w:anchor="_Toc104977796" w:history="1">
            <w:r w:rsidR="001B2FA0" w:rsidRPr="008A6636">
              <w:rPr>
                <w:rStyle w:val="Hyperlink"/>
                <w:rFonts w:ascii="Humnst777 Lt BT" w:hAnsi="Humnst777 Lt BT"/>
                <w:noProof/>
              </w:rPr>
              <w:t>Post-Implementation Review of The Money Laundering, Terrorist Financing and Transfer of Funds (Information on the Payer) Regulations 2017</w:t>
            </w:r>
            <w:r w:rsidR="001B2FA0">
              <w:rPr>
                <w:noProof/>
                <w:webHidden/>
              </w:rPr>
              <w:tab/>
            </w:r>
            <w:r w:rsidR="001B2FA0">
              <w:rPr>
                <w:noProof/>
                <w:webHidden/>
              </w:rPr>
              <w:fldChar w:fldCharType="begin"/>
            </w:r>
            <w:r w:rsidR="001B2FA0">
              <w:rPr>
                <w:noProof/>
                <w:webHidden/>
              </w:rPr>
              <w:instrText xml:space="preserve"> PAGEREF _Toc104977796 \h </w:instrText>
            </w:r>
            <w:r w:rsidR="001B2FA0">
              <w:rPr>
                <w:noProof/>
                <w:webHidden/>
              </w:rPr>
            </w:r>
            <w:r w:rsidR="001B2FA0">
              <w:rPr>
                <w:noProof/>
                <w:webHidden/>
              </w:rPr>
              <w:fldChar w:fldCharType="separate"/>
            </w:r>
            <w:r w:rsidR="00404CB8">
              <w:rPr>
                <w:noProof/>
                <w:webHidden/>
              </w:rPr>
              <w:t>8</w:t>
            </w:r>
            <w:r w:rsidR="001B2FA0">
              <w:rPr>
                <w:noProof/>
                <w:webHidden/>
              </w:rPr>
              <w:fldChar w:fldCharType="end"/>
            </w:r>
          </w:hyperlink>
        </w:p>
        <w:p w14:paraId="29487C90" w14:textId="11A88269" w:rsidR="001B2FA0" w:rsidRDefault="00DB35E7">
          <w:pPr>
            <w:pStyle w:val="TOC3"/>
            <w:tabs>
              <w:tab w:val="right" w:leader="dot" w:pos="10194"/>
            </w:tabs>
            <w:rPr>
              <w:rFonts w:asciiTheme="minorHAnsi" w:eastAsiaTheme="minorEastAsia" w:hAnsiTheme="minorHAnsi" w:cstheme="minorBidi"/>
              <w:noProof/>
              <w:sz w:val="22"/>
              <w:lang w:eastAsia="en-GB"/>
            </w:rPr>
          </w:pPr>
          <w:hyperlink w:anchor="_Toc104977797" w:history="1">
            <w:r w:rsidR="001B2FA0" w:rsidRPr="008A6636">
              <w:rPr>
                <w:rStyle w:val="Hyperlink"/>
                <w:rFonts w:ascii="Humnst777 Lt BT" w:hAnsi="Humnst777 Lt BT"/>
                <w:noProof/>
              </w:rPr>
              <w:t>UK’s AML Supervision Regime</w:t>
            </w:r>
            <w:r w:rsidR="001B2FA0">
              <w:rPr>
                <w:noProof/>
                <w:webHidden/>
              </w:rPr>
              <w:tab/>
            </w:r>
            <w:r w:rsidR="001B2FA0">
              <w:rPr>
                <w:noProof/>
                <w:webHidden/>
              </w:rPr>
              <w:fldChar w:fldCharType="begin"/>
            </w:r>
            <w:r w:rsidR="001B2FA0">
              <w:rPr>
                <w:noProof/>
                <w:webHidden/>
              </w:rPr>
              <w:instrText xml:space="preserve"> PAGEREF _Toc104977797 \h </w:instrText>
            </w:r>
            <w:r w:rsidR="001B2FA0">
              <w:rPr>
                <w:noProof/>
                <w:webHidden/>
              </w:rPr>
            </w:r>
            <w:r w:rsidR="001B2FA0">
              <w:rPr>
                <w:noProof/>
                <w:webHidden/>
              </w:rPr>
              <w:fldChar w:fldCharType="separate"/>
            </w:r>
            <w:r w:rsidR="00404CB8">
              <w:rPr>
                <w:noProof/>
                <w:webHidden/>
              </w:rPr>
              <w:t>8</w:t>
            </w:r>
            <w:r w:rsidR="001B2FA0">
              <w:rPr>
                <w:noProof/>
                <w:webHidden/>
              </w:rPr>
              <w:fldChar w:fldCharType="end"/>
            </w:r>
          </w:hyperlink>
        </w:p>
        <w:p w14:paraId="5CDF6924" w14:textId="18456E03" w:rsidR="001B2FA0" w:rsidRDefault="00DB35E7">
          <w:pPr>
            <w:pStyle w:val="TOC3"/>
            <w:tabs>
              <w:tab w:val="right" w:leader="dot" w:pos="10194"/>
            </w:tabs>
            <w:rPr>
              <w:rFonts w:asciiTheme="minorHAnsi" w:eastAsiaTheme="minorEastAsia" w:hAnsiTheme="minorHAnsi" w:cstheme="minorBidi"/>
              <w:noProof/>
              <w:sz w:val="22"/>
              <w:lang w:eastAsia="en-GB"/>
            </w:rPr>
          </w:pPr>
          <w:hyperlink w:anchor="_Toc104977798" w:history="1">
            <w:r w:rsidR="001B2FA0" w:rsidRPr="008A6636">
              <w:rPr>
                <w:rStyle w:val="Hyperlink"/>
                <w:rFonts w:ascii="Humnst777 Lt BT" w:hAnsi="Humnst777 Lt BT"/>
                <w:noProof/>
              </w:rPr>
              <w:t>Statutory Instrument 2022</w:t>
            </w:r>
            <w:r w:rsidR="001B2FA0">
              <w:rPr>
                <w:noProof/>
                <w:webHidden/>
              </w:rPr>
              <w:tab/>
            </w:r>
            <w:r w:rsidR="001B2FA0">
              <w:rPr>
                <w:noProof/>
                <w:webHidden/>
              </w:rPr>
              <w:fldChar w:fldCharType="begin"/>
            </w:r>
            <w:r w:rsidR="001B2FA0">
              <w:rPr>
                <w:noProof/>
                <w:webHidden/>
              </w:rPr>
              <w:instrText xml:space="preserve"> PAGEREF _Toc104977798 \h </w:instrText>
            </w:r>
            <w:r w:rsidR="001B2FA0">
              <w:rPr>
                <w:noProof/>
                <w:webHidden/>
              </w:rPr>
            </w:r>
            <w:r w:rsidR="001B2FA0">
              <w:rPr>
                <w:noProof/>
                <w:webHidden/>
              </w:rPr>
              <w:fldChar w:fldCharType="separate"/>
            </w:r>
            <w:r w:rsidR="00404CB8">
              <w:rPr>
                <w:noProof/>
                <w:webHidden/>
              </w:rPr>
              <w:t>9</w:t>
            </w:r>
            <w:r w:rsidR="001B2FA0">
              <w:rPr>
                <w:noProof/>
                <w:webHidden/>
              </w:rPr>
              <w:fldChar w:fldCharType="end"/>
            </w:r>
          </w:hyperlink>
        </w:p>
        <w:p w14:paraId="01D17933" w14:textId="526B442B" w:rsidR="001B2FA0" w:rsidRDefault="00DB35E7">
          <w:pPr>
            <w:pStyle w:val="TOC3"/>
            <w:tabs>
              <w:tab w:val="right" w:leader="dot" w:pos="10194"/>
            </w:tabs>
            <w:rPr>
              <w:rFonts w:asciiTheme="minorHAnsi" w:eastAsiaTheme="minorEastAsia" w:hAnsiTheme="minorHAnsi" w:cstheme="minorBidi"/>
              <w:noProof/>
              <w:sz w:val="22"/>
              <w:lang w:eastAsia="en-GB"/>
            </w:rPr>
          </w:pPr>
          <w:hyperlink w:anchor="_Toc104977799" w:history="1">
            <w:r w:rsidR="001B2FA0" w:rsidRPr="008A6636">
              <w:rPr>
                <w:rStyle w:val="Hyperlink"/>
                <w:rFonts w:ascii="Humnst777 Lt BT" w:hAnsi="Humnst777 Lt BT"/>
                <w:noProof/>
              </w:rPr>
              <w:t>Treasury Select Committee</w:t>
            </w:r>
            <w:r w:rsidR="001B2FA0">
              <w:rPr>
                <w:noProof/>
                <w:webHidden/>
              </w:rPr>
              <w:tab/>
            </w:r>
            <w:r w:rsidR="001B2FA0">
              <w:rPr>
                <w:noProof/>
                <w:webHidden/>
              </w:rPr>
              <w:fldChar w:fldCharType="begin"/>
            </w:r>
            <w:r w:rsidR="001B2FA0">
              <w:rPr>
                <w:noProof/>
                <w:webHidden/>
              </w:rPr>
              <w:instrText xml:space="preserve"> PAGEREF _Toc104977799 \h </w:instrText>
            </w:r>
            <w:r w:rsidR="001B2FA0">
              <w:rPr>
                <w:noProof/>
                <w:webHidden/>
              </w:rPr>
            </w:r>
            <w:r w:rsidR="001B2FA0">
              <w:rPr>
                <w:noProof/>
                <w:webHidden/>
              </w:rPr>
              <w:fldChar w:fldCharType="separate"/>
            </w:r>
            <w:r w:rsidR="00404CB8">
              <w:rPr>
                <w:noProof/>
                <w:webHidden/>
              </w:rPr>
              <w:t>9</w:t>
            </w:r>
            <w:r w:rsidR="001B2FA0">
              <w:rPr>
                <w:noProof/>
                <w:webHidden/>
              </w:rPr>
              <w:fldChar w:fldCharType="end"/>
            </w:r>
          </w:hyperlink>
        </w:p>
        <w:p w14:paraId="5C235B50" w14:textId="4B3ABFBE" w:rsidR="001B2FA0" w:rsidRDefault="00DB35E7">
          <w:pPr>
            <w:pStyle w:val="TOC1"/>
            <w:tabs>
              <w:tab w:val="right" w:leader="dot" w:pos="10194"/>
            </w:tabs>
            <w:rPr>
              <w:rFonts w:asciiTheme="minorHAnsi" w:eastAsiaTheme="minorEastAsia" w:hAnsiTheme="minorHAnsi" w:cstheme="minorBidi"/>
              <w:b w:val="0"/>
              <w:noProof/>
              <w:sz w:val="22"/>
              <w:lang w:eastAsia="en-GB"/>
            </w:rPr>
          </w:pPr>
          <w:hyperlink w:anchor="_Toc104977800" w:history="1">
            <w:r w:rsidR="001B2FA0" w:rsidRPr="008A6636">
              <w:rPr>
                <w:rStyle w:val="Hyperlink"/>
                <w:rFonts w:ascii="Humnst777 Lt BT" w:hAnsi="Humnst777 Lt BT"/>
                <w:noProof/>
              </w:rPr>
              <w:t>Approach to the PIR</w:t>
            </w:r>
            <w:r w:rsidR="001B2FA0">
              <w:rPr>
                <w:noProof/>
                <w:webHidden/>
              </w:rPr>
              <w:tab/>
            </w:r>
            <w:r w:rsidR="001B2FA0">
              <w:rPr>
                <w:noProof/>
                <w:webHidden/>
              </w:rPr>
              <w:fldChar w:fldCharType="begin"/>
            </w:r>
            <w:r w:rsidR="001B2FA0">
              <w:rPr>
                <w:noProof/>
                <w:webHidden/>
              </w:rPr>
              <w:instrText xml:space="preserve"> PAGEREF _Toc104977800 \h </w:instrText>
            </w:r>
            <w:r w:rsidR="001B2FA0">
              <w:rPr>
                <w:noProof/>
                <w:webHidden/>
              </w:rPr>
            </w:r>
            <w:r w:rsidR="001B2FA0">
              <w:rPr>
                <w:noProof/>
                <w:webHidden/>
              </w:rPr>
              <w:fldChar w:fldCharType="separate"/>
            </w:r>
            <w:r w:rsidR="00404CB8">
              <w:rPr>
                <w:noProof/>
                <w:webHidden/>
              </w:rPr>
              <w:t>10</w:t>
            </w:r>
            <w:r w:rsidR="001B2FA0">
              <w:rPr>
                <w:noProof/>
                <w:webHidden/>
              </w:rPr>
              <w:fldChar w:fldCharType="end"/>
            </w:r>
          </w:hyperlink>
        </w:p>
        <w:p w14:paraId="5372F856" w14:textId="3B7F02C3" w:rsidR="001B2FA0" w:rsidRDefault="00DB35E7">
          <w:pPr>
            <w:pStyle w:val="TOC3"/>
            <w:tabs>
              <w:tab w:val="right" w:leader="dot" w:pos="10194"/>
            </w:tabs>
            <w:rPr>
              <w:rFonts w:asciiTheme="minorHAnsi" w:eastAsiaTheme="minorEastAsia" w:hAnsiTheme="minorHAnsi" w:cstheme="minorBidi"/>
              <w:noProof/>
              <w:sz w:val="22"/>
              <w:lang w:eastAsia="en-GB"/>
            </w:rPr>
          </w:pPr>
          <w:hyperlink w:anchor="_Toc104977801" w:history="1">
            <w:r w:rsidR="001B2FA0" w:rsidRPr="008A6636">
              <w:rPr>
                <w:rStyle w:val="Hyperlink"/>
                <w:rFonts w:ascii="Humnst777 Lt BT" w:hAnsi="Humnst777 Lt BT"/>
                <w:noProof/>
              </w:rPr>
              <w:t>Scope of this review</w:t>
            </w:r>
            <w:r w:rsidR="001B2FA0">
              <w:rPr>
                <w:noProof/>
                <w:webHidden/>
              </w:rPr>
              <w:tab/>
            </w:r>
            <w:r w:rsidR="001B2FA0">
              <w:rPr>
                <w:noProof/>
                <w:webHidden/>
              </w:rPr>
              <w:fldChar w:fldCharType="begin"/>
            </w:r>
            <w:r w:rsidR="001B2FA0">
              <w:rPr>
                <w:noProof/>
                <w:webHidden/>
              </w:rPr>
              <w:instrText xml:space="preserve"> PAGEREF _Toc104977801 \h </w:instrText>
            </w:r>
            <w:r w:rsidR="001B2FA0">
              <w:rPr>
                <w:noProof/>
                <w:webHidden/>
              </w:rPr>
            </w:r>
            <w:r w:rsidR="001B2FA0">
              <w:rPr>
                <w:noProof/>
                <w:webHidden/>
              </w:rPr>
              <w:fldChar w:fldCharType="separate"/>
            </w:r>
            <w:r w:rsidR="00404CB8">
              <w:rPr>
                <w:noProof/>
                <w:webHidden/>
              </w:rPr>
              <w:t>10</w:t>
            </w:r>
            <w:r w:rsidR="001B2FA0">
              <w:rPr>
                <w:noProof/>
                <w:webHidden/>
              </w:rPr>
              <w:fldChar w:fldCharType="end"/>
            </w:r>
          </w:hyperlink>
        </w:p>
        <w:p w14:paraId="7CADD7C6" w14:textId="167EB653" w:rsidR="001B2FA0" w:rsidRDefault="00DB35E7">
          <w:pPr>
            <w:pStyle w:val="TOC3"/>
            <w:tabs>
              <w:tab w:val="right" w:leader="dot" w:pos="10194"/>
            </w:tabs>
            <w:rPr>
              <w:rFonts w:asciiTheme="minorHAnsi" w:eastAsiaTheme="minorEastAsia" w:hAnsiTheme="minorHAnsi" w:cstheme="minorBidi"/>
              <w:noProof/>
              <w:sz w:val="22"/>
              <w:lang w:eastAsia="en-GB"/>
            </w:rPr>
          </w:pPr>
          <w:hyperlink w:anchor="_Toc104977802" w:history="1">
            <w:r w:rsidR="001B2FA0" w:rsidRPr="008A6636">
              <w:rPr>
                <w:rStyle w:val="Hyperlink"/>
                <w:rFonts w:ascii="Humnst777 Lt BT" w:hAnsi="Humnst777 Lt BT"/>
                <w:noProof/>
              </w:rPr>
              <w:t>Methodology</w:t>
            </w:r>
            <w:r w:rsidR="001B2FA0">
              <w:rPr>
                <w:noProof/>
                <w:webHidden/>
              </w:rPr>
              <w:tab/>
            </w:r>
            <w:r w:rsidR="001B2FA0">
              <w:rPr>
                <w:noProof/>
                <w:webHidden/>
              </w:rPr>
              <w:fldChar w:fldCharType="begin"/>
            </w:r>
            <w:r w:rsidR="001B2FA0">
              <w:rPr>
                <w:noProof/>
                <w:webHidden/>
              </w:rPr>
              <w:instrText xml:space="preserve"> PAGEREF _Toc104977802 \h </w:instrText>
            </w:r>
            <w:r w:rsidR="001B2FA0">
              <w:rPr>
                <w:noProof/>
                <w:webHidden/>
              </w:rPr>
            </w:r>
            <w:r w:rsidR="001B2FA0">
              <w:rPr>
                <w:noProof/>
                <w:webHidden/>
              </w:rPr>
              <w:fldChar w:fldCharType="separate"/>
            </w:r>
            <w:r w:rsidR="00404CB8">
              <w:rPr>
                <w:noProof/>
                <w:webHidden/>
              </w:rPr>
              <w:t>10</w:t>
            </w:r>
            <w:r w:rsidR="001B2FA0">
              <w:rPr>
                <w:noProof/>
                <w:webHidden/>
              </w:rPr>
              <w:fldChar w:fldCharType="end"/>
            </w:r>
          </w:hyperlink>
        </w:p>
        <w:p w14:paraId="343BD3A5" w14:textId="07E7CE62"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803" w:history="1">
            <w:r w:rsidR="001B2FA0" w:rsidRPr="008A6636">
              <w:rPr>
                <w:rStyle w:val="Hyperlink"/>
                <w:rFonts w:ascii="Humnst777 Lt BT" w:hAnsi="Humnst777 Lt BT"/>
                <w:noProof/>
              </w:rPr>
              <w:t>Summary of findings</w:t>
            </w:r>
            <w:r w:rsidR="001B2FA0">
              <w:rPr>
                <w:noProof/>
                <w:webHidden/>
              </w:rPr>
              <w:tab/>
            </w:r>
            <w:r w:rsidR="001B2FA0">
              <w:rPr>
                <w:noProof/>
                <w:webHidden/>
              </w:rPr>
              <w:fldChar w:fldCharType="begin"/>
            </w:r>
            <w:r w:rsidR="001B2FA0">
              <w:rPr>
                <w:noProof/>
                <w:webHidden/>
              </w:rPr>
              <w:instrText xml:space="preserve"> PAGEREF _Toc104977803 \h </w:instrText>
            </w:r>
            <w:r w:rsidR="001B2FA0">
              <w:rPr>
                <w:noProof/>
                <w:webHidden/>
              </w:rPr>
            </w:r>
            <w:r w:rsidR="001B2FA0">
              <w:rPr>
                <w:noProof/>
                <w:webHidden/>
              </w:rPr>
              <w:fldChar w:fldCharType="separate"/>
            </w:r>
            <w:r w:rsidR="00404CB8">
              <w:rPr>
                <w:noProof/>
                <w:webHidden/>
              </w:rPr>
              <w:t>12</w:t>
            </w:r>
            <w:r w:rsidR="001B2FA0">
              <w:rPr>
                <w:noProof/>
                <w:webHidden/>
              </w:rPr>
              <w:fldChar w:fldCharType="end"/>
            </w:r>
          </w:hyperlink>
        </w:p>
        <w:p w14:paraId="76333F93" w14:textId="627B55FD" w:rsidR="001B2FA0" w:rsidRDefault="00DB35E7">
          <w:pPr>
            <w:pStyle w:val="TOC1"/>
            <w:tabs>
              <w:tab w:val="right" w:leader="dot" w:pos="10194"/>
            </w:tabs>
            <w:rPr>
              <w:rFonts w:asciiTheme="minorHAnsi" w:eastAsiaTheme="minorEastAsia" w:hAnsiTheme="minorHAnsi" w:cstheme="minorBidi"/>
              <w:b w:val="0"/>
              <w:noProof/>
              <w:sz w:val="22"/>
              <w:lang w:eastAsia="en-GB"/>
            </w:rPr>
          </w:pPr>
          <w:hyperlink w:anchor="_Toc104977804" w:history="1">
            <w:r w:rsidR="001B2FA0" w:rsidRPr="008A6636">
              <w:rPr>
                <w:rStyle w:val="Hyperlink"/>
                <w:rFonts w:ascii="Humnst777 Lt BT" w:hAnsi="Humnst777 Lt BT"/>
                <w:noProof/>
              </w:rPr>
              <w:t>Evidence used to inform this PIR</w:t>
            </w:r>
            <w:r w:rsidR="001B2FA0">
              <w:rPr>
                <w:noProof/>
                <w:webHidden/>
              </w:rPr>
              <w:tab/>
            </w:r>
            <w:r w:rsidR="001B2FA0">
              <w:rPr>
                <w:noProof/>
                <w:webHidden/>
              </w:rPr>
              <w:fldChar w:fldCharType="begin"/>
            </w:r>
            <w:r w:rsidR="001B2FA0">
              <w:rPr>
                <w:noProof/>
                <w:webHidden/>
              </w:rPr>
              <w:instrText xml:space="preserve"> PAGEREF _Toc104977804 \h </w:instrText>
            </w:r>
            <w:r w:rsidR="001B2FA0">
              <w:rPr>
                <w:noProof/>
                <w:webHidden/>
              </w:rPr>
            </w:r>
            <w:r w:rsidR="001B2FA0">
              <w:rPr>
                <w:noProof/>
                <w:webHidden/>
              </w:rPr>
              <w:fldChar w:fldCharType="separate"/>
            </w:r>
            <w:r w:rsidR="00404CB8">
              <w:rPr>
                <w:noProof/>
                <w:webHidden/>
              </w:rPr>
              <w:t>13</w:t>
            </w:r>
            <w:r w:rsidR="001B2FA0">
              <w:rPr>
                <w:noProof/>
                <w:webHidden/>
              </w:rPr>
              <w:fldChar w:fldCharType="end"/>
            </w:r>
          </w:hyperlink>
        </w:p>
        <w:p w14:paraId="271AD40E" w14:textId="2730E8B4"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805" w:history="1">
            <w:r w:rsidR="001B2FA0" w:rsidRPr="008A6636">
              <w:rPr>
                <w:rStyle w:val="Hyperlink"/>
                <w:rFonts w:ascii="Humnst777 Lt BT" w:hAnsi="Humnst777 Lt BT"/>
                <w:noProof/>
              </w:rPr>
              <w:t>OPBAS reports</w:t>
            </w:r>
            <w:r w:rsidR="001B2FA0">
              <w:rPr>
                <w:noProof/>
                <w:webHidden/>
              </w:rPr>
              <w:tab/>
            </w:r>
            <w:r w:rsidR="001B2FA0">
              <w:rPr>
                <w:noProof/>
                <w:webHidden/>
              </w:rPr>
              <w:fldChar w:fldCharType="begin"/>
            </w:r>
            <w:r w:rsidR="001B2FA0">
              <w:rPr>
                <w:noProof/>
                <w:webHidden/>
              </w:rPr>
              <w:instrText xml:space="preserve"> PAGEREF _Toc104977805 \h </w:instrText>
            </w:r>
            <w:r w:rsidR="001B2FA0">
              <w:rPr>
                <w:noProof/>
                <w:webHidden/>
              </w:rPr>
            </w:r>
            <w:r w:rsidR="001B2FA0">
              <w:rPr>
                <w:noProof/>
                <w:webHidden/>
              </w:rPr>
              <w:fldChar w:fldCharType="separate"/>
            </w:r>
            <w:r w:rsidR="00404CB8">
              <w:rPr>
                <w:noProof/>
                <w:webHidden/>
              </w:rPr>
              <w:t>13</w:t>
            </w:r>
            <w:r w:rsidR="001B2FA0">
              <w:rPr>
                <w:noProof/>
                <w:webHidden/>
              </w:rPr>
              <w:fldChar w:fldCharType="end"/>
            </w:r>
          </w:hyperlink>
        </w:p>
        <w:p w14:paraId="4B45D50F" w14:textId="49EC8572"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806" w:history="1">
            <w:r w:rsidR="001B2FA0" w:rsidRPr="008A6636">
              <w:rPr>
                <w:rStyle w:val="Hyperlink"/>
                <w:rFonts w:ascii="Humnst777 Lt BT" w:hAnsi="Humnst777 Lt BT"/>
                <w:noProof/>
              </w:rPr>
              <w:t>Regulation 46A reports</w:t>
            </w:r>
            <w:r w:rsidR="001B2FA0">
              <w:rPr>
                <w:noProof/>
                <w:webHidden/>
              </w:rPr>
              <w:tab/>
            </w:r>
            <w:r w:rsidR="001B2FA0">
              <w:rPr>
                <w:noProof/>
                <w:webHidden/>
              </w:rPr>
              <w:fldChar w:fldCharType="begin"/>
            </w:r>
            <w:r w:rsidR="001B2FA0">
              <w:rPr>
                <w:noProof/>
                <w:webHidden/>
              </w:rPr>
              <w:instrText xml:space="preserve"> PAGEREF _Toc104977806 \h </w:instrText>
            </w:r>
            <w:r w:rsidR="001B2FA0">
              <w:rPr>
                <w:noProof/>
                <w:webHidden/>
              </w:rPr>
            </w:r>
            <w:r w:rsidR="001B2FA0">
              <w:rPr>
                <w:noProof/>
                <w:webHidden/>
              </w:rPr>
              <w:fldChar w:fldCharType="separate"/>
            </w:r>
            <w:r w:rsidR="00404CB8">
              <w:rPr>
                <w:noProof/>
                <w:webHidden/>
              </w:rPr>
              <w:t>13</w:t>
            </w:r>
            <w:r w:rsidR="001B2FA0">
              <w:rPr>
                <w:noProof/>
                <w:webHidden/>
              </w:rPr>
              <w:fldChar w:fldCharType="end"/>
            </w:r>
          </w:hyperlink>
        </w:p>
        <w:p w14:paraId="510B6E39" w14:textId="44C1F134"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807" w:history="1">
            <w:r w:rsidR="001B2FA0" w:rsidRPr="008A6636">
              <w:rPr>
                <w:rStyle w:val="Hyperlink"/>
                <w:rFonts w:ascii="Humnst777 Lt BT" w:hAnsi="Humnst777 Lt BT"/>
                <w:noProof/>
              </w:rPr>
              <w:t>Intelligence Sharing Expert Working Group (ISEWGs)</w:t>
            </w:r>
            <w:r w:rsidR="001B2FA0">
              <w:rPr>
                <w:noProof/>
                <w:webHidden/>
              </w:rPr>
              <w:tab/>
            </w:r>
            <w:r w:rsidR="001B2FA0">
              <w:rPr>
                <w:noProof/>
                <w:webHidden/>
              </w:rPr>
              <w:fldChar w:fldCharType="begin"/>
            </w:r>
            <w:r w:rsidR="001B2FA0">
              <w:rPr>
                <w:noProof/>
                <w:webHidden/>
              </w:rPr>
              <w:instrText xml:space="preserve"> PAGEREF _Toc104977807 \h </w:instrText>
            </w:r>
            <w:r w:rsidR="001B2FA0">
              <w:rPr>
                <w:noProof/>
                <w:webHidden/>
              </w:rPr>
            </w:r>
            <w:r w:rsidR="001B2FA0">
              <w:rPr>
                <w:noProof/>
                <w:webHidden/>
              </w:rPr>
              <w:fldChar w:fldCharType="separate"/>
            </w:r>
            <w:r w:rsidR="00404CB8">
              <w:rPr>
                <w:noProof/>
                <w:webHidden/>
              </w:rPr>
              <w:t>13</w:t>
            </w:r>
            <w:r w:rsidR="001B2FA0">
              <w:rPr>
                <w:noProof/>
                <w:webHidden/>
              </w:rPr>
              <w:fldChar w:fldCharType="end"/>
            </w:r>
          </w:hyperlink>
        </w:p>
        <w:p w14:paraId="3E906F60" w14:textId="13F4F80D"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808" w:history="1">
            <w:r w:rsidR="001B2FA0" w:rsidRPr="008A6636">
              <w:rPr>
                <w:rStyle w:val="Hyperlink"/>
                <w:rFonts w:ascii="Humnst777 Lt BT" w:hAnsi="Humnst777 Lt BT"/>
                <w:noProof/>
              </w:rPr>
              <w:t>Supervision data and HMT supervision reports</w:t>
            </w:r>
            <w:r w:rsidR="001B2FA0">
              <w:rPr>
                <w:noProof/>
                <w:webHidden/>
              </w:rPr>
              <w:tab/>
            </w:r>
            <w:r w:rsidR="001B2FA0">
              <w:rPr>
                <w:noProof/>
                <w:webHidden/>
              </w:rPr>
              <w:fldChar w:fldCharType="begin"/>
            </w:r>
            <w:r w:rsidR="001B2FA0">
              <w:rPr>
                <w:noProof/>
                <w:webHidden/>
              </w:rPr>
              <w:instrText xml:space="preserve"> PAGEREF _Toc104977808 \h </w:instrText>
            </w:r>
            <w:r w:rsidR="001B2FA0">
              <w:rPr>
                <w:noProof/>
                <w:webHidden/>
              </w:rPr>
            </w:r>
            <w:r w:rsidR="001B2FA0">
              <w:rPr>
                <w:noProof/>
                <w:webHidden/>
              </w:rPr>
              <w:fldChar w:fldCharType="separate"/>
            </w:r>
            <w:r w:rsidR="00404CB8">
              <w:rPr>
                <w:noProof/>
                <w:webHidden/>
              </w:rPr>
              <w:t>14</w:t>
            </w:r>
            <w:r w:rsidR="001B2FA0">
              <w:rPr>
                <w:noProof/>
                <w:webHidden/>
              </w:rPr>
              <w:fldChar w:fldCharType="end"/>
            </w:r>
          </w:hyperlink>
        </w:p>
        <w:p w14:paraId="460D9A94" w14:textId="620756AC"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809" w:history="1">
            <w:r w:rsidR="001B2FA0" w:rsidRPr="008A6636">
              <w:rPr>
                <w:rStyle w:val="Hyperlink"/>
                <w:rFonts w:ascii="Humnst777 Lt BT" w:hAnsi="Humnst777 Lt BT"/>
                <w:noProof/>
              </w:rPr>
              <w:t>MLRs Review Call for Evidence</w:t>
            </w:r>
            <w:r w:rsidR="001B2FA0">
              <w:rPr>
                <w:noProof/>
                <w:webHidden/>
              </w:rPr>
              <w:tab/>
            </w:r>
            <w:r w:rsidR="001B2FA0">
              <w:rPr>
                <w:noProof/>
                <w:webHidden/>
              </w:rPr>
              <w:fldChar w:fldCharType="begin"/>
            </w:r>
            <w:r w:rsidR="001B2FA0">
              <w:rPr>
                <w:noProof/>
                <w:webHidden/>
              </w:rPr>
              <w:instrText xml:space="preserve"> PAGEREF _Toc104977809 \h </w:instrText>
            </w:r>
            <w:r w:rsidR="001B2FA0">
              <w:rPr>
                <w:noProof/>
                <w:webHidden/>
              </w:rPr>
            </w:r>
            <w:r w:rsidR="001B2FA0">
              <w:rPr>
                <w:noProof/>
                <w:webHidden/>
              </w:rPr>
              <w:fldChar w:fldCharType="separate"/>
            </w:r>
            <w:r w:rsidR="00404CB8">
              <w:rPr>
                <w:noProof/>
                <w:webHidden/>
              </w:rPr>
              <w:t>14</w:t>
            </w:r>
            <w:r w:rsidR="001B2FA0">
              <w:rPr>
                <w:noProof/>
                <w:webHidden/>
              </w:rPr>
              <w:fldChar w:fldCharType="end"/>
            </w:r>
          </w:hyperlink>
        </w:p>
        <w:p w14:paraId="12EFFE67" w14:textId="305D7DC1" w:rsidR="001B2FA0" w:rsidRDefault="00DB35E7">
          <w:pPr>
            <w:pStyle w:val="TOC1"/>
            <w:tabs>
              <w:tab w:val="right" w:leader="dot" w:pos="10194"/>
            </w:tabs>
            <w:rPr>
              <w:rFonts w:asciiTheme="minorHAnsi" w:eastAsiaTheme="minorEastAsia" w:hAnsiTheme="minorHAnsi" w:cstheme="minorBidi"/>
              <w:b w:val="0"/>
              <w:noProof/>
              <w:sz w:val="22"/>
              <w:lang w:eastAsia="en-GB"/>
            </w:rPr>
          </w:pPr>
          <w:hyperlink w:anchor="_Toc104977810" w:history="1">
            <w:r w:rsidR="001B2FA0" w:rsidRPr="008A6636">
              <w:rPr>
                <w:rStyle w:val="Hyperlink"/>
                <w:rFonts w:ascii="Humnst777 Lt BT" w:hAnsi="Humnst777 Lt BT"/>
                <w:noProof/>
              </w:rPr>
              <w:t>Findings</w:t>
            </w:r>
            <w:r w:rsidR="001B2FA0">
              <w:rPr>
                <w:noProof/>
                <w:webHidden/>
              </w:rPr>
              <w:tab/>
            </w:r>
            <w:r w:rsidR="001B2FA0">
              <w:rPr>
                <w:noProof/>
                <w:webHidden/>
              </w:rPr>
              <w:fldChar w:fldCharType="begin"/>
            </w:r>
            <w:r w:rsidR="001B2FA0">
              <w:rPr>
                <w:noProof/>
                <w:webHidden/>
              </w:rPr>
              <w:instrText xml:space="preserve"> PAGEREF _Toc104977810 \h </w:instrText>
            </w:r>
            <w:r w:rsidR="001B2FA0">
              <w:rPr>
                <w:noProof/>
                <w:webHidden/>
              </w:rPr>
            </w:r>
            <w:r w:rsidR="001B2FA0">
              <w:rPr>
                <w:noProof/>
                <w:webHidden/>
              </w:rPr>
              <w:fldChar w:fldCharType="separate"/>
            </w:r>
            <w:r w:rsidR="00404CB8">
              <w:rPr>
                <w:noProof/>
                <w:webHidden/>
              </w:rPr>
              <w:t>15</w:t>
            </w:r>
            <w:r w:rsidR="001B2FA0">
              <w:rPr>
                <w:noProof/>
                <w:webHidden/>
              </w:rPr>
              <w:fldChar w:fldCharType="end"/>
            </w:r>
          </w:hyperlink>
        </w:p>
        <w:p w14:paraId="1BFF78B5" w14:textId="5CF266EA"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811" w:history="1">
            <w:r w:rsidR="001B2FA0" w:rsidRPr="008A6636">
              <w:rPr>
                <w:rStyle w:val="Hyperlink"/>
                <w:rFonts w:ascii="Humnst777 Lt BT" w:hAnsi="Humnst777 Lt BT"/>
                <w:noProof/>
              </w:rPr>
              <w:t>OPBAS Reports</w:t>
            </w:r>
            <w:r w:rsidR="001B2FA0">
              <w:rPr>
                <w:noProof/>
                <w:webHidden/>
              </w:rPr>
              <w:tab/>
            </w:r>
            <w:r w:rsidR="001B2FA0">
              <w:rPr>
                <w:noProof/>
                <w:webHidden/>
              </w:rPr>
              <w:fldChar w:fldCharType="begin"/>
            </w:r>
            <w:r w:rsidR="001B2FA0">
              <w:rPr>
                <w:noProof/>
                <w:webHidden/>
              </w:rPr>
              <w:instrText xml:space="preserve"> PAGEREF _Toc104977811 \h </w:instrText>
            </w:r>
            <w:r w:rsidR="001B2FA0">
              <w:rPr>
                <w:noProof/>
                <w:webHidden/>
              </w:rPr>
            </w:r>
            <w:r w:rsidR="001B2FA0">
              <w:rPr>
                <w:noProof/>
                <w:webHidden/>
              </w:rPr>
              <w:fldChar w:fldCharType="separate"/>
            </w:r>
            <w:r w:rsidR="00404CB8">
              <w:rPr>
                <w:noProof/>
                <w:webHidden/>
              </w:rPr>
              <w:t>15</w:t>
            </w:r>
            <w:r w:rsidR="001B2FA0">
              <w:rPr>
                <w:noProof/>
                <w:webHidden/>
              </w:rPr>
              <w:fldChar w:fldCharType="end"/>
            </w:r>
          </w:hyperlink>
        </w:p>
        <w:p w14:paraId="32C66F94" w14:textId="00AD3B75" w:rsidR="001B2FA0" w:rsidRDefault="00DB35E7">
          <w:pPr>
            <w:pStyle w:val="TOC3"/>
            <w:tabs>
              <w:tab w:val="right" w:leader="dot" w:pos="10194"/>
            </w:tabs>
            <w:rPr>
              <w:rFonts w:asciiTheme="minorHAnsi" w:eastAsiaTheme="minorEastAsia" w:hAnsiTheme="minorHAnsi" w:cstheme="minorBidi"/>
              <w:noProof/>
              <w:sz w:val="22"/>
              <w:lang w:eastAsia="en-GB"/>
            </w:rPr>
          </w:pPr>
          <w:hyperlink w:anchor="_Toc104977812" w:history="1">
            <w:r w:rsidR="001B2FA0" w:rsidRPr="008A6636">
              <w:rPr>
                <w:rStyle w:val="Hyperlink"/>
                <w:rFonts w:ascii="Humnst777 Lt BT" w:hAnsi="Humnst777 Lt BT"/>
                <w:noProof/>
              </w:rPr>
              <w:t>2019, 2020 reports</w:t>
            </w:r>
            <w:r w:rsidR="001B2FA0">
              <w:rPr>
                <w:noProof/>
                <w:webHidden/>
              </w:rPr>
              <w:tab/>
            </w:r>
            <w:r w:rsidR="001B2FA0">
              <w:rPr>
                <w:noProof/>
                <w:webHidden/>
              </w:rPr>
              <w:fldChar w:fldCharType="begin"/>
            </w:r>
            <w:r w:rsidR="001B2FA0">
              <w:rPr>
                <w:noProof/>
                <w:webHidden/>
              </w:rPr>
              <w:instrText xml:space="preserve"> PAGEREF _Toc104977812 \h </w:instrText>
            </w:r>
            <w:r w:rsidR="001B2FA0">
              <w:rPr>
                <w:noProof/>
                <w:webHidden/>
              </w:rPr>
            </w:r>
            <w:r w:rsidR="001B2FA0">
              <w:rPr>
                <w:noProof/>
                <w:webHidden/>
              </w:rPr>
              <w:fldChar w:fldCharType="separate"/>
            </w:r>
            <w:r w:rsidR="00404CB8">
              <w:rPr>
                <w:noProof/>
                <w:webHidden/>
              </w:rPr>
              <w:t>15</w:t>
            </w:r>
            <w:r w:rsidR="001B2FA0">
              <w:rPr>
                <w:noProof/>
                <w:webHidden/>
              </w:rPr>
              <w:fldChar w:fldCharType="end"/>
            </w:r>
          </w:hyperlink>
        </w:p>
        <w:p w14:paraId="01B3409C" w14:textId="4E102555" w:rsidR="001B2FA0" w:rsidRDefault="00DB35E7">
          <w:pPr>
            <w:pStyle w:val="TOC3"/>
            <w:tabs>
              <w:tab w:val="right" w:leader="dot" w:pos="10194"/>
            </w:tabs>
            <w:rPr>
              <w:rFonts w:asciiTheme="minorHAnsi" w:eastAsiaTheme="minorEastAsia" w:hAnsiTheme="minorHAnsi" w:cstheme="minorBidi"/>
              <w:noProof/>
              <w:sz w:val="22"/>
              <w:lang w:eastAsia="en-GB"/>
            </w:rPr>
          </w:pPr>
          <w:hyperlink w:anchor="_Toc104977813" w:history="1">
            <w:r w:rsidR="001B2FA0" w:rsidRPr="008A6636">
              <w:rPr>
                <w:rStyle w:val="Hyperlink"/>
                <w:rFonts w:ascii="Humnst777 Lt BT" w:hAnsi="Humnst777 Lt BT"/>
                <w:noProof/>
              </w:rPr>
              <w:t>OPBAS third report, 2021</w:t>
            </w:r>
            <w:r w:rsidR="001B2FA0">
              <w:rPr>
                <w:noProof/>
                <w:webHidden/>
              </w:rPr>
              <w:tab/>
            </w:r>
            <w:r w:rsidR="001B2FA0">
              <w:rPr>
                <w:noProof/>
                <w:webHidden/>
              </w:rPr>
              <w:fldChar w:fldCharType="begin"/>
            </w:r>
            <w:r w:rsidR="001B2FA0">
              <w:rPr>
                <w:noProof/>
                <w:webHidden/>
              </w:rPr>
              <w:instrText xml:space="preserve"> PAGEREF _Toc104977813 \h </w:instrText>
            </w:r>
            <w:r w:rsidR="001B2FA0">
              <w:rPr>
                <w:noProof/>
                <w:webHidden/>
              </w:rPr>
            </w:r>
            <w:r w:rsidR="001B2FA0">
              <w:rPr>
                <w:noProof/>
                <w:webHidden/>
              </w:rPr>
              <w:fldChar w:fldCharType="separate"/>
            </w:r>
            <w:r w:rsidR="00404CB8">
              <w:rPr>
                <w:noProof/>
                <w:webHidden/>
              </w:rPr>
              <w:t>16</w:t>
            </w:r>
            <w:r w:rsidR="001B2FA0">
              <w:rPr>
                <w:noProof/>
                <w:webHidden/>
              </w:rPr>
              <w:fldChar w:fldCharType="end"/>
            </w:r>
          </w:hyperlink>
        </w:p>
        <w:p w14:paraId="54C24ADB" w14:textId="22AD8A6D"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818" w:history="1">
            <w:r w:rsidR="001B2FA0" w:rsidRPr="008A6636">
              <w:rPr>
                <w:rStyle w:val="Hyperlink"/>
                <w:rFonts w:ascii="Humnst777 Lt BT" w:hAnsi="Humnst777 Lt BT"/>
                <w:noProof/>
              </w:rPr>
              <w:t>Regulation 46A reports</w:t>
            </w:r>
            <w:r w:rsidR="001B2FA0">
              <w:rPr>
                <w:noProof/>
                <w:webHidden/>
              </w:rPr>
              <w:tab/>
            </w:r>
            <w:r w:rsidR="001B2FA0">
              <w:rPr>
                <w:noProof/>
                <w:webHidden/>
              </w:rPr>
              <w:fldChar w:fldCharType="begin"/>
            </w:r>
            <w:r w:rsidR="001B2FA0">
              <w:rPr>
                <w:noProof/>
                <w:webHidden/>
              </w:rPr>
              <w:instrText xml:space="preserve"> PAGEREF _Toc104977818 \h </w:instrText>
            </w:r>
            <w:r w:rsidR="001B2FA0">
              <w:rPr>
                <w:noProof/>
                <w:webHidden/>
              </w:rPr>
            </w:r>
            <w:r w:rsidR="001B2FA0">
              <w:rPr>
                <w:noProof/>
                <w:webHidden/>
              </w:rPr>
              <w:fldChar w:fldCharType="separate"/>
            </w:r>
            <w:r w:rsidR="00404CB8">
              <w:rPr>
                <w:noProof/>
                <w:webHidden/>
              </w:rPr>
              <w:t>17</w:t>
            </w:r>
            <w:r w:rsidR="001B2FA0">
              <w:rPr>
                <w:noProof/>
                <w:webHidden/>
              </w:rPr>
              <w:fldChar w:fldCharType="end"/>
            </w:r>
          </w:hyperlink>
        </w:p>
        <w:p w14:paraId="3CBE9784" w14:textId="31F9B727"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819" w:history="1">
            <w:r w:rsidR="001B2FA0" w:rsidRPr="008A6636">
              <w:rPr>
                <w:rStyle w:val="Hyperlink"/>
                <w:rFonts w:ascii="Humnst777 Lt BT" w:hAnsi="Humnst777 Lt BT"/>
                <w:noProof/>
              </w:rPr>
              <w:t>ISEWGs</w:t>
            </w:r>
            <w:r w:rsidR="001B2FA0">
              <w:rPr>
                <w:noProof/>
                <w:webHidden/>
              </w:rPr>
              <w:tab/>
            </w:r>
            <w:r w:rsidR="001B2FA0">
              <w:rPr>
                <w:noProof/>
                <w:webHidden/>
              </w:rPr>
              <w:fldChar w:fldCharType="begin"/>
            </w:r>
            <w:r w:rsidR="001B2FA0">
              <w:rPr>
                <w:noProof/>
                <w:webHidden/>
              </w:rPr>
              <w:instrText xml:space="preserve"> PAGEREF _Toc104977819 \h </w:instrText>
            </w:r>
            <w:r w:rsidR="001B2FA0">
              <w:rPr>
                <w:noProof/>
                <w:webHidden/>
              </w:rPr>
            </w:r>
            <w:r w:rsidR="001B2FA0">
              <w:rPr>
                <w:noProof/>
                <w:webHidden/>
              </w:rPr>
              <w:fldChar w:fldCharType="separate"/>
            </w:r>
            <w:r w:rsidR="00404CB8">
              <w:rPr>
                <w:noProof/>
                <w:webHidden/>
              </w:rPr>
              <w:t>17</w:t>
            </w:r>
            <w:r w:rsidR="001B2FA0">
              <w:rPr>
                <w:noProof/>
                <w:webHidden/>
              </w:rPr>
              <w:fldChar w:fldCharType="end"/>
            </w:r>
          </w:hyperlink>
        </w:p>
        <w:p w14:paraId="76C77944" w14:textId="28ADB71C"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820" w:history="1">
            <w:r w:rsidR="001B2FA0" w:rsidRPr="008A6636">
              <w:rPr>
                <w:rStyle w:val="Hyperlink"/>
                <w:rFonts w:ascii="Humnst777 Lt BT" w:hAnsi="Humnst777 Lt BT"/>
                <w:noProof/>
              </w:rPr>
              <w:t>Supervision data and reports</w:t>
            </w:r>
            <w:r w:rsidR="001B2FA0">
              <w:rPr>
                <w:noProof/>
                <w:webHidden/>
              </w:rPr>
              <w:tab/>
            </w:r>
            <w:r w:rsidR="001B2FA0">
              <w:rPr>
                <w:noProof/>
                <w:webHidden/>
              </w:rPr>
              <w:fldChar w:fldCharType="begin"/>
            </w:r>
            <w:r w:rsidR="001B2FA0">
              <w:rPr>
                <w:noProof/>
                <w:webHidden/>
              </w:rPr>
              <w:instrText xml:space="preserve"> PAGEREF _Toc104977820 \h </w:instrText>
            </w:r>
            <w:r w:rsidR="001B2FA0">
              <w:rPr>
                <w:noProof/>
                <w:webHidden/>
              </w:rPr>
            </w:r>
            <w:r w:rsidR="001B2FA0">
              <w:rPr>
                <w:noProof/>
                <w:webHidden/>
              </w:rPr>
              <w:fldChar w:fldCharType="separate"/>
            </w:r>
            <w:r w:rsidR="00404CB8">
              <w:rPr>
                <w:noProof/>
                <w:webHidden/>
              </w:rPr>
              <w:t>18</w:t>
            </w:r>
            <w:r w:rsidR="001B2FA0">
              <w:rPr>
                <w:noProof/>
                <w:webHidden/>
              </w:rPr>
              <w:fldChar w:fldCharType="end"/>
            </w:r>
          </w:hyperlink>
        </w:p>
        <w:p w14:paraId="5D842F7F" w14:textId="73C2F886"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821" w:history="1">
            <w:r w:rsidR="001B2FA0" w:rsidRPr="008A6636">
              <w:rPr>
                <w:rStyle w:val="Hyperlink"/>
                <w:rFonts w:ascii="Humnst777 Lt BT" w:hAnsi="Humnst777 Lt BT"/>
                <w:noProof/>
              </w:rPr>
              <w:t>Call for evidence</w:t>
            </w:r>
            <w:r w:rsidR="001B2FA0">
              <w:rPr>
                <w:noProof/>
                <w:webHidden/>
              </w:rPr>
              <w:tab/>
            </w:r>
            <w:r w:rsidR="001B2FA0">
              <w:rPr>
                <w:noProof/>
                <w:webHidden/>
              </w:rPr>
              <w:fldChar w:fldCharType="begin"/>
            </w:r>
            <w:r w:rsidR="001B2FA0">
              <w:rPr>
                <w:noProof/>
                <w:webHidden/>
              </w:rPr>
              <w:instrText xml:space="preserve"> PAGEREF _Toc104977821 \h </w:instrText>
            </w:r>
            <w:r w:rsidR="001B2FA0">
              <w:rPr>
                <w:noProof/>
                <w:webHidden/>
              </w:rPr>
            </w:r>
            <w:r w:rsidR="001B2FA0">
              <w:rPr>
                <w:noProof/>
                <w:webHidden/>
              </w:rPr>
              <w:fldChar w:fldCharType="separate"/>
            </w:r>
            <w:r w:rsidR="00404CB8">
              <w:rPr>
                <w:noProof/>
                <w:webHidden/>
              </w:rPr>
              <w:t>19</w:t>
            </w:r>
            <w:r w:rsidR="001B2FA0">
              <w:rPr>
                <w:noProof/>
                <w:webHidden/>
              </w:rPr>
              <w:fldChar w:fldCharType="end"/>
            </w:r>
          </w:hyperlink>
        </w:p>
        <w:p w14:paraId="331EF67A" w14:textId="1077A7D6" w:rsidR="001B2FA0" w:rsidRDefault="00DB35E7">
          <w:pPr>
            <w:pStyle w:val="TOC3"/>
            <w:tabs>
              <w:tab w:val="right" w:leader="dot" w:pos="10194"/>
            </w:tabs>
            <w:rPr>
              <w:rFonts w:asciiTheme="minorHAnsi" w:eastAsiaTheme="minorEastAsia" w:hAnsiTheme="minorHAnsi" w:cstheme="minorBidi"/>
              <w:noProof/>
              <w:sz w:val="22"/>
              <w:lang w:eastAsia="en-GB"/>
            </w:rPr>
          </w:pPr>
          <w:hyperlink w:anchor="_Toc104977822" w:history="1">
            <w:r w:rsidR="001B2FA0" w:rsidRPr="008A6636">
              <w:rPr>
                <w:rStyle w:val="Hyperlink"/>
                <w:rFonts w:ascii="Humnst777 Lt BT" w:hAnsi="Humnst777 Lt BT"/>
                <w:noProof/>
              </w:rPr>
              <w:t>Pre-consultation session with OPBAS</w:t>
            </w:r>
            <w:r w:rsidR="001B2FA0">
              <w:rPr>
                <w:noProof/>
                <w:webHidden/>
              </w:rPr>
              <w:tab/>
            </w:r>
            <w:r w:rsidR="001B2FA0">
              <w:rPr>
                <w:noProof/>
                <w:webHidden/>
              </w:rPr>
              <w:fldChar w:fldCharType="begin"/>
            </w:r>
            <w:r w:rsidR="001B2FA0">
              <w:rPr>
                <w:noProof/>
                <w:webHidden/>
              </w:rPr>
              <w:instrText xml:space="preserve"> PAGEREF _Toc104977822 \h </w:instrText>
            </w:r>
            <w:r w:rsidR="001B2FA0">
              <w:rPr>
                <w:noProof/>
                <w:webHidden/>
              </w:rPr>
            </w:r>
            <w:r w:rsidR="001B2FA0">
              <w:rPr>
                <w:noProof/>
                <w:webHidden/>
              </w:rPr>
              <w:fldChar w:fldCharType="separate"/>
            </w:r>
            <w:r w:rsidR="00404CB8">
              <w:rPr>
                <w:noProof/>
                <w:webHidden/>
              </w:rPr>
              <w:t>19</w:t>
            </w:r>
            <w:r w:rsidR="001B2FA0">
              <w:rPr>
                <w:noProof/>
                <w:webHidden/>
              </w:rPr>
              <w:fldChar w:fldCharType="end"/>
            </w:r>
          </w:hyperlink>
        </w:p>
        <w:p w14:paraId="45E269E8" w14:textId="4EB7BD5F" w:rsidR="001B2FA0" w:rsidRDefault="00DB35E7">
          <w:pPr>
            <w:pStyle w:val="TOC3"/>
            <w:tabs>
              <w:tab w:val="right" w:leader="dot" w:pos="10194"/>
            </w:tabs>
            <w:rPr>
              <w:rFonts w:asciiTheme="minorHAnsi" w:eastAsiaTheme="minorEastAsia" w:hAnsiTheme="minorHAnsi" w:cstheme="minorBidi"/>
              <w:noProof/>
              <w:sz w:val="22"/>
              <w:lang w:eastAsia="en-GB"/>
            </w:rPr>
          </w:pPr>
          <w:hyperlink w:anchor="_Toc104977823" w:history="1">
            <w:r w:rsidR="001B2FA0" w:rsidRPr="008A6636">
              <w:rPr>
                <w:rStyle w:val="Hyperlink"/>
                <w:rFonts w:ascii="Humnst777 Lt BT" w:hAnsi="Humnst777 Lt BT"/>
                <w:noProof/>
              </w:rPr>
              <w:t xml:space="preserve">Accountancy sector Call for Evidence </w:t>
            </w:r>
            <w:r w:rsidR="001B2FA0">
              <w:rPr>
                <w:rStyle w:val="Hyperlink"/>
                <w:rFonts w:ascii="Humnst777 Lt BT" w:hAnsi="Humnst777 Lt BT"/>
                <w:noProof/>
              </w:rPr>
              <w:t>responses</w:t>
            </w:r>
            <w:r w:rsidR="001B2FA0">
              <w:rPr>
                <w:noProof/>
                <w:webHidden/>
              </w:rPr>
              <w:tab/>
            </w:r>
            <w:r w:rsidR="001B2FA0">
              <w:rPr>
                <w:noProof/>
                <w:webHidden/>
              </w:rPr>
              <w:fldChar w:fldCharType="begin"/>
            </w:r>
            <w:r w:rsidR="001B2FA0">
              <w:rPr>
                <w:noProof/>
                <w:webHidden/>
              </w:rPr>
              <w:instrText xml:space="preserve"> PAGEREF _Toc104977823 \h </w:instrText>
            </w:r>
            <w:r w:rsidR="001B2FA0">
              <w:rPr>
                <w:noProof/>
                <w:webHidden/>
              </w:rPr>
            </w:r>
            <w:r w:rsidR="001B2FA0">
              <w:rPr>
                <w:noProof/>
                <w:webHidden/>
              </w:rPr>
              <w:fldChar w:fldCharType="separate"/>
            </w:r>
            <w:r w:rsidR="00404CB8">
              <w:rPr>
                <w:noProof/>
                <w:webHidden/>
              </w:rPr>
              <w:t>19</w:t>
            </w:r>
            <w:r w:rsidR="001B2FA0">
              <w:rPr>
                <w:noProof/>
                <w:webHidden/>
              </w:rPr>
              <w:fldChar w:fldCharType="end"/>
            </w:r>
          </w:hyperlink>
        </w:p>
        <w:p w14:paraId="1A05BCFB" w14:textId="20310030" w:rsidR="001B2FA0" w:rsidRDefault="00DB35E7">
          <w:pPr>
            <w:pStyle w:val="TOC3"/>
            <w:tabs>
              <w:tab w:val="right" w:leader="dot" w:pos="10194"/>
            </w:tabs>
            <w:rPr>
              <w:rFonts w:asciiTheme="minorHAnsi" w:eastAsiaTheme="minorEastAsia" w:hAnsiTheme="minorHAnsi" w:cstheme="minorBidi"/>
              <w:noProof/>
              <w:sz w:val="22"/>
              <w:lang w:eastAsia="en-GB"/>
            </w:rPr>
          </w:pPr>
          <w:hyperlink w:anchor="_Toc104977824" w:history="1">
            <w:r w:rsidR="001B2FA0" w:rsidRPr="008A6636">
              <w:rPr>
                <w:rStyle w:val="Hyperlink"/>
                <w:rFonts w:ascii="Humnst777 Lt BT" w:hAnsi="Humnst777 Lt BT"/>
                <w:noProof/>
              </w:rPr>
              <w:t>Legal sector Call for Evidence responses</w:t>
            </w:r>
            <w:r w:rsidR="001B2FA0">
              <w:rPr>
                <w:noProof/>
                <w:webHidden/>
              </w:rPr>
              <w:tab/>
            </w:r>
            <w:r w:rsidR="001B2FA0">
              <w:rPr>
                <w:noProof/>
                <w:webHidden/>
              </w:rPr>
              <w:fldChar w:fldCharType="begin"/>
            </w:r>
            <w:r w:rsidR="001B2FA0">
              <w:rPr>
                <w:noProof/>
                <w:webHidden/>
              </w:rPr>
              <w:instrText xml:space="preserve"> PAGEREF _Toc104977824 \h </w:instrText>
            </w:r>
            <w:r w:rsidR="001B2FA0">
              <w:rPr>
                <w:noProof/>
                <w:webHidden/>
              </w:rPr>
            </w:r>
            <w:r w:rsidR="001B2FA0">
              <w:rPr>
                <w:noProof/>
                <w:webHidden/>
              </w:rPr>
              <w:fldChar w:fldCharType="separate"/>
            </w:r>
            <w:r w:rsidR="00404CB8">
              <w:rPr>
                <w:noProof/>
                <w:webHidden/>
              </w:rPr>
              <w:t>20</w:t>
            </w:r>
            <w:r w:rsidR="001B2FA0">
              <w:rPr>
                <w:noProof/>
                <w:webHidden/>
              </w:rPr>
              <w:fldChar w:fldCharType="end"/>
            </w:r>
          </w:hyperlink>
        </w:p>
        <w:p w14:paraId="692F9889" w14:textId="779DE09D" w:rsidR="001B2FA0" w:rsidRDefault="00DB35E7">
          <w:pPr>
            <w:pStyle w:val="TOC3"/>
            <w:tabs>
              <w:tab w:val="right" w:leader="dot" w:pos="10194"/>
            </w:tabs>
            <w:rPr>
              <w:rFonts w:asciiTheme="minorHAnsi" w:eastAsiaTheme="minorEastAsia" w:hAnsiTheme="minorHAnsi" w:cstheme="minorBidi"/>
              <w:noProof/>
              <w:sz w:val="22"/>
              <w:lang w:eastAsia="en-GB"/>
            </w:rPr>
          </w:pPr>
          <w:hyperlink w:anchor="_Toc104977825" w:history="1">
            <w:r w:rsidR="001B2FA0" w:rsidRPr="008A6636">
              <w:rPr>
                <w:rStyle w:val="Hyperlink"/>
                <w:rFonts w:ascii="Humnst777 Lt BT" w:hAnsi="Humnst777 Lt BT"/>
                <w:noProof/>
              </w:rPr>
              <w:t>FCA response to the Call for Evidence</w:t>
            </w:r>
            <w:r w:rsidR="001B2FA0">
              <w:rPr>
                <w:noProof/>
                <w:webHidden/>
              </w:rPr>
              <w:tab/>
            </w:r>
            <w:r w:rsidR="001B2FA0">
              <w:rPr>
                <w:noProof/>
                <w:webHidden/>
              </w:rPr>
              <w:fldChar w:fldCharType="begin"/>
            </w:r>
            <w:r w:rsidR="001B2FA0">
              <w:rPr>
                <w:noProof/>
                <w:webHidden/>
              </w:rPr>
              <w:instrText xml:space="preserve"> PAGEREF _Toc104977825 \h </w:instrText>
            </w:r>
            <w:r w:rsidR="001B2FA0">
              <w:rPr>
                <w:noProof/>
                <w:webHidden/>
              </w:rPr>
            </w:r>
            <w:r w:rsidR="001B2FA0">
              <w:rPr>
                <w:noProof/>
                <w:webHidden/>
              </w:rPr>
              <w:fldChar w:fldCharType="separate"/>
            </w:r>
            <w:r w:rsidR="00404CB8">
              <w:rPr>
                <w:noProof/>
                <w:webHidden/>
              </w:rPr>
              <w:t>20</w:t>
            </w:r>
            <w:r w:rsidR="001B2FA0">
              <w:rPr>
                <w:noProof/>
                <w:webHidden/>
              </w:rPr>
              <w:fldChar w:fldCharType="end"/>
            </w:r>
          </w:hyperlink>
        </w:p>
        <w:p w14:paraId="61FBB82D" w14:textId="1A1C15CA"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826" w:history="1">
            <w:r w:rsidR="001B2FA0" w:rsidRPr="008A6636">
              <w:rPr>
                <w:rStyle w:val="Hyperlink"/>
                <w:rFonts w:ascii="Humnst777 Lt BT" w:hAnsi="Humnst777 Lt BT"/>
                <w:noProof/>
              </w:rPr>
              <w:t>How appropriate regulation objectives remain</w:t>
            </w:r>
            <w:r w:rsidR="001B2FA0">
              <w:rPr>
                <w:noProof/>
                <w:webHidden/>
              </w:rPr>
              <w:tab/>
            </w:r>
            <w:r w:rsidR="001B2FA0">
              <w:rPr>
                <w:noProof/>
                <w:webHidden/>
              </w:rPr>
              <w:fldChar w:fldCharType="begin"/>
            </w:r>
            <w:r w:rsidR="001B2FA0">
              <w:rPr>
                <w:noProof/>
                <w:webHidden/>
              </w:rPr>
              <w:instrText xml:space="preserve"> PAGEREF _Toc104977826 \h </w:instrText>
            </w:r>
            <w:r w:rsidR="001B2FA0">
              <w:rPr>
                <w:noProof/>
                <w:webHidden/>
              </w:rPr>
            </w:r>
            <w:r w:rsidR="001B2FA0">
              <w:rPr>
                <w:noProof/>
                <w:webHidden/>
              </w:rPr>
              <w:fldChar w:fldCharType="separate"/>
            </w:r>
            <w:r w:rsidR="00404CB8">
              <w:rPr>
                <w:noProof/>
                <w:webHidden/>
              </w:rPr>
              <w:t>20</w:t>
            </w:r>
            <w:r w:rsidR="001B2FA0">
              <w:rPr>
                <w:noProof/>
                <w:webHidden/>
              </w:rPr>
              <w:fldChar w:fldCharType="end"/>
            </w:r>
          </w:hyperlink>
        </w:p>
        <w:p w14:paraId="10D59295" w14:textId="76E5980C" w:rsidR="001B2FA0" w:rsidRDefault="00DB35E7">
          <w:pPr>
            <w:pStyle w:val="TOC1"/>
            <w:tabs>
              <w:tab w:val="right" w:leader="dot" w:pos="10194"/>
            </w:tabs>
            <w:rPr>
              <w:rFonts w:asciiTheme="minorHAnsi" w:eastAsiaTheme="minorEastAsia" w:hAnsiTheme="minorHAnsi" w:cstheme="minorBidi"/>
              <w:b w:val="0"/>
              <w:noProof/>
              <w:sz w:val="22"/>
              <w:lang w:eastAsia="en-GB"/>
            </w:rPr>
          </w:pPr>
          <w:hyperlink w:anchor="_Toc104977827" w:history="1">
            <w:r w:rsidR="001B2FA0" w:rsidRPr="008A6636">
              <w:rPr>
                <w:rStyle w:val="Hyperlink"/>
                <w:rFonts w:ascii="Humnst777 Lt BT" w:hAnsi="Humnst777 Lt BT"/>
                <w:noProof/>
              </w:rPr>
              <w:t>Conclusion</w:t>
            </w:r>
            <w:r w:rsidR="001B2FA0">
              <w:rPr>
                <w:noProof/>
                <w:webHidden/>
              </w:rPr>
              <w:tab/>
            </w:r>
            <w:r w:rsidR="001B2FA0">
              <w:rPr>
                <w:noProof/>
                <w:webHidden/>
              </w:rPr>
              <w:fldChar w:fldCharType="begin"/>
            </w:r>
            <w:r w:rsidR="001B2FA0">
              <w:rPr>
                <w:noProof/>
                <w:webHidden/>
              </w:rPr>
              <w:instrText xml:space="preserve"> PAGEREF _Toc104977827 \h </w:instrText>
            </w:r>
            <w:r w:rsidR="001B2FA0">
              <w:rPr>
                <w:noProof/>
                <w:webHidden/>
              </w:rPr>
            </w:r>
            <w:r w:rsidR="001B2FA0">
              <w:rPr>
                <w:noProof/>
                <w:webHidden/>
              </w:rPr>
              <w:fldChar w:fldCharType="separate"/>
            </w:r>
            <w:r w:rsidR="00404CB8">
              <w:rPr>
                <w:noProof/>
                <w:webHidden/>
              </w:rPr>
              <w:t>22</w:t>
            </w:r>
            <w:r w:rsidR="001B2FA0">
              <w:rPr>
                <w:noProof/>
                <w:webHidden/>
              </w:rPr>
              <w:fldChar w:fldCharType="end"/>
            </w:r>
          </w:hyperlink>
        </w:p>
        <w:p w14:paraId="6C6517BF" w14:textId="5333A410" w:rsidR="001B2FA0" w:rsidRDefault="00DB35E7">
          <w:pPr>
            <w:pStyle w:val="TOC2"/>
            <w:tabs>
              <w:tab w:val="right" w:leader="dot" w:pos="10194"/>
            </w:tabs>
            <w:rPr>
              <w:rFonts w:asciiTheme="minorHAnsi" w:eastAsiaTheme="minorEastAsia" w:hAnsiTheme="minorHAnsi" w:cstheme="minorBidi"/>
              <w:noProof/>
              <w:sz w:val="22"/>
              <w:lang w:eastAsia="en-GB"/>
            </w:rPr>
          </w:pPr>
          <w:hyperlink w:anchor="_Toc104977828" w:history="1">
            <w:r w:rsidR="001B2FA0" w:rsidRPr="008A6636">
              <w:rPr>
                <w:rStyle w:val="Hyperlink"/>
                <w:rFonts w:ascii="Humnst777 Lt BT" w:eastAsia="Calibri" w:hAnsi="Humnst777 Lt BT"/>
                <w:noProof/>
              </w:rPr>
              <w:t>Next steps</w:t>
            </w:r>
            <w:r w:rsidR="001B2FA0">
              <w:rPr>
                <w:noProof/>
                <w:webHidden/>
              </w:rPr>
              <w:tab/>
            </w:r>
            <w:r w:rsidR="001B2FA0">
              <w:rPr>
                <w:noProof/>
                <w:webHidden/>
              </w:rPr>
              <w:fldChar w:fldCharType="begin"/>
            </w:r>
            <w:r w:rsidR="001B2FA0">
              <w:rPr>
                <w:noProof/>
                <w:webHidden/>
              </w:rPr>
              <w:instrText xml:space="preserve"> PAGEREF _Toc104977828 \h </w:instrText>
            </w:r>
            <w:r w:rsidR="001B2FA0">
              <w:rPr>
                <w:noProof/>
                <w:webHidden/>
              </w:rPr>
            </w:r>
            <w:r w:rsidR="001B2FA0">
              <w:rPr>
                <w:noProof/>
                <w:webHidden/>
              </w:rPr>
              <w:fldChar w:fldCharType="separate"/>
            </w:r>
            <w:r w:rsidR="00404CB8">
              <w:rPr>
                <w:noProof/>
                <w:webHidden/>
              </w:rPr>
              <w:t>23</w:t>
            </w:r>
            <w:r w:rsidR="001B2FA0">
              <w:rPr>
                <w:noProof/>
                <w:webHidden/>
              </w:rPr>
              <w:fldChar w:fldCharType="end"/>
            </w:r>
          </w:hyperlink>
        </w:p>
        <w:p w14:paraId="7D4CEE5F" w14:textId="377B03A7" w:rsidR="001B2FA0" w:rsidRDefault="00DB35E7">
          <w:pPr>
            <w:pStyle w:val="TOC1"/>
            <w:tabs>
              <w:tab w:val="right" w:leader="dot" w:pos="10194"/>
            </w:tabs>
            <w:rPr>
              <w:rFonts w:asciiTheme="minorHAnsi" w:eastAsiaTheme="minorEastAsia" w:hAnsiTheme="minorHAnsi" w:cstheme="minorBidi"/>
              <w:b w:val="0"/>
              <w:noProof/>
              <w:sz w:val="22"/>
              <w:lang w:eastAsia="en-GB"/>
            </w:rPr>
          </w:pPr>
          <w:hyperlink w:anchor="_Toc104977829" w:history="1">
            <w:r w:rsidR="001B2FA0" w:rsidRPr="008A6636">
              <w:rPr>
                <w:rStyle w:val="Hyperlink"/>
                <w:rFonts w:ascii="Humnst777 Lt BT" w:hAnsi="Humnst777 Lt BT"/>
                <w:noProof/>
              </w:rPr>
              <w:t>Annex A – professional body supervisors</w:t>
            </w:r>
            <w:r w:rsidR="001B2FA0">
              <w:rPr>
                <w:noProof/>
                <w:webHidden/>
              </w:rPr>
              <w:tab/>
            </w:r>
            <w:r w:rsidR="001B2FA0">
              <w:rPr>
                <w:noProof/>
                <w:webHidden/>
              </w:rPr>
              <w:fldChar w:fldCharType="begin"/>
            </w:r>
            <w:r w:rsidR="001B2FA0">
              <w:rPr>
                <w:noProof/>
                <w:webHidden/>
              </w:rPr>
              <w:instrText xml:space="preserve"> PAGEREF _Toc104977829 \h </w:instrText>
            </w:r>
            <w:r w:rsidR="001B2FA0">
              <w:rPr>
                <w:noProof/>
                <w:webHidden/>
              </w:rPr>
            </w:r>
            <w:r w:rsidR="001B2FA0">
              <w:rPr>
                <w:noProof/>
                <w:webHidden/>
              </w:rPr>
              <w:fldChar w:fldCharType="separate"/>
            </w:r>
            <w:r w:rsidR="00404CB8">
              <w:rPr>
                <w:noProof/>
                <w:webHidden/>
              </w:rPr>
              <w:t>25</w:t>
            </w:r>
            <w:r w:rsidR="001B2FA0">
              <w:rPr>
                <w:noProof/>
                <w:webHidden/>
              </w:rPr>
              <w:fldChar w:fldCharType="end"/>
            </w:r>
          </w:hyperlink>
        </w:p>
        <w:p w14:paraId="0B61B99C" w14:textId="7BA32B7A" w:rsidR="001B2FA0" w:rsidRDefault="00DB35E7">
          <w:pPr>
            <w:pStyle w:val="TOC1"/>
            <w:tabs>
              <w:tab w:val="right" w:leader="dot" w:pos="10194"/>
            </w:tabs>
            <w:rPr>
              <w:rFonts w:asciiTheme="minorHAnsi" w:eastAsiaTheme="minorEastAsia" w:hAnsiTheme="minorHAnsi" w:cstheme="minorBidi"/>
              <w:b w:val="0"/>
              <w:noProof/>
              <w:sz w:val="22"/>
              <w:lang w:eastAsia="en-GB"/>
            </w:rPr>
          </w:pPr>
          <w:hyperlink w:anchor="_Toc104977830" w:history="1">
            <w:r w:rsidR="001B2FA0" w:rsidRPr="008A6636">
              <w:rPr>
                <w:rStyle w:val="Hyperlink"/>
                <w:rFonts w:ascii="Humnst777 Lt BT" w:hAnsi="Humnst777 Lt BT"/>
                <w:noProof/>
              </w:rPr>
              <w:t>Annex B</w:t>
            </w:r>
            <w:r w:rsidR="001B2FA0">
              <w:rPr>
                <w:rStyle w:val="Hyperlink"/>
                <w:rFonts w:ascii="Humnst777 Lt BT" w:hAnsi="Humnst777 Lt BT"/>
                <w:noProof/>
              </w:rPr>
              <w:t xml:space="preserve"> – FCA findings</w:t>
            </w:r>
            <w:r w:rsidR="001B2FA0">
              <w:rPr>
                <w:noProof/>
                <w:webHidden/>
              </w:rPr>
              <w:tab/>
              <w:t>=</w:t>
            </w:r>
            <w:r w:rsidR="001B2FA0">
              <w:rPr>
                <w:noProof/>
                <w:webHidden/>
              </w:rPr>
              <w:fldChar w:fldCharType="begin"/>
            </w:r>
            <w:r w:rsidR="001B2FA0">
              <w:rPr>
                <w:noProof/>
                <w:webHidden/>
              </w:rPr>
              <w:instrText xml:space="preserve"> PAGEREF _Toc104977830 \h </w:instrText>
            </w:r>
            <w:r w:rsidR="001B2FA0">
              <w:rPr>
                <w:noProof/>
                <w:webHidden/>
              </w:rPr>
            </w:r>
            <w:r w:rsidR="001B2FA0">
              <w:rPr>
                <w:noProof/>
                <w:webHidden/>
              </w:rPr>
              <w:fldChar w:fldCharType="separate"/>
            </w:r>
            <w:r w:rsidR="00404CB8">
              <w:rPr>
                <w:noProof/>
                <w:webHidden/>
              </w:rPr>
              <w:t>26</w:t>
            </w:r>
            <w:r w:rsidR="001B2FA0">
              <w:rPr>
                <w:noProof/>
                <w:webHidden/>
              </w:rPr>
              <w:fldChar w:fldCharType="end"/>
            </w:r>
          </w:hyperlink>
        </w:p>
        <w:p w14:paraId="2D2E18FD" w14:textId="40D307AF" w:rsidR="00CA673A" w:rsidRDefault="00CA673A">
          <w:r>
            <w:rPr>
              <w:b/>
              <w:bCs/>
              <w:noProof/>
            </w:rPr>
            <w:fldChar w:fldCharType="end"/>
          </w:r>
        </w:p>
      </w:sdtContent>
    </w:sdt>
    <w:p w14:paraId="1AE5F164" w14:textId="650BA3DE" w:rsidR="571D35B8" w:rsidRDefault="2FD5A323" w:rsidP="00C970A6">
      <w:pPr>
        <w:rPr>
          <w:rFonts w:ascii="Humnst777 Lt BT" w:eastAsia="Calibri" w:hAnsi="Humnst777 Lt BT"/>
          <w:szCs w:val="24"/>
        </w:rPr>
      </w:pPr>
      <w:r w:rsidRPr="051F59B5">
        <w:rPr>
          <w:rFonts w:ascii="Humnst777 Lt BT" w:eastAsia="Calibri" w:hAnsi="Humnst777 Lt BT"/>
          <w:szCs w:val="24"/>
        </w:rPr>
        <w:t xml:space="preserve"> </w:t>
      </w:r>
    </w:p>
    <w:p w14:paraId="6AA65FDD" w14:textId="77777777" w:rsidR="00DB5517" w:rsidRDefault="00DB5517" w:rsidP="00044463">
      <w:pPr>
        <w:spacing w:line="480" w:lineRule="auto"/>
        <w:rPr>
          <w:rFonts w:ascii="Humnst777 Lt BT" w:hAnsi="Humnst777 Lt BT"/>
          <w:b/>
          <w:bCs/>
          <w:szCs w:val="24"/>
          <w:u w:val="single"/>
        </w:rPr>
      </w:pPr>
      <w:r>
        <w:rPr>
          <w:rFonts w:ascii="Humnst777 Lt BT" w:hAnsi="Humnst777 Lt BT"/>
          <w:b/>
          <w:bCs/>
          <w:szCs w:val="24"/>
          <w:u w:val="single"/>
        </w:rPr>
        <w:br w:type="page"/>
      </w:r>
    </w:p>
    <w:p w14:paraId="66CE6B1C" w14:textId="1B406DCC" w:rsidR="00651334" w:rsidRPr="000944DC" w:rsidRDefault="007D1DD6" w:rsidP="000944DC">
      <w:pPr>
        <w:pStyle w:val="Heading1"/>
        <w:rPr>
          <w:rFonts w:ascii="Humnst777 Lt BT" w:hAnsi="Humnst777 Lt BT"/>
        </w:rPr>
      </w:pPr>
      <w:bookmarkStart w:id="3" w:name="_Toc1046986595"/>
      <w:bookmarkStart w:id="4" w:name="_Toc104977793"/>
      <w:r w:rsidRPr="000944DC">
        <w:rPr>
          <w:rFonts w:ascii="Humnst777 Lt BT" w:hAnsi="Humnst777 Lt BT"/>
        </w:rPr>
        <w:lastRenderedPageBreak/>
        <w:t>Introduction and background</w:t>
      </w:r>
      <w:bookmarkEnd w:id="3"/>
      <w:bookmarkEnd w:id="4"/>
    </w:p>
    <w:p w14:paraId="3E55835A" w14:textId="77777777" w:rsidR="00651334" w:rsidRDefault="00651334" w:rsidP="005C5AC5">
      <w:pPr>
        <w:spacing w:line="360" w:lineRule="auto"/>
        <w:jc w:val="both"/>
        <w:rPr>
          <w:rFonts w:ascii="Humnst777 Lt BT" w:hAnsi="Humnst777 Lt BT"/>
          <w:b/>
          <w:bCs/>
          <w:szCs w:val="24"/>
          <w:u w:val="single"/>
        </w:rPr>
      </w:pPr>
    </w:p>
    <w:p w14:paraId="75E66385" w14:textId="1CD617D9" w:rsidR="00044463" w:rsidRPr="000944DC" w:rsidRDefault="00044463" w:rsidP="000944DC">
      <w:pPr>
        <w:pStyle w:val="Heading2"/>
        <w:rPr>
          <w:rFonts w:ascii="Humnst777 Lt BT" w:hAnsi="Humnst777 Lt BT"/>
        </w:rPr>
      </w:pPr>
      <w:bookmarkStart w:id="5" w:name="_Toc104977794"/>
      <w:bookmarkStart w:id="6" w:name="_Toc678110797"/>
      <w:r w:rsidRPr="000944DC">
        <w:rPr>
          <w:rFonts w:ascii="Humnst777 Lt BT" w:hAnsi="Humnst777 Lt BT"/>
          <w:noProof/>
        </w:rPr>
        <w:t>Background</w:t>
      </w:r>
      <w:bookmarkEnd w:id="5"/>
      <w:r w:rsidRPr="7525DD66">
        <w:rPr>
          <w:rFonts w:ascii="Humnst777 Lt BT" w:hAnsi="Humnst777 Lt BT"/>
        </w:rPr>
        <w:t> </w:t>
      </w:r>
      <w:bookmarkEnd w:id="6"/>
    </w:p>
    <w:p w14:paraId="5C5D970E" w14:textId="77777777" w:rsidR="00044463" w:rsidRPr="00044463" w:rsidRDefault="00044463" w:rsidP="005C5AC5">
      <w:pPr>
        <w:spacing w:line="360" w:lineRule="auto"/>
        <w:jc w:val="both"/>
        <w:rPr>
          <w:rFonts w:ascii="Humnst777 Lt BT" w:hAnsi="Humnst777 Lt BT"/>
          <w:noProof/>
          <w:szCs w:val="24"/>
        </w:rPr>
      </w:pPr>
    </w:p>
    <w:p w14:paraId="1445778B" w14:textId="7719F150" w:rsidR="005B617D" w:rsidRPr="005B617D" w:rsidRDefault="005B617D" w:rsidP="000944DC">
      <w:pPr>
        <w:numPr>
          <w:ilvl w:val="0"/>
          <w:numId w:val="13"/>
        </w:numPr>
        <w:spacing w:line="360" w:lineRule="auto"/>
        <w:jc w:val="both"/>
        <w:rPr>
          <w:rFonts w:ascii="Humnst777 Lt BT" w:hAnsi="Humnst777 Lt BT"/>
          <w:noProof/>
          <w:szCs w:val="24"/>
        </w:rPr>
      </w:pPr>
      <w:r w:rsidRPr="005B617D">
        <w:rPr>
          <w:rFonts w:ascii="Humnst777 Lt BT" w:hAnsi="Humnst777 Lt BT"/>
          <w:noProof/>
          <w:szCs w:val="24"/>
        </w:rPr>
        <w:t xml:space="preserve">The UK’s first National Risk Assessment of </w:t>
      </w:r>
      <w:r w:rsidR="00047CA9" w:rsidRPr="005B617D">
        <w:rPr>
          <w:rFonts w:ascii="Humnst777 Lt BT" w:hAnsi="Humnst777 Lt BT"/>
          <w:noProof/>
          <w:szCs w:val="24"/>
        </w:rPr>
        <w:t xml:space="preserve">anti-money laundering and counter-terrorist financing (AML/CTF) </w:t>
      </w:r>
      <w:r w:rsidRPr="005B617D">
        <w:rPr>
          <w:rFonts w:ascii="Humnst777 Lt BT" w:hAnsi="Humnst777 Lt BT"/>
          <w:noProof/>
          <w:szCs w:val="24"/>
        </w:rPr>
        <w:t xml:space="preserve">in 2015 suggested that whilst UK supervisors were highly effective in some areas of </w:t>
      </w:r>
      <w:r w:rsidR="00047CA9" w:rsidRPr="005B617D">
        <w:rPr>
          <w:rFonts w:ascii="Humnst777 Lt BT" w:hAnsi="Humnst777 Lt BT"/>
          <w:noProof/>
          <w:szCs w:val="24"/>
        </w:rPr>
        <w:t xml:space="preserve">AML/CTF </w:t>
      </w:r>
      <w:r w:rsidRPr="005B617D">
        <w:rPr>
          <w:rFonts w:ascii="Humnst777 Lt BT" w:hAnsi="Humnst777 Lt BT"/>
          <w:noProof/>
          <w:szCs w:val="24"/>
        </w:rPr>
        <w:t>policy, there was room for improvement across the board in understanding and applying a risk-based approach and in providing a credible deterrent to money laundering.</w:t>
      </w:r>
    </w:p>
    <w:p w14:paraId="4807DE8C" w14:textId="360A997A" w:rsidR="005B617D" w:rsidRPr="005B617D" w:rsidRDefault="005B617D" w:rsidP="000944DC">
      <w:pPr>
        <w:numPr>
          <w:ilvl w:val="0"/>
          <w:numId w:val="13"/>
        </w:numPr>
        <w:spacing w:line="360" w:lineRule="auto"/>
        <w:jc w:val="both"/>
        <w:rPr>
          <w:rFonts w:ascii="Humnst777 Lt BT" w:hAnsi="Humnst777 Lt BT"/>
          <w:noProof/>
          <w:szCs w:val="24"/>
        </w:rPr>
      </w:pPr>
      <w:r w:rsidRPr="005B617D">
        <w:rPr>
          <w:rFonts w:ascii="Humnst777 Lt BT" w:hAnsi="Humnst777 Lt BT"/>
          <w:noProof/>
          <w:szCs w:val="24"/>
        </w:rPr>
        <w:t xml:space="preserve">The Oversight of Professional Body Anti Money Laundering Regulations (the “OPBAS Regulations”) were implemented in 2017. This followed the fourth Money Laundering Directive (4MLD) which required European Union Member States to ensure that supervisory authorities comply with their AML obligations. 4MLD was implemented in the UK via the Money Laundering, Terrorist Financing and Transfer of Funds (Information on the Payer) Regulations </w:t>
      </w:r>
      <w:r w:rsidR="00D2198C">
        <w:rPr>
          <w:rFonts w:ascii="Humnst777 Lt BT" w:hAnsi="Humnst777 Lt BT"/>
          <w:noProof/>
          <w:szCs w:val="24"/>
        </w:rPr>
        <w:t xml:space="preserve">on </w:t>
      </w:r>
      <w:r w:rsidRPr="005B617D">
        <w:rPr>
          <w:rFonts w:ascii="Humnst777 Lt BT" w:hAnsi="Humnst777 Lt BT"/>
          <w:noProof/>
          <w:szCs w:val="24"/>
        </w:rPr>
        <w:t xml:space="preserve">26 June 2017. </w:t>
      </w:r>
    </w:p>
    <w:p w14:paraId="70F16C89" w14:textId="280E7044" w:rsidR="005B617D" w:rsidRPr="005B617D" w:rsidRDefault="005B617D" w:rsidP="000944DC">
      <w:pPr>
        <w:numPr>
          <w:ilvl w:val="0"/>
          <w:numId w:val="13"/>
        </w:numPr>
        <w:spacing w:line="360" w:lineRule="auto"/>
        <w:jc w:val="both"/>
        <w:rPr>
          <w:rFonts w:ascii="Humnst777 Lt BT" w:hAnsi="Humnst777 Lt BT"/>
          <w:noProof/>
          <w:szCs w:val="24"/>
        </w:rPr>
      </w:pPr>
      <w:r w:rsidRPr="005B617D">
        <w:rPr>
          <w:rFonts w:ascii="Humnst777 Lt BT" w:hAnsi="Humnst777 Lt BT"/>
          <w:noProof/>
          <w:szCs w:val="24"/>
        </w:rPr>
        <w:t>The implementation of these Regulations led to the creation of the Office for Professional Body Anti-Money Laundering Supervision (OPBAS) in 2018. OPBAS oversee</w:t>
      </w:r>
      <w:r w:rsidR="00452AD3">
        <w:rPr>
          <w:rFonts w:ascii="Humnst777 Lt BT" w:hAnsi="Humnst777 Lt BT"/>
          <w:noProof/>
          <w:szCs w:val="24"/>
        </w:rPr>
        <w:t>s</w:t>
      </w:r>
      <w:r w:rsidRPr="005B617D">
        <w:rPr>
          <w:rFonts w:ascii="Humnst777 Lt BT" w:hAnsi="Humnst777 Lt BT"/>
          <w:noProof/>
          <w:szCs w:val="24"/>
        </w:rPr>
        <w:t xml:space="preserve"> 22 professional body supervisors (PBSs) in the accountancy and legal sectors, supervising just over 36,200 entities </w:t>
      </w:r>
      <w:r w:rsidR="00452AD3">
        <w:rPr>
          <w:rFonts w:ascii="Humnst777 Lt BT" w:hAnsi="Humnst777 Lt BT"/>
          <w:noProof/>
          <w:szCs w:val="24"/>
        </w:rPr>
        <w:t xml:space="preserve">for </w:t>
      </w:r>
      <w:r w:rsidRPr="005B617D">
        <w:rPr>
          <w:rFonts w:ascii="Humnst777 Lt BT" w:hAnsi="Humnst777 Lt BT"/>
          <w:noProof/>
          <w:szCs w:val="24"/>
        </w:rPr>
        <w:t xml:space="preserve">AML </w:t>
      </w:r>
      <w:r w:rsidR="00452AD3">
        <w:rPr>
          <w:rFonts w:ascii="Humnst777 Lt BT" w:hAnsi="Humnst777 Lt BT"/>
          <w:noProof/>
          <w:szCs w:val="24"/>
        </w:rPr>
        <w:t>purposes</w:t>
      </w:r>
      <w:r w:rsidRPr="005B617D">
        <w:rPr>
          <w:rFonts w:ascii="Humnst777 Lt BT" w:hAnsi="Humnst777 Lt BT"/>
          <w:noProof/>
          <w:szCs w:val="24"/>
        </w:rPr>
        <w:t>.</w:t>
      </w:r>
    </w:p>
    <w:p w14:paraId="2284C959" w14:textId="4CF5A02B" w:rsidR="00044463" w:rsidRPr="00044463" w:rsidRDefault="00044463" w:rsidP="000944DC">
      <w:pPr>
        <w:numPr>
          <w:ilvl w:val="0"/>
          <w:numId w:val="13"/>
        </w:numPr>
        <w:spacing w:line="360" w:lineRule="auto"/>
        <w:jc w:val="both"/>
        <w:rPr>
          <w:rFonts w:ascii="Humnst777 Lt BT" w:hAnsi="Humnst777 Lt BT"/>
          <w:noProof/>
          <w:szCs w:val="24"/>
        </w:rPr>
      </w:pPr>
      <w:r w:rsidRPr="00044463">
        <w:rPr>
          <w:rFonts w:ascii="Humnst777 Lt BT" w:hAnsi="Humnst777 Lt BT"/>
          <w:noProof/>
          <w:szCs w:val="24"/>
        </w:rPr>
        <w:t xml:space="preserve">The Economic Crime Plan 2019-22, published in 2019, set out the </w:t>
      </w:r>
      <w:r w:rsidR="00452AD3">
        <w:rPr>
          <w:rFonts w:ascii="Humnst777 Lt BT" w:hAnsi="Humnst777 Lt BT"/>
          <w:noProof/>
          <w:szCs w:val="24"/>
        </w:rPr>
        <w:t>UK’s</w:t>
      </w:r>
      <w:r w:rsidRPr="00044463">
        <w:rPr>
          <w:rFonts w:ascii="Humnst777 Lt BT" w:hAnsi="Humnst777 Lt BT"/>
          <w:noProof/>
          <w:szCs w:val="24"/>
        </w:rPr>
        <w:t xml:space="preserve"> collective public-private response to economic crime. It set out seven priority areas which reflected the most significant barriers to combatting economic crime and offered the greatest scope for collaborative work between the public and private sectors. </w:t>
      </w:r>
    </w:p>
    <w:p w14:paraId="5B2D21B0" w14:textId="0D1A4BD3" w:rsidR="00044463" w:rsidRPr="00044463" w:rsidRDefault="00044463" w:rsidP="00A16782">
      <w:pPr>
        <w:numPr>
          <w:ilvl w:val="0"/>
          <w:numId w:val="14"/>
        </w:numPr>
        <w:spacing w:line="360" w:lineRule="auto"/>
        <w:jc w:val="both"/>
        <w:rPr>
          <w:rFonts w:ascii="Humnst777 Lt BT" w:hAnsi="Humnst777 Lt BT"/>
          <w:noProof/>
          <w:szCs w:val="24"/>
        </w:rPr>
      </w:pPr>
      <w:r w:rsidRPr="00044463">
        <w:rPr>
          <w:rFonts w:ascii="Humnst777 Lt BT" w:hAnsi="Humnst777 Lt BT"/>
          <w:noProof/>
          <w:szCs w:val="24"/>
        </w:rPr>
        <w:t>Action 33 of the Economic Crime Plan committed HM Treasury to a comprehensive review of both the Money Laundering, Terrorist Financing and Transfer of Funds (Information on the Payer) Regulations 2017 (‘the MLRs’) and the Oversight of Professional Body Anti-Money Laundering and Counter Terrorist Financing Supervision Regulations 2017 (‘the OPBAS regulations’). </w:t>
      </w:r>
    </w:p>
    <w:p w14:paraId="6D724C47" w14:textId="39B12A40" w:rsidR="00044463" w:rsidRPr="00044463" w:rsidRDefault="00044463" w:rsidP="00A16782">
      <w:pPr>
        <w:numPr>
          <w:ilvl w:val="0"/>
          <w:numId w:val="15"/>
        </w:numPr>
        <w:spacing w:line="360" w:lineRule="auto"/>
        <w:jc w:val="both"/>
        <w:rPr>
          <w:rFonts w:ascii="Humnst777 Lt BT" w:hAnsi="Humnst777 Lt BT"/>
          <w:noProof/>
          <w:szCs w:val="24"/>
        </w:rPr>
      </w:pPr>
      <w:r w:rsidRPr="00044463">
        <w:rPr>
          <w:rFonts w:ascii="Humnst777 Lt BT" w:hAnsi="Humnst777 Lt BT"/>
          <w:noProof/>
          <w:szCs w:val="24"/>
        </w:rPr>
        <w:t xml:space="preserve">This commitment aligns with an extant legal duty in both these sets of regulations to conduct a post-implementation review </w:t>
      </w:r>
      <w:r w:rsidR="002E19F5">
        <w:rPr>
          <w:rFonts w:ascii="Humnst777 Lt BT" w:hAnsi="Humnst777 Lt BT"/>
          <w:noProof/>
          <w:szCs w:val="24"/>
        </w:rPr>
        <w:t>of</w:t>
      </w:r>
      <w:r w:rsidRPr="00044463">
        <w:rPr>
          <w:rFonts w:ascii="Humnst777 Lt BT" w:hAnsi="Humnst777 Lt BT"/>
          <w:noProof/>
          <w:szCs w:val="24"/>
        </w:rPr>
        <w:t xml:space="preserve"> their regulatory provision, which must set out the objectives intended to be achieved, assess the extent to which the objectives are achieved, whether the </w:t>
      </w:r>
      <w:r w:rsidRPr="00044463">
        <w:rPr>
          <w:rFonts w:ascii="Humnst777 Lt BT" w:hAnsi="Humnst777 Lt BT"/>
          <w:noProof/>
          <w:szCs w:val="24"/>
        </w:rPr>
        <w:lastRenderedPageBreak/>
        <w:t>objectives remain appropriate, and the extent to which they could be achieved in another way which involves less onerous regulatory provision.  </w:t>
      </w:r>
    </w:p>
    <w:p w14:paraId="54E53CD9" w14:textId="77777777" w:rsidR="00044463" w:rsidRPr="00044463" w:rsidRDefault="00044463" w:rsidP="00A16782">
      <w:pPr>
        <w:numPr>
          <w:ilvl w:val="0"/>
          <w:numId w:val="16"/>
        </w:numPr>
        <w:spacing w:line="360" w:lineRule="auto"/>
        <w:jc w:val="both"/>
        <w:rPr>
          <w:rFonts w:ascii="Humnst777 Lt BT" w:hAnsi="Humnst777 Lt BT"/>
          <w:noProof/>
          <w:szCs w:val="24"/>
        </w:rPr>
      </w:pPr>
      <w:r w:rsidRPr="00044463">
        <w:rPr>
          <w:rFonts w:ascii="Humnst777 Lt BT" w:hAnsi="Humnst777 Lt BT"/>
          <w:noProof/>
          <w:szCs w:val="24"/>
        </w:rPr>
        <w:t>The Economic Crime Plan commits the review to considering the effectiveness and scope of the regulations, the proportionality of the duties and powers they contain, the effectiveness of enforcement actions taken under the MLRs, and the interaction of the MLRs with other pieces of legislation. There is considerable complementarity with the work within the private sector on how to improve the effectiveness of AML/CTF regimes, including the Wolfsberg Group’s paper on demonstrating effectiveness, and this review will look to work in partnership with initiatives in the private sector to improve the effectiveness of their AML/CTF systems. </w:t>
      </w:r>
    </w:p>
    <w:p w14:paraId="795C30D0" w14:textId="3EC78894" w:rsidR="00044463" w:rsidRPr="00044463" w:rsidRDefault="00044463" w:rsidP="007377B9">
      <w:pPr>
        <w:numPr>
          <w:ilvl w:val="0"/>
          <w:numId w:val="17"/>
        </w:numPr>
        <w:spacing w:line="360" w:lineRule="auto"/>
        <w:jc w:val="both"/>
        <w:rPr>
          <w:rFonts w:ascii="Humnst777 Lt BT" w:hAnsi="Humnst777 Lt BT"/>
        </w:rPr>
      </w:pPr>
      <w:r w:rsidRPr="0058B8E4">
        <w:rPr>
          <w:rFonts w:ascii="Humnst777 Lt BT" w:hAnsi="Humnst777 Lt BT"/>
        </w:rPr>
        <w:t>Following the UK’s departure from the European Union, the UK has greater autonomy in setting AML/</w:t>
      </w:r>
      <w:r w:rsidRPr="0058B8E4">
        <w:rPr>
          <w:rFonts w:ascii="Humnst777 Lt BT" w:hAnsi="Humnst777 Lt BT"/>
          <w:noProof/>
        </w:rPr>
        <w:t>CTF</w:t>
      </w:r>
      <w:r w:rsidRPr="0058B8E4">
        <w:rPr>
          <w:rFonts w:ascii="Humnst777 Lt BT" w:hAnsi="Humnst777 Lt BT"/>
        </w:rPr>
        <w:t xml:space="preserve"> regulations. This review offers the opportunity to ensure the AML regime responds to the UK’s particular circumstances and risks, is as effective as possible in preventing and detecting illicit </w:t>
      </w:r>
      <w:r w:rsidR="0047409B" w:rsidRPr="0058B8E4">
        <w:rPr>
          <w:rFonts w:ascii="Humnst777 Lt BT" w:hAnsi="Humnst777 Lt BT"/>
        </w:rPr>
        <w:t>finance and</w:t>
      </w:r>
      <w:r w:rsidRPr="0058B8E4">
        <w:rPr>
          <w:rFonts w:ascii="Humnst777 Lt BT" w:hAnsi="Humnst777 Lt BT"/>
        </w:rPr>
        <w:t xml:space="preserve"> supports UK competitiveness by ensuring the UK is a clean and safe place to do business. </w:t>
      </w:r>
    </w:p>
    <w:p w14:paraId="60C98F8D" w14:textId="5008BA20" w:rsidR="00044463" w:rsidRPr="00044463" w:rsidRDefault="00044463" w:rsidP="00FE0147">
      <w:pPr>
        <w:numPr>
          <w:ilvl w:val="0"/>
          <w:numId w:val="18"/>
        </w:numPr>
        <w:spacing w:line="360" w:lineRule="auto"/>
        <w:jc w:val="both"/>
        <w:rPr>
          <w:rFonts w:ascii="Humnst777 Lt BT" w:hAnsi="Humnst777 Lt BT"/>
        </w:rPr>
      </w:pPr>
      <w:r w:rsidRPr="0058B8E4">
        <w:rPr>
          <w:rFonts w:ascii="Humnst777 Lt BT" w:hAnsi="Humnst777 Lt BT"/>
        </w:rPr>
        <w:t>This document sets out the approach and methodology taken during the post-implementation review, the range of evidence and data sources drawn on, and the findings and initial conclusions. A broader report, the Review of the UK’s AML/</w:t>
      </w:r>
      <w:r w:rsidRPr="0058B8E4">
        <w:rPr>
          <w:rFonts w:ascii="Humnst777 Lt BT" w:hAnsi="Humnst777 Lt BT"/>
          <w:noProof/>
        </w:rPr>
        <w:t>CTF</w:t>
      </w:r>
      <w:r w:rsidRPr="0058B8E4">
        <w:rPr>
          <w:rFonts w:ascii="Humnst777 Lt BT" w:hAnsi="Humnst777 Lt BT"/>
        </w:rPr>
        <w:t xml:space="preserve"> regulatory and supervisory regime, builds upon these findings and sets out options for future reform. This full report will be published alongside the PIR. </w:t>
      </w:r>
    </w:p>
    <w:p w14:paraId="48969F69" w14:textId="185F9785" w:rsidR="003C0D1C" w:rsidRPr="00E13E27" w:rsidRDefault="003C0D1C" w:rsidP="00E13E27">
      <w:pPr>
        <w:pStyle w:val="Heading3"/>
        <w:rPr>
          <w:rFonts w:ascii="Humnst777 Lt BT" w:hAnsi="Humnst777 Lt BT"/>
          <w:noProof/>
        </w:rPr>
      </w:pPr>
      <w:bookmarkStart w:id="7" w:name="_Toc104977795"/>
      <w:bookmarkStart w:id="8" w:name="_Toc246148982"/>
      <w:r w:rsidRPr="00E13E27">
        <w:rPr>
          <w:rFonts w:ascii="Humnst777 Lt BT" w:hAnsi="Humnst777 Lt BT"/>
          <w:noProof/>
        </w:rPr>
        <w:t>The Money Laundering, Terrorist Financing and Transfer of Funds (Information on the Payer) Regulations 2017</w:t>
      </w:r>
      <w:bookmarkEnd w:id="7"/>
      <w:r w:rsidRPr="00E13E27">
        <w:rPr>
          <w:rFonts w:ascii="Humnst777 Lt BT" w:hAnsi="Humnst777 Lt BT"/>
          <w:noProof/>
        </w:rPr>
        <w:t> </w:t>
      </w:r>
      <w:bookmarkEnd w:id="8"/>
    </w:p>
    <w:p w14:paraId="556E48A6" w14:textId="77777777" w:rsidR="003C0D1C" w:rsidRPr="003C0D1C" w:rsidRDefault="003C0D1C">
      <w:pPr>
        <w:numPr>
          <w:ilvl w:val="0"/>
          <w:numId w:val="19"/>
        </w:numPr>
        <w:spacing w:line="360" w:lineRule="auto"/>
        <w:jc w:val="both"/>
        <w:rPr>
          <w:rFonts w:ascii="Humnst777 Lt BT" w:hAnsi="Humnst777 Lt BT"/>
          <w:noProof/>
          <w:szCs w:val="24"/>
        </w:rPr>
      </w:pPr>
      <w:r w:rsidRPr="003C0D1C">
        <w:rPr>
          <w:rFonts w:ascii="Humnst777 Lt BT" w:hAnsi="Humnst777 Lt BT"/>
          <w:noProof/>
          <w:szCs w:val="24"/>
        </w:rPr>
        <w:t>The UK has had regulations intended to prevent money laundering in place for nearly thirty years. Over time, these have evolved in line with international standards set by the FATF, an intergovernmental body which promotes effective implementation of measures for combatting money laundering and terrorist financing along with other threats to the integrity of the international financial system, and multiple EU Money Laundering Directives. The most substantial recent revision was in June 2017, transposing the European Fourth Money Laundering Directive and the Funds Transfer Regulation, which were themselves heavily informed by a substantial rewrite of FATF international standards in 2012. Since 2017, the MLRs have been amended, most significantly through the transposition of the Fifth Money Laundering Directive in January 2020. </w:t>
      </w:r>
    </w:p>
    <w:p w14:paraId="02E5E96A" w14:textId="77777777" w:rsidR="003C0D1C" w:rsidRPr="003C0D1C" w:rsidRDefault="003C0D1C">
      <w:pPr>
        <w:numPr>
          <w:ilvl w:val="0"/>
          <w:numId w:val="20"/>
        </w:numPr>
        <w:spacing w:line="360" w:lineRule="auto"/>
        <w:jc w:val="both"/>
        <w:rPr>
          <w:rFonts w:ascii="Humnst777 Lt BT" w:hAnsi="Humnst777 Lt BT"/>
          <w:noProof/>
          <w:szCs w:val="24"/>
        </w:rPr>
      </w:pPr>
      <w:r w:rsidRPr="003C0D1C">
        <w:rPr>
          <w:rFonts w:ascii="Humnst777 Lt BT" w:hAnsi="Humnst777 Lt BT"/>
          <w:noProof/>
          <w:szCs w:val="24"/>
        </w:rPr>
        <w:t xml:space="preserve">Through these revisions, the MLRs have expanded in scope, bringing in new sectors outside of the original financial industry focus, and extending the requirements falling on those in scope to ensure an understanding of the beneficial ownership structure of those involved in transactions. The MLRs are designed to detect and prevent money laundering and terrorist </w:t>
      </w:r>
      <w:r w:rsidRPr="003C0D1C">
        <w:rPr>
          <w:rFonts w:ascii="Humnst777 Lt BT" w:hAnsi="Humnst777 Lt BT"/>
          <w:noProof/>
          <w:szCs w:val="24"/>
        </w:rPr>
        <w:lastRenderedPageBreak/>
        <w:t>financing before it occurs, both directly through the UK’s financial institutions and through enablers who may be involved in transactions such as lawyers, accountants and estate agents. They seek to do this while minimising the burden on legitimate customers and businesses. </w:t>
      </w:r>
    </w:p>
    <w:p w14:paraId="49384A92" w14:textId="750CB2C8" w:rsidR="003C0D1C" w:rsidRPr="003C0D1C" w:rsidRDefault="003C0D1C">
      <w:pPr>
        <w:numPr>
          <w:ilvl w:val="0"/>
          <w:numId w:val="21"/>
        </w:numPr>
        <w:spacing w:line="360" w:lineRule="auto"/>
        <w:jc w:val="both"/>
        <w:rPr>
          <w:rFonts w:ascii="Humnst777 Lt BT" w:hAnsi="Humnst777 Lt BT"/>
          <w:noProof/>
          <w:szCs w:val="24"/>
        </w:rPr>
      </w:pPr>
      <w:r w:rsidRPr="003C0D1C">
        <w:rPr>
          <w:rFonts w:ascii="Humnst777 Lt BT" w:hAnsi="Humnst777 Lt BT"/>
          <w:noProof/>
          <w:szCs w:val="24"/>
        </w:rPr>
        <w:t>The scope of this legislation, and the international standards that inform it, covers both money laundering, and terrorist financing. As drawn out in detail in recent National Risk Assessments, money laundering includes how criminals change money and other assets into clean money or assets that have no obvious link to their criminal origins. Money laundering can undermine the integrity and stability of our financial markets and institutions. It is a global problem and represents a significant threat to the UK’s national security. Money laundering is a key enabler of serious and organised crime, which costs the UK at least £37 billion every year. The NCA assesses that is highly likely that over £12 billion of criminal cash is generated annually in the UK and a realistic possibility that the scale of money laundering impacting on the UK (including though UK corporate structures or financial institutions) is in the hundreds of billions of pounds annually. </w:t>
      </w:r>
    </w:p>
    <w:p w14:paraId="0F918C53" w14:textId="77777777" w:rsidR="003C0D1C" w:rsidRPr="003C0D1C" w:rsidRDefault="003C0D1C">
      <w:pPr>
        <w:numPr>
          <w:ilvl w:val="0"/>
          <w:numId w:val="22"/>
        </w:numPr>
        <w:spacing w:line="360" w:lineRule="auto"/>
        <w:jc w:val="both"/>
        <w:rPr>
          <w:rFonts w:ascii="Humnst777 Lt BT" w:hAnsi="Humnst777 Lt BT"/>
          <w:noProof/>
          <w:szCs w:val="24"/>
        </w:rPr>
      </w:pPr>
      <w:r w:rsidRPr="003C0D1C">
        <w:rPr>
          <w:rFonts w:ascii="Humnst777 Lt BT" w:hAnsi="Humnst777 Lt BT"/>
          <w:noProof/>
          <w:szCs w:val="24"/>
        </w:rPr>
        <w:t>Terrorist financing involves dealing with money or property that a person knows or has reasonable cause to suspect may be used for terrorism. There is an overlap between money laundering and terrorist financing, as both criminals and terrorists use similar methods to store and move funds, but the motive for generating and moving funds differs. The UK has a comprehensive anti-money laundering and counter-terrorist financing (AML/CTF) regime, and the government is committed to ensuring that the UK’s financial system is effectively able to combat ML/TF. </w:t>
      </w:r>
    </w:p>
    <w:p w14:paraId="663FC5BC" w14:textId="77777777" w:rsidR="00EB610B" w:rsidRPr="00E13E27" w:rsidRDefault="003C0D1C" w:rsidP="00E13E27">
      <w:pPr>
        <w:pStyle w:val="Heading3"/>
        <w:rPr>
          <w:rFonts w:ascii="Humnst777 Lt BT" w:hAnsi="Humnst777 Lt BT"/>
          <w:noProof/>
        </w:rPr>
      </w:pPr>
      <w:bookmarkStart w:id="9" w:name="_Toc8975073"/>
      <w:bookmarkStart w:id="10" w:name="_Toc104977796"/>
      <w:r w:rsidRPr="00E13E27">
        <w:rPr>
          <w:rFonts w:ascii="Humnst777 Lt BT" w:hAnsi="Humnst777 Lt BT"/>
          <w:noProof/>
        </w:rPr>
        <w:t>Post-Implementation Review of The Money Laundering, Terrorist Financing and Transfer of Funds (Information on the Payer) Regulations 2017</w:t>
      </w:r>
      <w:bookmarkEnd w:id="9"/>
      <w:bookmarkEnd w:id="10"/>
    </w:p>
    <w:p w14:paraId="5DC108FE" w14:textId="219F77C7" w:rsidR="003C0D1C" w:rsidRPr="003C0D1C" w:rsidRDefault="0023575F">
      <w:pPr>
        <w:numPr>
          <w:ilvl w:val="0"/>
          <w:numId w:val="26"/>
        </w:numPr>
        <w:spacing w:line="360" w:lineRule="auto"/>
        <w:jc w:val="both"/>
        <w:rPr>
          <w:rFonts w:ascii="Humnst777 Lt BT" w:hAnsi="Humnst777 Lt BT"/>
        </w:rPr>
      </w:pPr>
      <w:r w:rsidRPr="0058B8E4">
        <w:rPr>
          <w:rFonts w:ascii="Humnst777 Lt BT" w:hAnsi="Humnst777 Lt BT"/>
        </w:rPr>
        <w:t>The Treasury is required to undertake a post-implementation review of the MLRs. This PIR is being published alongside this document, and the findings from both have informed the broader review of the UK’s AML/</w:t>
      </w:r>
      <w:r w:rsidRPr="0058B8E4">
        <w:rPr>
          <w:rFonts w:ascii="Humnst777 Lt BT" w:hAnsi="Humnst777 Lt BT"/>
          <w:noProof/>
        </w:rPr>
        <w:t>CTF</w:t>
      </w:r>
      <w:r w:rsidRPr="0058B8E4">
        <w:rPr>
          <w:rFonts w:ascii="Humnst777 Lt BT" w:hAnsi="Humnst777 Lt BT"/>
        </w:rPr>
        <w:t xml:space="preserve"> landscape.  </w:t>
      </w:r>
    </w:p>
    <w:p w14:paraId="30B8C8A5" w14:textId="6A4A7313" w:rsidR="008B1F11" w:rsidRPr="00BD3CFA" w:rsidRDefault="003C0D1C" w:rsidP="00BD3CFA">
      <w:pPr>
        <w:pStyle w:val="Heading3"/>
        <w:rPr>
          <w:rFonts w:ascii="Humnst777 Lt BT" w:hAnsi="Humnst777 Lt BT"/>
        </w:rPr>
      </w:pPr>
      <w:bookmarkStart w:id="11" w:name="_Toc104977797"/>
      <w:bookmarkStart w:id="12" w:name="_Toc1724295670"/>
      <w:r w:rsidRPr="00E13E27">
        <w:rPr>
          <w:rFonts w:ascii="Humnst777 Lt BT" w:hAnsi="Humnst777 Lt BT"/>
          <w:noProof/>
        </w:rPr>
        <w:t>UK’s AML Supervision Regime</w:t>
      </w:r>
      <w:bookmarkEnd w:id="11"/>
      <w:r w:rsidRPr="00E13E27">
        <w:rPr>
          <w:rFonts w:ascii="Humnst777 Lt BT" w:hAnsi="Humnst777 Lt BT"/>
          <w:noProof/>
        </w:rPr>
        <w:t> </w:t>
      </w:r>
      <w:bookmarkEnd w:id="12"/>
    </w:p>
    <w:p w14:paraId="2597D39E" w14:textId="119595C4" w:rsidR="003C0D1C" w:rsidRPr="003C0D1C" w:rsidRDefault="003C0D1C">
      <w:pPr>
        <w:numPr>
          <w:ilvl w:val="0"/>
          <w:numId w:val="23"/>
        </w:numPr>
        <w:spacing w:line="360" w:lineRule="auto"/>
        <w:jc w:val="both"/>
        <w:rPr>
          <w:rFonts w:ascii="Humnst777 Lt BT" w:hAnsi="Humnst777 Lt BT"/>
        </w:rPr>
      </w:pPr>
      <w:r w:rsidRPr="5749ED73">
        <w:rPr>
          <w:rFonts w:ascii="Humnst777 Lt BT" w:hAnsi="Humnst777 Lt BT"/>
        </w:rPr>
        <w:t>HM Treasury appoints AML/</w:t>
      </w:r>
      <w:r w:rsidRPr="0058B8E4">
        <w:rPr>
          <w:rFonts w:ascii="Humnst777 Lt BT" w:hAnsi="Humnst777 Lt BT"/>
        </w:rPr>
        <w:t>CTF</w:t>
      </w:r>
      <w:r w:rsidRPr="5749ED73">
        <w:rPr>
          <w:rFonts w:ascii="Humnst777 Lt BT" w:hAnsi="Humnst777 Lt BT"/>
        </w:rPr>
        <w:t xml:space="preserve"> supervisors to ensure compliance with the requirements of the MLRs. The UK has 25 supervisors: three statutory supervisors (the FCA, HMRC and the Gambling Commission) and 22 legal and accountancy Professional Body Supervisors (PBSs). The list of PBSs is defined by Schedule 1 of the </w:t>
      </w:r>
      <w:r w:rsidR="00AE5473" w:rsidRPr="5749ED73">
        <w:rPr>
          <w:rFonts w:ascii="Humnst777 Lt BT" w:hAnsi="Humnst777 Lt BT"/>
        </w:rPr>
        <w:t>MLRs and</w:t>
      </w:r>
      <w:r w:rsidRPr="5749ED73">
        <w:rPr>
          <w:rFonts w:ascii="Humnst777 Lt BT" w:hAnsi="Humnst777 Lt BT"/>
        </w:rPr>
        <w:t xml:space="preserve"> copied in Annex </w:t>
      </w:r>
      <w:r w:rsidR="62A37D8D" w:rsidRPr="5749ED73">
        <w:rPr>
          <w:rFonts w:ascii="Humnst777 Lt BT" w:hAnsi="Humnst777 Lt BT"/>
          <w:noProof/>
        </w:rPr>
        <w:t>A</w:t>
      </w:r>
      <w:r w:rsidRPr="5749ED73">
        <w:rPr>
          <w:rFonts w:ascii="Humnst777 Lt BT" w:hAnsi="Humnst777 Lt BT"/>
        </w:rPr>
        <w:t xml:space="preserve"> of this report.  </w:t>
      </w:r>
    </w:p>
    <w:p w14:paraId="4C9E2B17" w14:textId="77777777" w:rsidR="003C0D1C" w:rsidRPr="003C0D1C" w:rsidRDefault="003C0D1C">
      <w:pPr>
        <w:numPr>
          <w:ilvl w:val="0"/>
          <w:numId w:val="35"/>
        </w:numPr>
        <w:spacing w:line="360" w:lineRule="auto"/>
        <w:jc w:val="both"/>
        <w:rPr>
          <w:rFonts w:ascii="Humnst777 Lt BT" w:hAnsi="Humnst777 Lt BT"/>
          <w:noProof/>
          <w:szCs w:val="24"/>
        </w:rPr>
      </w:pPr>
      <w:r w:rsidRPr="003C0D1C">
        <w:rPr>
          <w:rFonts w:ascii="Humnst777 Lt BT" w:hAnsi="Humnst777 Lt BT"/>
          <w:noProof/>
          <w:szCs w:val="24"/>
        </w:rPr>
        <w:t>Supervisors are required to effectively monitor their supervised populations and take necessary measures to secure their compliance with the MLRs, as well as being responsible for a number of gatekeeping tests that prevent unfit or criminal persons from operating in the regulated sector.  </w:t>
      </w:r>
    </w:p>
    <w:p w14:paraId="6AE7F143" w14:textId="77777777" w:rsidR="003C0D1C" w:rsidRPr="003C0D1C" w:rsidRDefault="003C0D1C" w:rsidP="00BD3CFA">
      <w:pPr>
        <w:numPr>
          <w:ilvl w:val="0"/>
          <w:numId w:val="65"/>
        </w:numPr>
        <w:spacing w:line="360" w:lineRule="auto"/>
        <w:jc w:val="both"/>
        <w:rPr>
          <w:rFonts w:ascii="Humnst777 Lt BT" w:hAnsi="Humnst777 Lt BT"/>
          <w:noProof/>
          <w:szCs w:val="24"/>
        </w:rPr>
      </w:pPr>
      <w:r w:rsidRPr="003C0D1C">
        <w:rPr>
          <w:rFonts w:ascii="Humnst777 Lt BT" w:hAnsi="Humnst777 Lt BT"/>
          <w:noProof/>
          <w:szCs w:val="24"/>
        </w:rPr>
        <w:lastRenderedPageBreak/>
        <w:t>HM Treasury is responsible for ensuring the effectiveness of the supervisory regime, and engages regularly with the supervisors, either bilaterally, or through a number of fora which exist to support supervisory cooperation and engagement. These include the AML Supervisors’ Forum, the Public Sector Affinity Group, the Legal Sector Affinity Group, and the Accountancy Sector Affinity Group. </w:t>
      </w:r>
    </w:p>
    <w:p w14:paraId="206CE5EC" w14:textId="62170B90" w:rsidR="003C0D1C" w:rsidRPr="003C0D1C" w:rsidRDefault="003C0D1C">
      <w:pPr>
        <w:numPr>
          <w:ilvl w:val="0"/>
          <w:numId w:val="25"/>
        </w:numPr>
        <w:spacing w:line="360" w:lineRule="auto"/>
        <w:jc w:val="both"/>
        <w:rPr>
          <w:rFonts w:ascii="Humnst777 Lt BT" w:hAnsi="Humnst777 Lt BT"/>
          <w:noProof/>
          <w:szCs w:val="24"/>
        </w:rPr>
      </w:pPr>
      <w:r w:rsidRPr="003C0D1C">
        <w:rPr>
          <w:rFonts w:ascii="Humnst777 Lt BT" w:hAnsi="Humnst777 Lt BT"/>
          <w:noProof/>
          <w:szCs w:val="24"/>
        </w:rPr>
        <w:t>The Treasury also works with the Office for Professional Body AML Supervision (OPBAS) which oversees the 22 PBSs. OPBAS was established in 2018 to ensure a robust and consistently high standard of supervision by the PBSs, and to facilitate collaboration and information and intelligence sharing between PBSs, statutory supervisors and law enforcement agencies.  </w:t>
      </w:r>
    </w:p>
    <w:p w14:paraId="0CBD4403" w14:textId="77777777" w:rsidR="003C0D1C" w:rsidRPr="00E13E27" w:rsidRDefault="003C0D1C" w:rsidP="00E13E27">
      <w:pPr>
        <w:pStyle w:val="Heading3"/>
        <w:rPr>
          <w:rFonts w:ascii="Humnst777 Lt BT" w:hAnsi="Humnst777 Lt BT"/>
          <w:noProof/>
        </w:rPr>
      </w:pPr>
      <w:bookmarkStart w:id="13" w:name="_Toc104977798"/>
      <w:bookmarkStart w:id="14" w:name="_Toc2019441440"/>
      <w:r w:rsidRPr="00E13E27">
        <w:rPr>
          <w:rFonts w:ascii="Humnst777 Lt BT" w:hAnsi="Humnst777 Lt BT"/>
          <w:noProof/>
        </w:rPr>
        <w:t>Statutory Instrument 2022</w:t>
      </w:r>
      <w:bookmarkEnd w:id="13"/>
      <w:r w:rsidRPr="00E13E27">
        <w:rPr>
          <w:rFonts w:ascii="Humnst777 Lt BT" w:hAnsi="Humnst777 Lt BT"/>
          <w:noProof/>
        </w:rPr>
        <w:t> </w:t>
      </w:r>
      <w:bookmarkEnd w:id="14"/>
    </w:p>
    <w:p w14:paraId="53E6E02F" w14:textId="22917306" w:rsidR="003C0D1C" w:rsidRPr="003C0D1C" w:rsidRDefault="003C0D1C">
      <w:pPr>
        <w:numPr>
          <w:ilvl w:val="0"/>
          <w:numId w:val="27"/>
        </w:numPr>
        <w:spacing w:line="360" w:lineRule="auto"/>
        <w:jc w:val="both"/>
        <w:rPr>
          <w:rFonts w:ascii="Humnst777 Lt BT" w:hAnsi="Humnst777 Lt BT"/>
          <w:noProof/>
          <w:szCs w:val="24"/>
        </w:rPr>
      </w:pPr>
      <w:r w:rsidRPr="003C0D1C">
        <w:rPr>
          <w:rFonts w:ascii="Humnst777 Lt BT" w:hAnsi="Humnst777 Lt BT"/>
          <w:noProof/>
          <w:szCs w:val="24"/>
        </w:rPr>
        <w:t xml:space="preserve">As set out in the Call for Evidence published in July 2021, the Treasury has conducted this review whilst also progressing a Statutory Instrument which </w:t>
      </w:r>
      <w:r w:rsidR="006E3F9A">
        <w:rPr>
          <w:rFonts w:ascii="Humnst777 Lt BT" w:hAnsi="Humnst777 Lt BT"/>
          <w:noProof/>
          <w:szCs w:val="24"/>
        </w:rPr>
        <w:t>makes</w:t>
      </w:r>
      <w:r w:rsidRPr="003C0D1C">
        <w:rPr>
          <w:rFonts w:ascii="Humnst777 Lt BT" w:hAnsi="Humnst777 Lt BT"/>
          <w:noProof/>
          <w:szCs w:val="24"/>
        </w:rPr>
        <w:t xml:space="preserve"> time-sensitive or relatively minor amendments to the MLRs. A consultation was published alongside the Call for Evidence to inform the SI.  </w:t>
      </w:r>
    </w:p>
    <w:p w14:paraId="5B433B85" w14:textId="2BA9D2EB" w:rsidR="003C0D1C" w:rsidRPr="003C0D1C" w:rsidRDefault="003C0D1C">
      <w:pPr>
        <w:numPr>
          <w:ilvl w:val="0"/>
          <w:numId w:val="28"/>
        </w:numPr>
        <w:spacing w:line="360" w:lineRule="auto"/>
        <w:jc w:val="both"/>
        <w:rPr>
          <w:rFonts w:ascii="Humnst777 Lt BT" w:hAnsi="Humnst777 Lt BT"/>
          <w:noProof/>
          <w:szCs w:val="24"/>
        </w:rPr>
      </w:pPr>
      <w:r w:rsidRPr="003C0D1C">
        <w:rPr>
          <w:rFonts w:ascii="Humnst777 Lt BT" w:hAnsi="Humnst777 Lt BT"/>
          <w:noProof/>
          <w:szCs w:val="24"/>
        </w:rPr>
        <w:t>While the limited nature of amendments made through the SI mean they have limited relation to the findings of this review, where amendments have the potential to have a future impact or have been implemented to address known issues with the MLRs, this has been noted in the review.  </w:t>
      </w:r>
    </w:p>
    <w:p w14:paraId="3D4F47A4" w14:textId="77777777" w:rsidR="003C0D1C" w:rsidRPr="00E13E27" w:rsidRDefault="003C0D1C" w:rsidP="00E13E27">
      <w:pPr>
        <w:pStyle w:val="Heading3"/>
        <w:rPr>
          <w:rFonts w:ascii="Humnst777 Lt BT" w:hAnsi="Humnst777 Lt BT"/>
          <w:noProof/>
        </w:rPr>
      </w:pPr>
      <w:bookmarkStart w:id="15" w:name="_Toc104977799"/>
      <w:bookmarkStart w:id="16" w:name="_Toc1838343360"/>
      <w:r w:rsidRPr="00E13E27">
        <w:rPr>
          <w:rFonts w:ascii="Humnst777 Lt BT" w:hAnsi="Humnst777 Lt BT"/>
          <w:noProof/>
        </w:rPr>
        <w:t>Treasury Select Committee</w:t>
      </w:r>
      <w:bookmarkEnd w:id="15"/>
      <w:r w:rsidRPr="00E13E27">
        <w:rPr>
          <w:rFonts w:ascii="Humnst777 Lt BT" w:hAnsi="Humnst777 Lt BT"/>
          <w:noProof/>
        </w:rPr>
        <w:t> </w:t>
      </w:r>
      <w:bookmarkEnd w:id="16"/>
    </w:p>
    <w:p w14:paraId="257C2EC1" w14:textId="77777777" w:rsidR="003C0D1C" w:rsidRPr="003C0D1C" w:rsidRDefault="003C0D1C">
      <w:pPr>
        <w:numPr>
          <w:ilvl w:val="0"/>
          <w:numId w:val="29"/>
        </w:numPr>
        <w:spacing w:line="360" w:lineRule="auto"/>
        <w:jc w:val="both"/>
        <w:rPr>
          <w:rFonts w:ascii="Humnst777 Lt BT" w:hAnsi="Humnst777 Lt BT"/>
          <w:noProof/>
          <w:szCs w:val="24"/>
        </w:rPr>
      </w:pPr>
      <w:r w:rsidRPr="003C0D1C">
        <w:rPr>
          <w:rFonts w:ascii="Humnst777 Lt BT" w:hAnsi="Humnst777 Lt BT"/>
          <w:noProof/>
          <w:szCs w:val="24"/>
        </w:rPr>
        <w:t>In February 2022, the Treasury Select Committee published the report of its inquiry into Economic Crime. This inquiry reviewed the progress made by the government in combatting economic crime since the Committee’s previous inquiry in 2020. </w:t>
      </w:r>
    </w:p>
    <w:p w14:paraId="281A633A" w14:textId="0DF9CB89" w:rsidR="003C0D1C" w:rsidRPr="003C0D1C" w:rsidRDefault="003C0D1C" w:rsidP="00BD3CFA">
      <w:pPr>
        <w:numPr>
          <w:ilvl w:val="0"/>
          <w:numId w:val="66"/>
        </w:numPr>
        <w:spacing w:line="360" w:lineRule="auto"/>
        <w:jc w:val="both"/>
        <w:rPr>
          <w:rFonts w:ascii="Humnst777 Lt BT" w:hAnsi="Humnst777 Lt BT"/>
        </w:rPr>
      </w:pPr>
      <w:r w:rsidRPr="0058B8E4">
        <w:rPr>
          <w:rFonts w:ascii="Humnst777 Lt BT" w:hAnsi="Humnst777 Lt BT"/>
        </w:rPr>
        <w:t>While the full report covered a range of economic crime-related topics, including the ECP, fraud and Companies House reform, it made several recommendations on future reform of the UK’s AML regime and supervisory approach. The Review of the UK’s AML/</w:t>
      </w:r>
      <w:r w:rsidRPr="0058B8E4">
        <w:rPr>
          <w:rFonts w:ascii="Humnst777 Lt BT" w:hAnsi="Humnst777 Lt BT"/>
          <w:noProof/>
        </w:rPr>
        <w:t>CTF</w:t>
      </w:r>
      <w:r w:rsidRPr="0058B8E4">
        <w:rPr>
          <w:rFonts w:ascii="Humnst777 Lt BT" w:hAnsi="Humnst777 Lt BT"/>
        </w:rPr>
        <w:t xml:space="preserve"> regulatory and supervisory regime addresses the points raised by the Committee’s inquiry.  </w:t>
      </w:r>
    </w:p>
    <w:p w14:paraId="7E53AA2F" w14:textId="77734A23" w:rsidR="00651334" w:rsidRDefault="003C0D1C" w:rsidP="005C5AC5">
      <w:pPr>
        <w:spacing w:line="360" w:lineRule="auto"/>
        <w:jc w:val="both"/>
        <w:rPr>
          <w:rFonts w:ascii="Humnst777 Lt BT" w:hAnsi="Humnst777 Lt BT"/>
          <w:noProof/>
          <w:szCs w:val="24"/>
        </w:rPr>
      </w:pPr>
      <w:r>
        <w:rPr>
          <w:rFonts w:ascii="Humnst777 Lt BT" w:hAnsi="Humnst777 Lt BT"/>
          <w:noProof/>
          <w:szCs w:val="24"/>
        </w:rPr>
        <w:br w:type="page"/>
      </w:r>
    </w:p>
    <w:p w14:paraId="3F96B24C" w14:textId="3A8337AF" w:rsidR="00F46064" w:rsidRPr="00AB2AFC" w:rsidRDefault="004B72D3" w:rsidP="00AB2AFC">
      <w:pPr>
        <w:pStyle w:val="Heading1"/>
        <w:rPr>
          <w:rFonts w:ascii="Humnst777 Lt BT" w:hAnsi="Humnst777 Lt BT"/>
        </w:rPr>
      </w:pPr>
      <w:bookmarkStart w:id="17" w:name="_Toc1955739650"/>
      <w:bookmarkStart w:id="18" w:name="_Toc104977800"/>
      <w:r w:rsidRPr="00AB2AFC">
        <w:rPr>
          <w:rFonts w:ascii="Humnst777 Lt BT" w:hAnsi="Humnst777 Lt BT"/>
        </w:rPr>
        <w:lastRenderedPageBreak/>
        <w:t>Approach to the P</w:t>
      </w:r>
      <w:r w:rsidR="001441ED" w:rsidRPr="00AB2AFC">
        <w:rPr>
          <w:rFonts w:ascii="Humnst777 Lt BT" w:hAnsi="Humnst777 Lt BT"/>
        </w:rPr>
        <w:t>IR</w:t>
      </w:r>
      <w:bookmarkEnd w:id="17"/>
      <w:bookmarkEnd w:id="18"/>
    </w:p>
    <w:p w14:paraId="205FB78F" w14:textId="2C6AF563" w:rsidR="001441ED" w:rsidRDefault="001441ED" w:rsidP="00651334">
      <w:pPr>
        <w:rPr>
          <w:rFonts w:ascii="Humnst777 Lt BT" w:hAnsi="Humnst777 Lt BT"/>
          <w:b/>
          <w:bCs/>
          <w:szCs w:val="24"/>
        </w:rPr>
      </w:pPr>
    </w:p>
    <w:p w14:paraId="1E54AB56" w14:textId="03A55429" w:rsidR="00A068C9" w:rsidRPr="00E13E27" w:rsidRDefault="00A068C9" w:rsidP="00E13E27">
      <w:pPr>
        <w:pStyle w:val="Heading3"/>
        <w:rPr>
          <w:rFonts w:ascii="Humnst777 Lt BT" w:hAnsi="Humnst777 Lt BT"/>
        </w:rPr>
      </w:pPr>
      <w:bookmarkStart w:id="19" w:name="_Toc884332106"/>
      <w:bookmarkStart w:id="20" w:name="_Toc104977801"/>
      <w:r w:rsidRPr="00E13E27">
        <w:rPr>
          <w:rFonts w:ascii="Humnst777 Lt BT" w:hAnsi="Humnst777 Lt BT"/>
        </w:rPr>
        <w:t>Scope of this review</w:t>
      </w:r>
      <w:bookmarkEnd w:id="19"/>
      <w:bookmarkEnd w:id="20"/>
    </w:p>
    <w:p w14:paraId="5AA219E1" w14:textId="5CAEB64F" w:rsidR="00DB4370" w:rsidRDefault="00DB4370" w:rsidP="00BD3CFA">
      <w:pPr>
        <w:numPr>
          <w:ilvl w:val="0"/>
          <w:numId w:val="66"/>
        </w:numPr>
        <w:spacing w:after="160" w:line="360" w:lineRule="auto"/>
        <w:jc w:val="both"/>
        <w:rPr>
          <w:rFonts w:ascii="Humnst777 Lt BT" w:hAnsi="Humnst777 Lt BT"/>
          <w:szCs w:val="24"/>
        </w:rPr>
      </w:pPr>
      <w:r>
        <w:rPr>
          <w:rFonts w:ascii="Humnst777 Lt BT" w:hAnsi="Humnst777 Lt BT"/>
          <w:noProof/>
          <w:szCs w:val="24"/>
        </w:rPr>
        <w:t xml:space="preserve">This review </w:t>
      </w:r>
      <w:r w:rsidR="009E44A4">
        <w:rPr>
          <w:rFonts w:ascii="Humnst777 Lt BT" w:hAnsi="Humnst777 Lt BT"/>
          <w:noProof/>
          <w:szCs w:val="24"/>
        </w:rPr>
        <w:t>has considered</w:t>
      </w:r>
      <w:r>
        <w:rPr>
          <w:rFonts w:ascii="Humnst777 Lt BT" w:hAnsi="Humnst777 Lt BT"/>
          <w:noProof/>
          <w:szCs w:val="24"/>
        </w:rPr>
        <w:t xml:space="preserve"> the imple</w:t>
      </w:r>
      <w:r w:rsidR="00AE5473">
        <w:rPr>
          <w:rFonts w:ascii="Humnst777 Lt BT" w:hAnsi="Humnst777 Lt BT"/>
          <w:noProof/>
          <w:szCs w:val="24"/>
        </w:rPr>
        <w:t>me</w:t>
      </w:r>
      <w:r>
        <w:rPr>
          <w:rFonts w:ascii="Humnst777 Lt BT" w:hAnsi="Humnst777 Lt BT"/>
          <w:noProof/>
          <w:szCs w:val="24"/>
        </w:rPr>
        <w:t>ntation and effectiveness of the OPBAS Regulations and the activity they require</w:t>
      </w:r>
      <w:r w:rsidR="00E2155F">
        <w:rPr>
          <w:rFonts w:ascii="Humnst777 Lt BT" w:hAnsi="Humnst777 Lt BT"/>
          <w:noProof/>
          <w:szCs w:val="24"/>
        </w:rPr>
        <w:t xml:space="preserve"> of supervisors</w:t>
      </w:r>
      <w:r>
        <w:rPr>
          <w:rFonts w:ascii="Humnst777 Lt BT" w:hAnsi="Humnst777 Lt BT"/>
          <w:noProof/>
          <w:szCs w:val="24"/>
        </w:rPr>
        <w:t>.</w:t>
      </w:r>
    </w:p>
    <w:p w14:paraId="0AB020C9" w14:textId="3594E578" w:rsidR="00DB4370" w:rsidRPr="00DB4370" w:rsidRDefault="00DB4370" w:rsidP="00BD3CFA">
      <w:pPr>
        <w:numPr>
          <w:ilvl w:val="0"/>
          <w:numId w:val="66"/>
        </w:numPr>
        <w:spacing w:after="160" w:line="360" w:lineRule="auto"/>
        <w:jc w:val="both"/>
        <w:rPr>
          <w:rFonts w:ascii="Humnst777 Lt BT" w:hAnsi="Humnst777 Lt BT"/>
          <w:szCs w:val="24"/>
        </w:rPr>
      </w:pPr>
      <w:r w:rsidRPr="00DB4370">
        <w:rPr>
          <w:rFonts w:ascii="Humnst777 Lt BT" w:hAnsi="Humnst777 Lt BT"/>
          <w:szCs w:val="24"/>
        </w:rPr>
        <w:t>The</w:t>
      </w:r>
      <w:bookmarkStart w:id="21" w:name="_Int_TLCFV9GS"/>
      <w:r w:rsidRPr="00DB4370">
        <w:rPr>
          <w:rFonts w:ascii="Humnst777 Lt BT" w:hAnsi="Humnst777 Lt BT"/>
          <w:szCs w:val="24"/>
        </w:rPr>
        <w:t xml:space="preserve"> post-implementation review must meet the requirements of Regulation 32 of the OPBAS Regulations, which sets out the requirement for HM</w:t>
      </w:r>
      <w:r w:rsidR="009E44A4">
        <w:rPr>
          <w:rFonts w:ascii="Humnst777 Lt BT" w:hAnsi="Humnst777 Lt BT"/>
          <w:szCs w:val="24"/>
        </w:rPr>
        <w:t xml:space="preserve"> Treasury</w:t>
      </w:r>
      <w:r w:rsidRPr="00DB4370">
        <w:rPr>
          <w:rFonts w:ascii="Humnst777 Lt BT" w:hAnsi="Humnst777 Lt BT"/>
          <w:szCs w:val="24"/>
        </w:rPr>
        <w:t xml:space="preserve"> to review the regulations ‘from time to time’ and to publish a report on its review at least once every 5 years. The first such report must be published by 26 June 2022. Regulation 32 cross-refers to Section 30(4) of the Small Business, Enterprise and Employment </w:t>
      </w:r>
      <w:r w:rsidR="00F228AE">
        <w:rPr>
          <w:rFonts w:ascii="Humnst777 Lt BT" w:hAnsi="Humnst777 Lt BT"/>
          <w:szCs w:val="24"/>
        </w:rPr>
        <w:t xml:space="preserve">(SBEE) </w:t>
      </w:r>
      <w:r w:rsidRPr="00DB4370">
        <w:rPr>
          <w:rFonts w:ascii="Humnst777 Lt BT" w:hAnsi="Humnst777 Lt BT"/>
          <w:szCs w:val="24"/>
        </w:rPr>
        <w:t>Act 2015 states that the review must:</w:t>
      </w:r>
    </w:p>
    <w:bookmarkEnd w:id="21"/>
    <w:p w14:paraId="21E670A0" w14:textId="13424700" w:rsidR="00DB4370" w:rsidRPr="00DB4370" w:rsidRDefault="00DB4370" w:rsidP="000944DC">
      <w:pPr>
        <w:pStyle w:val="ListParagraph"/>
        <w:numPr>
          <w:ilvl w:val="0"/>
          <w:numId w:val="33"/>
        </w:numPr>
        <w:spacing w:after="160" w:line="360" w:lineRule="auto"/>
        <w:jc w:val="both"/>
        <w:rPr>
          <w:rFonts w:ascii="Humnst777 Lt BT" w:hAnsi="Humnst777 Lt BT"/>
          <w:szCs w:val="24"/>
        </w:rPr>
      </w:pPr>
      <w:r w:rsidRPr="00DB4370">
        <w:rPr>
          <w:rFonts w:ascii="Humnst777 Lt BT" w:hAnsi="Humnst777 Lt BT"/>
          <w:szCs w:val="24"/>
        </w:rPr>
        <w:t>set out the objectives intended to be achieved by the regulatory provision [in the OPBAS Regulations]</w:t>
      </w:r>
    </w:p>
    <w:p w14:paraId="207B670B" w14:textId="665A5D29" w:rsidR="00DB4370" w:rsidRPr="00DB4370" w:rsidRDefault="00DB4370" w:rsidP="000944DC">
      <w:pPr>
        <w:pStyle w:val="ListParagraph"/>
        <w:numPr>
          <w:ilvl w:val="0"/>
          <w:numId w:val="33"/>
        </w:numPr>
        <w:spacing w:after="160" w:line="360" w:lineRule="auto"/>
        <w:jc w:val="both"/>
        <w:rPr>
          <w:rFonts w:ascii="Humnst777 Lt BT" w:hAnsi="Humnst777 Lt BT"/>
          <w:szCs w:val="24"/>
        </w:rPr>
      </w:pPr>
      <w:r w:rsidRPr="00DB4370">
        <w:rPr>
          <w:rFonts w:ascii="Humnst777 Lt BT" w:hAnsi="Humnst777 Lt BT"/>
          <w:szCs w:val="24"/>
        </w:rPr>
        <w:t xml:space="preserve">assess the extent to which those objectives are </w:t>
      </w:r>
      <w:bookmarkStart w:id="22" w:name="_Int_VUSjpFyi"/>
      <w:r w:rsidRPr="00DB4370">
        <w:rPr>
          <w:rFonts w:ascii="Humnst777 Lt BT" w:hAnsi="Humnst777 Lt BT"/>
          <w:szCs w:val="24"/>
        </w:rPr>
        <w:t>achieved;</w:t>
      </w:r>
      <w:bookmarkEnd w:id="22"/>
    </w:p>
    <w:p w14:paraId="392CDE53" w14:textId="60C400A1" w:rsidR="00DB4370" w:rsidRPr="00DB4370" w:rsidRDefault="00DB4370" w:rsidP="000944DC">
      <w:pPr>
        <w:pStyle w:val="ListParagraph"/>
        <w:numPr>
          <w:ilvl w:val="0"/>
          <w:numId w:val="33"/>
        </w:numPr>
        <w:spacing w:after="160" w:line="360" w:lineRule="auto"/>
        <w:jc w:val="both"/>
        <w:rPr>
          <w:rFonts w:ascii="Humnst777 Lt BT" w:hAnsi="Humnst777 Lt BT"/>
          <w:szCs w:val="24"/>
        </w:rPr>
      </w:pPr>
      <w:r w:rsidRPr="00DB4370">
        <w:rPr>
          <w:rFonts w:ascii="Humnst777 Lt BT" w:hAnsi="Humnst777 Lt BT"/>
          <w:szCs w:val="24"/>
        </w:rPr>
        <w:t>assess whether those objectives remain appropriate; and</w:t>
      </w:r>
    </w:p>
    <w:p w14:paraId="0959DB04" w14:textId="31FFD24E" w:rsidR="00DB4370" w:rsidRPr="00DB4370" w:rsidRDefault="00DB4370" w:rsidP="000944DC">
      <w:pPr>
        <w:pStyle w:val="ListParagraph"/>
        <w:numPr>
          <w:ilvl w:val="0"/>
          <w:numId w:val="33"/>
        </w:numPr>
        <w:spacing w:after="160" w:line="360" w:lineRule="auto"/>
        <w:jc w:val="both"/>
        <w:rPr>
          <w:rFonts w:ascii="Humnst777 Lt BT" w:hAnsi="Humnst777 Lt BT"/>
          <w:szCs w:val="24"/>
        </w:rPr>
      </w:pPr>
      <w:r w:rsidRPr="00DB4370">
        <w:rPr>
          <w:rFonts w:ascii="Humnst777 Lt BT" w:hAnsi="Humnst777 Lt BT"/>
          <w:szCs w:val="24"/>
        </w:rPr>
        <w:t>if those objectives remain appropriate, assess the extent to which they could be achieved in another way which involves less onerous regulatory provision.</w:t>
      </w:r>
    </w:p>
    <w:p w14:paraId="789A6343" w14:textId="40F67D81" w:rsidR="00DB4370" w:rsidRDefault="00DB4370" w:rsidP="00BD3CFA">
      <w:pPr>
        <w:numPr>
          <w:ilvl w:val="0"/>
          <w:numId w:val="66"/>
        </w:numPr>
        <w:spacing w:after="160" w:line="360" w:lineRule="auto"/>
        <w:jc w:val="both"/>
        <w:rPr>
          <w:rFonts w:ascii="Humnst777 Lt BT" w:hAnsi="Humnst777 Lt BT"/>
        </w:rPr>
      </w:pPr>
      <w:r w:rsidRPr="3C7D91A5">
        <w:rPr>
          <w:rFonts w:ascii="Humnst777 Lt BT" w:hAnsi="Humnst777 Lt BT"/>
        </w:rPr>
        <w:t xml:space="preserve">Regulation 32 also cross-refers to Section 30(3) of the SBEE Act 2015, which requires that a review carried out under this regulation must, so far as is reasonable, have regard to how Article 48 of the fourth money laundering directive (which sets out the requirements for effective risk-based supervision regimes) is implemented in other Member States. This obligation is no longer mandated by the RPC for PIRs, though we intend to </w:t>
      </w:r>
      <w:r w:rsidR="1FFDAF2F" w:rsidRPr="3C7D91A5">
        <w:rPr>
          <w:rFonts w:ascii="Humnst777 Lt BT" w:hAnsi="Humnst777 Lt BT"/>
        </w:rPr>
        <w:t xml:space="preserve">learn from </w:t>
      </w:r>
      <w:r w:rsidRPr="3C7D91A5">
        <w:rPr>
          <w:rFonts w:ascii="Humnst777 Lt BT" w:hAnsi="Humnst777 Lt BT"/>
        </w:rPr>
        <w:t xml:space="preserve">comparator supervision regimes to inform the forwards-looking part of the review. </w:t>
      </w:r>
    </w:p>
    <w:p w14:paraId="4B33ECE7" w14:textId="0DF4A9DB" w:rsidR="00221BD2" w:rsidRPr="00221BD2" w:rsidRDefault="00221BD2" w:rsidP="00BD3CFA">
      <w:pPr>
        <w:numPr>
          <w:ilvl w:val="0"/>
          <w:numId w:val="66"/>
        </w:numPr>
        <w:spacing w:after="160" w:line="360" w:lineRule="auto"/>
        <w:jc w:val="both"/>
        <w:rPr>
          <w:rFonts w:ascii="Humnst777 Lt BT" w:hAnsi="Humnst777 Lt BT"/>
          <w:szCs w:val="24"/>
        </w:rPr>
      </w:pPr>
      <w:r w:rsidRPr="009A1214">
        <w:rPr>
          <w:rFonts w:ascii="Humnst777 Lt BT" w:hAnsi="Humnst777 Lt BT"/>
          <w:noProof/>
          <w:szCs w:val="24"/>
        </w:rPr>
        <w:t xml:space="preserve">The OPBAS Regulations </w:t>
      </w:r>
      <w:r>
        <w:rPr>
          <w:rFonts w:ascii="Humnst777 Lt BT" w:hAnsi="Humnst777 Lt BT"/>
          <w:noProof/>
          <w:szCs w:val="24"/>
        </w:rPr>
        <w:t>aim to support</w:t>
      </w:r>
      <w:r w:rsidRPr="009A1214">
        <w:rPr>
          <w:rFonts w:ascii="Humnst777 Lt BT" w:hAnsi="Humnst777 Lt BT"/>
          <w:noProof/>
          <w:szCs w:val="24"/>
        </w:rPr>
        <w:t xml:space="preserve"> the MLRs, working in tandem with them to govern the UK’s AML supervision regime. As a resul</w:t>
      </w:r>
      <w:r>
        <w:rPr>
          <w:rFonts w:ascii="Humnst777 Lt BT" w:hAnsi="Humnst777 Lt BT"/>
          <w:noProof/>
          <w:szCs w:val="24"/>
        </w:rPr>
        <w:t>t, the effectiveness of the MLRs</w:t>
      </w:r>
      <w:r w:rsidR="00DD0076">
        <w:rPr>
          <w:rFonts w:ascii="Humnst777 Lt BT" w:hAnsi="Humnst777 Lt BT"/>
          <w:noProof/>
          <w:szCs w:val="24"/>
        </w:rPr>
        <w:t xml:space="preserve"> which is evaluated in a separate </w:t>
      </w:r>
      <w:r w:rsidR="00F04CBE">
        <w:rPr>
          <w:rFonts w:ascii="Humnst777 Lt BT" w:hAnsi="Humnst777 Lt BT"/>
          <w:noProof/>
          <w:szCs w:val="24"/>
        </w:rPr>
        <w:t xml:space="preserve">PIR </w:t>
      </w:r>
      <w:r w:rsidR="00DD0076">
        <w:rPr>
          <w:rFonts w:ascii="Humnst777 Lt BT" w:hAnsi="Humnst777 Lt BT"/>
          <w:noProof/>
          <w:szCs w:val="24"/>
        </w:rPr>
        <w:t>document</w:t>
      </w:r>
      <w:r>
        <w:rPr>
          <w:rFonts w:ascii="Humnst777 Lt BT" w:hAnsi="Humnst777 Lt BT"/>
          <w:noProof/>
          <w:szCs w:val="24"/>
        </w:rPr>
        <w:t xml:space="preserve"> is relevant to the scope of this PIR.  </w:t>
      </w:r>
    </w:p>
    <w:p w14:paraId="119169E9" w14:textId="6916B85F" w:rsidR="00581BD5" w:rsidRPr="0071161E" w:rsidRDefault="00581BD5" w:rsidP="0071161E">
      <w:pPr>
        <w:pStyle w:val="Heading3"/>
        <w:rPr>
          <w:rFonts w:ascii="Humnst777 Lt BT" w:hAnsi="Humnst777 Lt BT"/>
        </w:rPr>
      </w:pPr>
      <w:bookmarkStart w:id="23" w:name="_Toc721900550"/>
      <w:bookmarkStart w:id="24" w:name="_Toc104977802"/>
      <w:r w:rsidRPr="0071161E">
        <w:rPr>
          <w:rFonts w:ascii="Humnst777 Lt BT" w:hAnsi="Humnst777 Lt BT"/>
        </w:rPr>
        <w:t>Methodology</w:t>
      </w:r>
      <w:bookmarkEnd w:id="23"/>
      <w:bookmarkEnd w:id="24"/>
    </w:p>
    <w:p w14:paraId="03C2FCB0" w14:textId="78C94F2C" w:rsidR="00EB6692" w:rsidRDefault="00EA4DEE" w:rsidP="00BD3CFA">
      <w:pPr>
        <w:numPr>
          <w:ilvl w:val="0"/>
          <w:numId w:val="66"/>
        </w:numPr>
        <w:spacing w:line="360" w:lineRule="auto"/>
        <w:jc w:val="both"/>
        <w:rPr>
          <w:rFonts w:ascii="Humnst777 Lt BT" w:hAnsi="Humnst777 Lt BT"/>
          <w:noProof/>
          <w:szCs w:val="24"/>
        </w:rPr>
      </w:pPr>
      <w:r>
        <w:rPr>
          <w:rFonts w:ascii="Humnst777 Lt BT" w:hAnsi="Humnst777 Lt BT"/>
          <w:noProof/>
          <w:szCs w:val="24"/>
        </w:rPr>
        <w:t>This paper has used information and evidence available to analyse the progress that has been made by OPBAS</w:t>
      </w:r>
      <w:r w:rsidR="003F306E">
        <w:rPr>
          <w:rFonts w:ascii="Humnst777 Lt BT" w:hAnsi="Humnst777 Lt BT"/>
          <w:noProof/>
          <w:szCs w:val="24"/>
        </w:rPr>
        <w:t xml:space="preserve">. It is very difficult to quantify the </w:t>
      </w:r>
      <w:r w:rsidR="001B2204">
        <w:rPr>
          <w:rFonts w:ascii="Humnst777 Lt BT" w:hAnsi="Humnst777 Lt BT"/>
          <w:noProof/>
          <w:szCs w:val="24"/>
        </w:rPr>
        <w:t>e</w:t>
      </w:r>
      <w:r w:rsidR="00BC2C76">
        <w:rPr>
          <w:rFonts w:ascii="Humnst777 Lt BT" w:hAnsi="Humnst777 Lt BT"/>
          <w:noProof/>
          <w:szCs w:val="24"/>
        </w:rPr>
        <w:t>x</w:t>
      </w:r>
      <w:r w:rsidR="001B2204">
        <w:rPr>
          <w:rFonts w:ascii="Humnst777 Lt BT" w:hAnsi="Humnst777 Lt BT"/>
          <w:noProof/>
          <w:szCs w:val="24"/>
        </w:rPr>
        <w:t xml:space="preserve">act </w:t>
      </w:r>
      <w:r w:rsidR="003F306E">
        <w:rPr>
          <w:rFonts w:ascii="Humnst777 Lt BT" w:hAnsi="Humnst777 Lt BT"/>
          <w:noProof/>
          <w:szCs w:val="24"/>
        </w:rPr>
        <w:t xml:space="preserve">impact OPBAS supervision </w:t>
      </w:r>
      <w:r w:rsidR="00E539C2">
        <w:rPr>
          <w:rFonts w:ascii="Humnst777 Lt BT" w:hAnsi="Humnst777 Lt BT"/>
          <w:noProof/>
          <w:szCs w:val="24"/>
        </w:rPr>
        <w:t xml:space="preserve">of supervisors </w:t>
      </w:r>
      <w:r w:rsidR="0055580E">
        <w:rPr>
          <w:rFonts w:ascii="Humnst777 Lt BT" w:hAnsi="Humnst777 Lt BT"/>
          <w:noProof/>
          <w:szCs w:val="24"/>
        </w:rPr>
        <w:t xml:space="preserve">has on </w:t>
      </w:r>
      <w:r w:rsidR="00EE3C10">
        <w:rPr>
          <w:rFonts w:ascii="Humnst777 Lt BT" w:hAnsi="Humnst777 Lt BT"/>
          <w:noProof/>
          <w:szCs w:val="24"/>
        </w:rPr>
        <w:t>the overall scale of economic crime</w:t>
      </w:r>
      <w:r w:rsidR="008E2C89">
        <w:rPr>
          <w:rFonts w:ascii="Humnst777 Lt BT" w:hAnsi="Humnst777 Lt BT"/>
          <w:noProof/>
          <w:szCs w:val="24"/>
        </w:rPr>
        <w:t>.</w:t>
      </w:r>
    </w:p>
    <w:p w14:paraId="57079D50" w14:textId="6C268840" w:rsidR="00DB4370" w:rsidRPr="00914AE7" w:rsidRDefault="00F7328D" w:rsidP="00BD3CFA">
      <w:pPr>
        <w:numPr>
          <w:ilvl w:val="0"/>
          <w:numId w:val="66"/>
        </w:numPr>
        <w:spacing w:line="360" w:lineRule="auto"/>
        <w:jc w:val="both"/>
        <w:rPr>
          <w:rFonts w:ascii="Humnst777 Lt BT" w:hAnsi="Humnst777 Lt BT"/>
          <w:noProof/>
          <w:szCs w:val="24"/>
        </w:rPr>
      </w:pPr>
      <w:r>
        <w:rPr>
          <w:rFonts w:ascii="Humnst777 Lt BT" w:hAnsi="Humnst777 Lt BT"/>
          <w:noProof/>
          <w:szCs w:val="24"/>
        </w:rPr>
        <w:t>The PIR has used the Regulation’s</w:t>
      </w:r>
      <w:r w:rsidR="00C763B5">
        <w:rPr>
          <w:rFonts w:ascii="Humnst777 Lt BT" w:hAnsi="Humnst777 Lt BT"/>
          <w:noProof/>
          <w:szCs w:val="24"/>
        </w:rPr>
        <w:t xml:space="preserve"> objectives</w:t>
      </w:r>
      <w:r w:rsidR="00457358">
        <w:rPr>
          <w:rFonts w:ascii="Humnst777 Lt BT" w:hAnsi="Humnst777 Lt BT"/>
          <w:noProof/>
          <w:szCs w:val="24"/>
        </w:rPr>
        <w:t>, stated in the Impact Assessment,</w:t>
      </w:r>
      <w:r w:rsidR="00C763B5">
        <w:rPr>
          <w:rFonts w:ascii="Humnst777 Lt BT" w:hAnsi="Humnst777 Lt BT"/>
          <w:noProof/>
          <w:szCs w:val="24"/>
        </w:rPr>
        <w:t xml:space="preserve"> to measure </w:t>
      </w:r>
      <w:r w:rsidR="00DD3104">
        <w:rPr>
          <w:rFonts w:ascii="Humnst777 Lt BT" w:hAnsi="Humnst777 Lt BT"/>
          <w:noProof/>
          <w:szCs w:val="24"/>
        </w:rPr>
        <w:t xml:space="preserve">the progress of OPBAS and </w:t>
      </w:r>
      <w:r w:rsidR="00C763B5">
        <w:rPr>
          <w:rFonts w:ascii="Humnst777 Lt BT" w:hAnsi="Humnst777 Lt BT"/>
          <w:noProof/>
          <w:szCs w:val="24"/>
        </w:rPr>
        <w:t xml:space="preserve">effectiveness of the OPBAS </w:t>
      </w:r>
      <w:r w:rsidR="00DD3104">
        <w:rPr>
          <w:rFonts w:ascii="Humnst777 Lt BT" w:hAnsi="Humnst777 Lt BT"/>
          <w:noProof/>
          <w:szCs w:val="24"/>
        </w:rPr>
        <w:t>Regulations.</w:t>
      </w:r>
      <w:r w:rsidR="00C763B5">
        <w:rPr>
          <w:rFonts w:ascii="Humnst777 Lt BT" w:hAnsi="Humnst777 Lt BT"/>
          <w:noProof/>
          <w:szCs w:val="24"/>
        </w:rPr>
        <w:t xml:space="preserve"> </w:t>
      </w:r>
      <w:r w:rsidR="00DD3104">
        <w:rPr>
          <w:rFonts w:ascii="Humnst777 Lt BT" w:hAnsi="Humnst777 Lt BT"/>
          <w:noProof/>
          <w:szCs w:val="24"/>
        </w:rPr>
        <w:t>These</w:t>
      </w:r>
      <w:r w:rsidR="00C763B5">
        <w:rPr>
          <w:rFonts w:ascii="Humnst777 Lt BT" w:hAnsi="Humnst777 Lt BT"/>
          <w:noProof/>
          <w:szCs w:val="24"/>
        </w:rPr>
        <w:t xml:space="preserve"> are outlined below:</w:t>
      </w:r>
    </w:p>
    <w:p w14:paraId="276A3ABE" w14:textId="77777777" w:rsidR="009E3675" w:rsidRPr="00457358" w:rsidRDefault="009E3675" w:rsidP="75C79BD9">
      <w:pPr>
        <w:numPr>
          <w:ilvl w:val="0"/>
          <w:numId w:val="31"/>
        </w:numPr>
        <w:spacing w:line="360" w:lineRule="auto"/>
        <w:jc w:val="both"/>
        <w:rPr>
          <w:rFonts w:ascii="Humnst777 Lt BT" w:hAnsi="Humnst777 Lt BT"/>
        </w:rPr>
      </w:pPr>
      <w:r w:rsidRPr="009E3675">
        <w:rPr>
          <w:rFonts w:ascii="Humnst777 Lt BT" w:hAnsi="Humnst777 Lt BT"/>
        </w:rPr>
        <w:lastRenderedPageBreak/>
        <w:t xml:space="preserve">To ensure supervisory authorities comply with their AML obligations, to make the UK’s </w:t>
      </w:r>
      <w:r w:rsidRPr="00457358">
        <w:rPr>
          <w:rFonts w:ascii="Humnst777 Lt BT" w:hAnsi="Humnst777 Lt BT"/>
        </w:rPr>
        <w:t xml:space="preserve">financial system is a hostile environment for illicit finance </w:t>
      </w:r>
    </w:p>
    <w:p w14:paraId="3C67100F" w14:textId="103D8243" w:rsidR="009E3675" w:rsidRPr="00785A02" w:rsidRDefault="00DB4370" w:rsidP="00785A02">
      <w:pPr>
        <w:pStyle w:val="ListParagraph"/>
        <w:numPr>
          <w:ilvl w:val="0"/>
          <w:numId w:val="31"/>
        </w:numPr>
        <w:spacing w:line="360" w:lineRule="auto"/>
        <w:rPr>
          <w:rFonts w:ascii="Humnst777 Lt BT" w:hAnsi="Humnst777 Lt BT"/>
        </w:rPr>
      </w:pPr>
      <w:r w:rsidRPr="00457358">
        <w:rPr>
          <w:rFonts w:ascii="Humnst777 Lt BT" w:hAnsi="Humnst777 Lt BT"/>
        </w:rPr>
        <w:t>To address weaknesses in the UK’s AML supervision regime</w:t>
      </w:r>
      <w:r w:rsidR="009E3675" w:rsidRPr="00457358">
        <w:rPr>
          <w:rFonts w:ascii="Humnst777 Lt BT" w:hAnsi="Humnst777 Lt BT"/>
        </w:rPr>
        <w:t>, such as the need for greater consistency and effectiveness</w:t>
      </w:r>
      <w:r w:rsidRPr="00457358">
        <w:rPr>
          <w:rFonts w:ascii="Humnst777 Lt BT" w:hAnsi="Humnst777 Lt BT"/>
        </w:rPr>
        <w:t>;</w:t>
      </w:r>
    </w:p>
    <w:p w14:paraId="70DE1788" w14:textId="33709F2D" w:rsidR="009E3675" w:rsidRPr="00785A02" w:rsidRDefault="00DB4370" w:rsidP="00CF0B35">
      <w:pPr>
        <w:pStyle w:val="ListParagraph"/>
        <w:numPr>
          <w:ilvl w:val="0"/>
          <w:numId w:val="31"/>
        </w:numPr>
        <w:rPr>
          <w:rFonts w:ascii="Humnst777 Lt BT" w:hAnsi="Humnst777 Lt BT"/>
        </w:rPr>
      </w:pPr>
      <w:r w:rsidRPr="00785A02">
        <w:rPr>
          <w:rFonts w:ascii="Humnst777 Lt BT" w:hAnsi="Humnst777 Lt BT"/>
        </w:rPr>
        <w:t xml:space="preserve">To minimise unnecessary burdens on businesses. </w:t>
      </w:r>
    </w:p>
    <w:p w14:paraId="235D753D" w14:textId="77777777" w:rsidR="009E3675" w:rsidRDefault="009E3675" w:rsidP="00785A02">
      <w:pPr>
        <w:pStyle w:val="ListParagraph"/>
        <w:ind w:left="1080"/>
      </w:pPr>
    </w:p>
    <w:p w14:paraId="6777BA01" w14:textId="029758F1" w:rsidR="00DB4370" w:rsidRPr="00785A02" w:rsidRDefault="00DB4370" w:rsidP="00185185">
      <w:pPr>
        <w:pStyle w:val="ListParagraph"/>
        <w:numPr>
          <w:ilvl w:val="0"/>
          <w:numId w:val="66"/>
        </w:numPr>
        <w:spacing w:line="360" w:lineRule="auto"/>
        <w:rPr>
          <w:rFonts w:ascii="Humnst777 Lt BT" w:hAnsi="Humnst777 Lt BT"/>
        </w:rPr>
      </w:pPr>
      <w:r w:rsidRPr="00785A02">
        <w:rPr>
          <w:rFonts w:ascii="Humnst777 Lt BT" w:hAnsi="Humnst777 Lt BT"/>
        </w:rPr>
        <w:t>The OPBAS Regulation objectives were interpreted into the following objectives</w:t>
      </w:r>
      <w:r w:rsidR="00F129F3" w:rsidRPr="00785A02">
        <w:rPr>
          <w:rFonts w:ascii="Humnst777 Lt BT" w:hAnsi="Humnst777 Lt BT"/>
        </w:rPr>
        <w:t xml:space="preserve"> for OPBAS</w:t>
      </w:r>
      <w:r w:rsidRPr="00785A02">
        <w:rPr>
          <w:rFonts w:ascii="Humnst777 Lt BT" w:hAnsi="Humnst777 Lt BT"/>
        </w:rPr>
        <w:t>, that have been used to measure the effectiveness of the Regulations</w:t>
      </w:r>
      <w:r w:rsidR="005B79E2" w:rsidRPr="00785A02">
        <w:rPr>
          <w:rFonts w:ascii="Humnst777 Lt BT" w:hAnsi="Humnst777 Lt BT"/>
        </w:rPr>
        <w:t xml:space="preserve"> in this PIR</w:t>
      </w:r>
      <w:r w:rsidRPr="00785A02">
        <w:rPr>
          <w:rFonts w:ascii="Humnst777 Lt BT" w:hAnsi="Humnst777 Lt BT"/>
        </w:rPr>
        <w:t>:</w:t>
      </w:r>
    </w:p>
    <w:p w14:paraId="7727A5FB" w14:textId="77777777" w:rsidR="00DB4370" w:rsidRPr="00914AE7" w:rsidRDefault="00DB4370" w:rsidP="000944DC">
      <w:pPr>
        <w:numPr>
          <w:ilvl w:val="0"/>
          <w:numId w:val="32"/>
        </w:numPr>
        <w:spacing w:line="360" w:lineRule="auto"/>
        <w:rPr>
          <w:rFonts w:ascii="Humnst777 Lt BT" w:hAnsi="Humnst777 Lt BT"/>
          <w:szCs w:val="24"/>
        </w:rPr>
      </w:pPr>
      <w:r w:rsidRPr="00914AE7">
        <w:rPr>
          <w:rFonts w:ascii="Humnst777 Lt BT" w:hAnsi="Humnst777 Lt BT"/>
          <w:szCs w:val="24"/>
        </w:rPr>
        <w:t>Ensuring a robust and consistently high standard of supervision by the professional body AML supervisors overseeing the legal and accountancy sectors.</w:t>
      </w:r>
    </w:p>
    <w:p w14:paraId="4717846C" w14:textId="77777777" w:rsidR="00DB4370" w:rsidRDefault="00DB4370" w:rsidP="000944DC">
      <w:pPr>
        <w:numPr>
          <w:ilvl w:val="0"/>
          <w:numId w:val="32"/>
        </w:numPr>
        <w:spacing w:line="360" w:lineRule="auto"/>
        <w:rPr>
          <w:rFonts w:ascii="Humnst777 Lt BT" w:hAnsi="Humnst777 Lt BT"/>
          <w:szCs w:val="24"/>
        </w:rPr>
      </w:pPr>
      <w:r w:rsidRPr="00914AE7">
        <w:rPr>
          <w:rFonts w:ascii="Humnst777 Lt BT" w:hAnsi="Humnst777 Lt BT"/>
          <w:szCs w:val="24"/>
        </w:rPr>
        <w:t>Facilitating collaboration and information and intelligence sharing between PBSs, statutory supervisors and law enforcement agencies.</w:t>
      </w:r>
    </w:p>
    <w:p w14:paraId="1DA71623" w14:textId="284B6A62" w:rsidR="001237AB" w:rsidRDefault="00221BD2" w:rsidP="75C79BD9">
      <w:pPr>
        <w:numPr>
          <w:ilvl w:val="0"/>
          <w:numId w:val="66"/>
        </w:numPr>
        <w:spacing w:line="360" w:lineRule="auto"/>
        <w:jc w:val="both"/>
        <w:rPr>
          <w:rFonts w:ascii="Humnst777 Lt BT" w:hAnsi="Humnst777 Lt BT"/>
        </w:rPr>
      </w:pPr>
      <w:r w:rsidRPr="75C79BD9">
        <w:rPr>
          <w:rFonts w:ascii="Humnst777 Lt BT" w:hAnsi="Humnst777 Lt BT"/>
        </w:rPr>
        <w:t xml:space="preserve">These objectives provide a useful framework for assessing the progress OPBAS has made since its creation, and this </w:t>
      </w:r>
      <w:r w:rsidR="009C69B7" w:rsidRPr="75C79BD9">
        <w:rPr>
          <w:rFonts w:ascii="Humnst777 Lt BT" w:hAnsi="Humnst777 Lt BT"/>
        </w:rPr>
        <w:t>PIR</w:t>
      </w:r>
      <w:r w:rsidRPr="75C79BD9">
        <w:rPr>
          <w:rFonts w:ascii="Humnst777 Lt BT" w:hAnsi="Humnst777 Lt BT"/>
        </w:rPr>
        <w:t xml:space="preserve"> considers the extent to which they have been met and how appropriate they remain. </w:t>
      </w:r>
    </w:p>
    <w:p w14:paraId="534E495C" w14:textId="033BD5FE" w:rsidR="00221BD2" w:rsidRPr="00221BD2" w:rsidRDefault="6358C777" w:rsidP="75C79BD9">
      <w:pPr>
        <w:numPr>
          <w:ilvl w:val="0"/>
          <w:numId w:val="66"/>
        </w:numPr>
        <w:spacing w:line="360" w:lineRule="auto"/>
        <w:jc w:val="both"/>
        <w:rPr>
          <w:rFonts w:ascii="Humnst777 Lt BT" w:hAnsi="Humnst777 Lt BT"/>
        </w:rPr>
      </w:pPr>
      <w:r w:rsidRPr="7A398C72">
        <w:rPr>
          <w:rFonts w:ascii="Humnst777 Lt BT" w:hAnsi="Humnst777 Lt BT"/>
        </w:rPr>
        <w:t xml:space="preserve">Whether the objectives could be achieved in another way which involves </w:t>
      </w:r>
      <w:r w:rsidR="00DF1F52">
        <w:rPr>
          <w:rFonts w:ascii="Humnst777 Lt BT" w:hAnsi="Humnst777 Lt BT"/>
        </w:rPr>
        <w:t>alternative</w:t>
      </w:r>
      <w:r w:rsidRPr="7A398C72">
        <w:rPr>
          <w:rFonts w:ascii="Humnst777 Lt BT" w:hAnsi="Humnst777 Lt BT"/>
        </w:rPr>
        <w:t xml:space="preserve"> regulatory provision will be explored further through the broader, </w:t>
      </w:r>
      <w:r w:rsidR="0A2A6A98" w:rsidRPr="7A398C72">
        <w:rPr>
          <w:rFonts w:ascii="Humnst777 Lt BT" w:hAnsi="Humnst777 Lt BT"/>
        </w:rPr>
        <w:t xml:space="preserve">forthcoming, </w:t>
      </w:r>
      <w:r w:rsidRPr="7A398C72">
        <w:rPr>
          <w:rFonts w:ascii="Humnst777 Lt BT" w:hAnsi="Humnst777 Lt BT"/>
        </w:rPr>
        <w:t>forward-looking element of the MLRs Review.</w:t>
      </w:r>
    </w:p>
    <w:p w14:paraId="7D61293B" w14:textId="4621FDD0" w:rsidR="00221BD2" w:rsidRPr="00221BD2" w:rsidRDefault="00221BD2" w:rsidP="00BD3CFA">
      <w:pPr>
        <w:numPr>
          <w:ilvl w:val="0"/>
          <w:numId w:val="66"/>
        </w:numPr>
        <w:spacing w:line="360" w:lineRule="auto"/>
        <w:jc w:val="both"/>
        <w:rPr>
          <w:rFonts w:ascii="Humnst777 Lt BT" w:hAnsi="Humnst777 Lt BT"/>
          <w:szCs w:val="24"/>
        </w:rPr>
      </w:pPr>
      <w:r w:rsidRPr="00221BD2">
        <w:rPr>
          <w:rFonts w:ascii="Humnst777 Lt BT" w:hAnsi="Humnst777 Lt BT"/>
          <w:szCs w:val="24"/>
        </w:rPr>
        <w:t xml:space="preserve">Given the importance of not just improving the effectiveness of individual professional body supervisors, but improving the consistency of supervision across the regime, we have chosen to assess the </w:t>
      </w:r>
      <w:r w:rsidRPr="00221BD2">
        <w:rPr>
          <w:rFonts w:ascii="Humnst777 Lt BT" w:hAnsi="Humnst777 Lt BT"/>
          <w:szCs w:val="24"/>
          <w:u w:val="single"/>
        </w:rPr>
        <w:t>consistency</w:t>
      </w:r>
      <w:r w:rsidRPr="00221BD2">
        <w:rPr>
          <w:rFonts w:ascii="Humnst777 Lt BT" w:hAnsi="Humnst777 Lt BT"/>
          <w:szCs w:val="24"/>
        </w:rPr>
        <w:t xml:space="preserve"> and </w:t>
      </w:r>
      <w:r w:rsidRPr="00221BD2">
        <w:rPr>
          <w:rFonts w:ascii="Humnst777 Lt BT" w:hAnsi="Humnst777 Lt BT"/>
          <w:szCs w:val="24"/>
          <w:u w:val="single"/>
        </w:rPr>
        <w:t>effectiveness</w:t>
      </w:r>
      <w:r w:rsidRPr="00221BD2">
        <w:rPr>
          <w:rFonts w:ascii="Humnst777 Lt BT" w:hAnsi="Humnst777 Lt BT"/>
          <w:szCs w:val="24"/>
        </w:rPr>
        <w:t xml:space="preserve"> of PBS supervision separately, effectively splitting the first stated objective above into two related objectives. The note therefore considers:</w:t>
      </w:r>
    </w:p>
    <w:p w14:paraId="1377C255" w14:textId="77777777" w:rsidR="00221BD2" w:rsidRPr="00221BD2" w:rsidRDefault="00221BD2" w:rsidP="000944DC">
      <w:pPr>
        <w:numPr>
          <w:ilvl w:val="1"/>
          <w:numId w:val="34"/>
        </w:numPr>
        <w:spacing w:line="360" w:lineRule="auto"/>
        <w:jc w:val="both"/>
        <w:rPr>
          <w:rFonts w:ascii="Humnst777 Lt BT" w:hAnsi="Humnst777 Lt BT"/>
          <w:szCs w:val="24"/>
        </w:rPr>
      </w:pPr>
      <w:r w:rsidRPr="00221BD2">
        <w:rPr>
          <w:rFonts w:ascii="Humnst777 Lt BT" w:hAnsi="Humnst777 Lt BT"/>
          <w:szCs w:val="24"/>
        </w:rPr>
        <w:t>The extent to which OPBAS has improved consistency of AML supervision in the accountancy and legal sectors;</w:t>
      </w:r>
    </w:p>
    <w:p w14:paraId="74670121" w14:textId="77777777" w:rsidR="00221BD2" w:rsidRPr="00221BD2" w:rsidRDefault="00221BD2" w:rsidP="000944DC">
      <w:pPr>
        <w:numPr>
          <w:ilvl w:val="1"/>
          <w:numId w:val="34"/>
        </w:numPr>
        <w:spacing w:line="360" w:lineRule="auto"/>
        <w:jc w:val="both"/>
        <w:rPr>
          <w:rFonts w:ascii="Humnst777 Lt BT" w:hAnsi="Humnst777 Lt BT"/>
          <w:szCs w:val="24"/>
        </w:rPr>
      </w:pPr>
      <w:r w:rsidRPr="00221BD2">
        <w:rPr>
          <w:rFonts w:ascii="Humnst777 Lt BT" w:hAnsi="Humnst777 Lt BT"/>
          <w:szCs w:val="24"/>
        </w:rPr>
        <w:t>The extent to which OPBAS has strengthened collaboration between supervisors and law enforcement through increased information and intelligence sharing; and</w:t>
      </w:r>
    </w:p>
    <w:p w14:paraId="2EA34F6B" w14:textId="77777777" w:rsidR="00221BD2" w:rsidRPr="00221BD2" w:rsidRDefault="00221BD2" w:rsidP="000944DC">
      <w:pPr>
        <w:numPr>
          <w:ilvl w:val="1"/>
          <w:numId w:val="34"/>
        </w:numPr>
        <w:spacing w:line="360" w:lineRule="auto"/>
        <w:jc w:val="both"/>
        <w:rPr>
          <w:rFonts w:ascii="Humnst777 Lt BT" w:hAnsi="Humnst777 Lt BT"/>
          <w:szCs w:val="24"/>
        </w:rPr>
      </w:pPr>
      <w:r w:rsidRPr="00221BD2">
        <w:rPr>
          <w:rFonts w:ascii="Humnst777 Lt BT" w:hAnsi="Humnst777 Lt BT"/>
          <w:szCs w:val="24"/>
        </w:rPr>
        <w:t>The extent to which OPBAS helps supervisors meet their obligations under the MLRs and improves the overall effectiveness of the supervisory regime.</w:t>
      </w:r>
    </w:p>
    <w:p w14:paraId="3A31A2F4" w14:textId="1D7D56E7" w:rsidR="000817F7" w:rsidRPr="00244323" w:rsidRDefault="00D22155" w:rsidP="00BD3CFA">
      <w:pPr>
        <w:numPr>
          <w:ilvl w:val="0"/>
          <w:numId w:val="66"/>
        </w:numPr>
        <w:spacing w:after="160" w:line="360" w:lineRule="auto"/>
        <w:jc w:val="both"/>
        <w:rPr>
          <w:rFonts w:ascii="Humnst777 Lt BT" w:hAnsi="Humnst777 Lt BT"/>
          <w:b/>
          <w:bCs/>
          <w:szCs w:val="24"/>
        </w:rPr>
      </w:pPr>
      <w:r w:rsidRPr="009526AB">
        <w:rPr>
          <w:rFonts w:ascii="Humnst777 Lt BT" w:hAnsi="Humnst777 Lt BT"/>
          <w:szCs w:val="24"/>
        </w:rPr>
        <w:t xml:space="preserve"> </w:t>
      </w:r>
      <w:r w:rsidR="00317240" w:rsidRPr="009526AB">
        <w:rPr>
          <w:rFonts w:ascii="Humnst777 Lt BT" w:hAnsi="Humnst777 Lt BT"/>
          <w:szCs w:val="24"/>
        </w:rPr>
        <w:t>It</w:t>
      </w:r>
      <w:r w:rsidR="00317240" w:rsidRPr="00244323">
        <w:rPr>
          <w:rFonts w:ascii="Humnst777 Lt BT" w:hAnsi="Humnst777 Lt BT"/>
          <w:szCs w:val="24"/>
        </w:rPr>
        <w:t xml:space="preserve"> is i</w:t>
      </w:r>
      <w:r w:rsidRPr="00244323">
        <w:rPr>
          <w:rFonts w:ascii="Humnst777 Lt BT" w:hAnsi="Humnst777 Lt BT"/>
          <w:szCs w:val="24"/>
        </w:rPr>
        <w:t xml:space="preserve">mportant to note the </w:t>
      </w:r>
      <w:r w:rsidR="001555D8" w:rsidRPr="00244323">
        <w:rPr>
          <w:rFonts w:ascii="Humnst777 Lt BT" w:hAnsi="Humnst777 Lt BT"/>
          <w:szCs w:val="24"/>
        </w:rPr>
        <w:t xml:space="preserve">difficulty that measuring these objectives poses. </w:t>
      </w:r>
      <w:r w:rsidR="00844FB6" w:rsidRPr="00244323">
        <w:rPr>
          <w:rStyle w:val="normaltextrun"/>
          <w:rFonts w:ascii="Humnst777 Lt BT" w:hAnsi="Humnst777 Lt BT" w:cs="Arial"/>
          <w:color w:val="000000"/>
          <w:shd w:val="clear" w:color="auto" w:fill="FFFFFF"/>
        </w:rPr>
        <w:t xml:space="preserve">The immediate </w:t>
      </w:r>
      <w:r w:rsidR="00844FB6" w:rsidRPr="00244323">
        <w:rPr>
          <w:rStyle w:val="normaltextrun"/>
          <w:rFonts w:ascii="Humnst777 Lt BT" w:hAnsi="Humnst777 Lt BT" w:cs="Arial"/>
          <w:i/>
          <w:iCs/>
          <w:color w:val="000000"/>
          <w:shd w:val="clear" w:color="auto" w:fill="FFFFFF"/>
        </w:rPr>
        <w:t>outputs</w:t>
      </w:r>
      <w:r w:rsidR="00844FB6" w:rsidRPr="00244323">
        <w:rPr>
          <w:rStyle w:val="normaltextrun"/>
          <w:rFonts w:ascii="Humnst777 Lt BT" w:hAnsi="Humnst777 Lt BT" w:cs="Arial"/>
          <w:color w:val="000000"/>
          <w:shd w:val="clear" w:color="auto" w:fill="FFFFFF"/>
        </w:rPr>
        <w:t xml:space="preserve"> – i.e., </w:t>
      </w:r>
      <w:r w:rsidR="00755B8D">
        <w:rPr>
          <w:rStyle w:val="normaltextrun"/>
          <w:rFonts w:ascii="Humnst777 Lt BT" w:hAnsi="Humnst777 Lt BT" w:cs="Arial"/>
          <w:color w:val="000000"/>
          <w:shd w:val="clear" w:color="auto" w:fill="FFFFFF"/>
        </w:rPr>
        <w:t xml:space="preserve">consistency of </w:t>
      </w:r>
      <w:r w:rsidR="00A9182C">
        <w:rPr>
          <w:rStyle w:val="normaltextrun"/>
          <w:rFonts w:ascii="Humnst777 Lt BT" w:hAnsi="Humnst777 Lt BT" w:cs="Arial"/>
          <w:color w:val="000000"/>
          <w:shd w:val="clear" w:color="auto" w:fill="FFFFFF"/>
        </w:rPr>
        <w:t xml:space="preserve">the </w:t>
      </w:r>
      <w:r w:rsidR="00755B8D">
        <w:rPr>
          <w:rStyle w:val="normaltextrun"/>
          <w:rFonts w:ascii="Humnst777 Lt BT" w:hAnsi="Humnst777 Lt BT" w:cs="Arial"/>
          <w:color w:val="000000"/>
          <w:shd w:val="clear" w:color="auto" w:fill="FFFFFF"/>
        </w:rPr>
        <w:t>approach</w:t>
      </w:r>
      <w:r w:rsidR="00A9182C">
        <w:rPr>
          <w:rStyle w:val="normaltextrun"/>
          <w:rFonts w:ascii="Humnst777 Lt BT" w:hAnsi="Humnst777 Lt BT" w:cs="Arial"/>
          <w:color w:val="000000"/>
          <w:shd w:val="clear" w:color="auto" w:fill="FFFFFF"/>
        </w:rPr>
        <w:t xml:space="preserve"> of professional body supervisors in the UK </w:t>
      </w:r>
      <w:r w:rsidR="00844FB6" w:rsidRPr="00244323">
        <w:rPr>
          <w:rStyle w:val="normaltextrun"/>
          <w:rFonts w:ascii="Humnst777 Lt BT" w:hAnsi="Humnst777 Lt BT" w:cs="Arial"/>
          <w:color w:val="000000"/>
          <w:shd w:val="clear" w:color="auto" w:fill="FFFFFF"/>
        </w:rPr>
        <w:t xml:space="preserve">– can be inferred through </w:t>
      </w:r>
      <w:r w:rsidR="00A9182C">
        <w:rPr>
          <w:rStyle w:val="normaltextrun"/>
          <w:rFonts w:ascii="Humnst777 Lt BT" w:hAnsi="Humnst777 Lt BT" w:cs="Arial"/>
          <w:color w:val="000000"/>
          <w:shd w:val="clear" w:color="auto" w:fill="FFFFFF"/>
        </w:rPr>
        <w:t>PBS</w:t>
      </w:r>
      <w:r w:rsidR="00844FB6" w:rsidRPr="00244323">
        <w:rPr>
          <w:rStyle w:val="normaltextrun"/>
          <w:rFonts w:ascii="Humnst777 Lt BT" w:hAnsi="Humnst777 Lt BT" w:cs="Arial"/>
          <w:color w:val="000000"/>
          <w:shd w:val="clear" w:color="auto" w:fill="FFFFFF"/>
        </w:rPr>
        <w:t xml:space="preserve"> assessments of their sectors’ compliance</w:t>
      </w:r>
      <w:r w:rsidR="00A9182C">
        <w:rPr>
          <w:rStyle w:val="normaltextrun"/>
          <w:rFonts w:ascii="Humnst777 Lt BT" w:hAnsi="Humnst777 Lt BT" w:cs="Arial"/>
          <w:color w:val="000000"/>
          <w:shd w:val="clear" w:color="auto" w:fill="FFFFFF"/>
        </w:rPr>
        <w:t xml:space="preserve"> and </w:t>
      </w:r>
      <w:r w:rsidR="00F26E18">
        <w:rPr>
          <w:rStyle w:val="normaltextrun"/>
          <w:rFonts w:ascii="Humnst777 Lt BT" w:hAnsi="Humnst777 Lt BT" w:cs="Arial"/>
          <w:color w:val="000000"/>
          <w:shd w:val="clear" w:color="auto" w:fill="FFFFFF"/>
        </w:rPr>
        <w:t xml:space="preserve">by </w:t>
      </w:r>
      <w:r w:rsidR="00A9182C">
        <w:rPr>
          <w:rStyle w:val="normaltextrun"/>
          <w:rFonts w:ascii="Humnst777 Lt BT" w:hAnsi="Humnst777 Lt BT" w:cs="Arial"/>
          <w:color w:val="000000"/>
          <w:shd w:val="clear" w:color="auto" w:fill="FFFFFF"/>
        </w:rPr>
        <w:t xml:space="preserve">comparing and contrasting </w:t>
      </w:r>
      <w:r w:rsidR="00F26E18">
        <w:rPr>
          <w:rStyle w:val="normaltextrun"/>
          <w:rFonts w:ascii="Humnst777 Lt BT" w:hAnsi="Humnst777 Lt BT" w:cs="Arial"/>
          <w:color w:val="000000"/>
          <w:shd w:val="clear" w:color="auto" w:fill="FFFFFF"/>
        </w:rPr>
        <w:t>s</w:t>
      </w:r>
      <w:r w:rsidR="00A9182C">
        <w:rPr>
          <w:rStyle w:val="normaltextrun"/>
          <w:rFonts w:ascii="Humnst777 Lt BT" w:hAnsi="Humnst777 Lt BT" w:cs="Arial"/>
          <w:color w:val="000000"/>
          <w:shd w:val="clear" w:color="auto" w:fill="FFFFFF"/>
        </w:rPr>
        <w:t>upervisor</w:t>
      </w:r>
      <w:r w:rsidR="00F26E18">
        <w:rPr>
          <w:rStyle w:val="normaltextrun"/>
          <w:rFonts w:ascii="Humnst777 Lt BT" w:hAnsi="Humnst777 Lt BT" w:cs="Arial"/>
          <w:color w:val="000000"/>
          <w:shd w:val="clear" w:color="auto" w:fill="FFFFFF"/>
        </w:rPr>
        <w:t>y approach</w:t>
      </w:r>
      <w:r w:rsidR="00844FB6" w:rsidRPr="00244323">
        <w:rPr>
          <w:rStyle w:val="normaltextrun"/>
          <w:rFonts w:ascii="Humnst777 Lt BT" w:hAnsi="Humnst777 Lt BT" w:cs="Arial"/>
          <w:color w:val="000000"/>
          <w:shd w:val="clear" w:color="auto" w:fill="FFFFFF"/>
        </w:rPr>
        <w:t xml:space="preserve">. The intended </w:t>
      </w:r>
      <w:r w:rsidR="00844FB6" w:rsidRPr="00244323">
        <w:rPr>
          <w:rStyle w:val="normaltextrun"/>
          <w:rFonts w:ascii="Humnst777 Lt BT" w:hAnsi="Humnst777 Lt BT" w:cs="Arial"/>
          <w:i/>
          <w:iCs/>
          <w:color w:val="000000"/>
          <w:shd w:val="clear" w:color="auto" w:fill="FFFFFF"/>
        </w:rPr>
        <w:t>outcome</w:t>
      </w:r>
      <w:r w:rsidR="00844FB6" w:rsidRPr="00244323">
        <w:rPr>
          <w:rStyle w:val="normaltextrun"/>
          <w:rFonts w:ascii="Humnst777 Lt BT" w:hAnsi="Humnst777 Lt BT" w:cs="Arial"/>
          <w:color w:val="000000"/>
          <w:shd w:val="clear" w:color="auto" w:fill="FFFFFF"/>
        </w:rPr>
        <w:t xml:space="preserve"> – </w:t>
      </w:r>
      <w:r w:rsidR="00D03887" w:rsidRPr="00244323">
        <w:rPr>
          <w:rStyle w:val="normaltextrun"/>
          <w:rFonts w:ascii="Humnst777 Lt BT" w:hAnsi="Humnst777 Lt BT" w:cs="Arial"/>
          <w:color w:val="000000"/>
          <w:shd w:val="clear" w:color="auto" w:fill="FFFFFF"/>
        </w:rPr>
        <w:t>i.e.,</w:t>
      </w:r>
      <w:r w:rsidR="00844FB6" w:rsidRPr="00244323">
        <w:rPr>
          <w:rStyle w:val="normaltextrun"/>
          <w:rFonts w:ascii="Humnst777 Lt BT" w:hAnsi="Humnst777 Lt BT" w:cs="Arial"/>
          <w:color w:val="000000"/>
          <w:shd w:val="clear" w:color="auto" w:fill="FFFFFF"/>
        </w:rPr>
        <w:t xml:space="preserve"> the prevention of illicit finance from entering the financial system – is even more difficult to measure. </w:t>
      </w:r>
      <w:r w:rsidR="00844FB6" w:rsidRPr="00244323">
        <w:rPr>
          <w:rStyle w:val="eop"/>
          <w:rFonts w:ascii="Humnst777 Lt BT" w:hAnsi="Humnst777 Lt BT" w:cs="Arial"/>
          <w:color w:val="000000"/>
          <w:shd w:val="clear" w:color="auto" w:fill="FFFFFF"/>
        </w:rPr>
        <w:t> </w:t>
      </w:r>
    </w:p>
    <w:p w14:paraId="73292BEE" w14:textId="77777777" w:rsidR="00531E21" w:rsidRDefault="00531E21">
      <w:pPr>
        <w:rPr>
          <w:rFonts w:ascii="Humnst777 Lt BT" w:hAnsi="Humnst777 Lt BT"/>
          <w:szCs w:val="24"/>
        </w:rPr>
      </w:pPr>
      <w:r>
        <w:rPr>
          <w:rFonts w:ascii="Humnst777 Lt BT" w:hAnsi="Humnst777 Lt BT"/>
          <w:szCs w:val="24"/>
        </w:rPr>
        <w:br w:type="page"/>
      </w:r>
    </w:p>
    <w:p w14:paraId="7E5A9D92" w14:textId="3FE96D8E" w:rsidR="00531E21" w:rsidRPr="0071161E" w:rsidRDefault="000B79C2" w:rsidP="0071161E">
      <w:pPr>
        <w:pStyle w:val="Heading2"/>
        <w:rPr>
          <w:rFonts w:ascii="Humnst777 Lt BT" w:hAnsi="Humnst777 Lt BT"/>
        </w:rPr>
      </w:pPr>
      <w:bookmarkStart w:id="25" w:name="_Toc188722878"/>
      <w:bookmarkStart w:id="26" w:name="_Toc104977803"/>
      <w:r w:rsidRPr="0071161E">
        <w:rPr>
          <w:rFonts w:ascii="Humnst777 Lt BT" w:hAnsi="Humnst777 Lt BT"/>
        </w:rPr>
        <w:lastRenderedPageBreak/>
        <w:t>Summary of findings</w:t>
      </w:r>
      <w:bookmarkEnd w:id="25"/>
      <w:bookmarkEnd w:id="26"/>
    </w:p>
    <w:p w14:paraId="270BBC77" w14:textId="59EBC5AB" w:rsidR="00651334" w:rsidRPr="004928A5" w:rsidRDefault="00651334" w:rsidP="00BD3CFA">
      <w:pPr>
        <w:pStyle w:val="ListParagraph"/>
        <w:numPr>
          <w:ilvl w:val="0"/>
          <w:numId w:val="66"/>
        </w:numPr>
        <w:spacing w:line="360" w:lineRule="auto"/>
        <w:rPr>
          <w:rFonts w:ascii="Humnst777 Lt BT" w:hAnsi="Humnst777 Lt BT"/>
          <w:szCs w:val="24"/>
        </w:rPr>
      </w:pPr>
      <w:r w:rsidRPr="004928A5">
        <w:rPr>
          <w:rFonts w:ascii="Humnst777 Lt BT" w:hAnsi="Humnst777 Lt BT"/>
          <w:szCs w:val="24"/>
        </w:rPr>
        <w:t xml:space="preserve">Based on the analysis set out in this paper, </w:t>
      </w:r>
      <w:r w:rsidR="003C171E">
        <w:rPr>
          <w:rFonts w:ascii="Humnst777 Lt BT" w:hAnsi="Humnst777 Lt BT"/>
          <w:szCs w:val="24"/>
        </w:rPr>
        <w:t>OPBAS</w:t>
      </w:r>
      <w:r w:rsidRPr="004928A5">
        <w:rPr>
          <w:rFonts w:ascii="Humnst777 Lt BT" w:hAnsi="Humnst777 Lt BT"/>
          <w:szCs w:val="24"/>
        </w:rPr>
        <w:t xml:space="preserve"> has made </w:t>
      </w:r>
      <w:r w:rsidR="00531E21" w:rsidRPr="004928A5">
        <w:rPr>
          <w:rFonts w:ascii="Humnst777 Lt BT" w:hAnsi="Humnst777 Lt BT"/>
          <w:szCs w:val="24"/>
        </w:rPr>
        <w:t xml:space="preserve">significant </w:t>
      </w:r>
      <w:r w:rsidRPr="004928A5">
        <w:rPr>
          <w:rFonts w:ascii="Humnst777 Lt BT" w:hAnsi="Humnst777 Lt BT"/>
          <w:szCs w:val="24"/>
        </w:rPr>
        <w:t xml:space="preserve">progress since its inception in 2018. Policy objectives have been met to some extent but there is more that can be done. The objectives remain appropriate but there is scope to reconfigure how they are best met, which </w:t>
      </w:r>
      <w:r w:rsidR="001B20C5">
        <w:rPr>
          <w:rFonts w:ascii="Humnst777 Lt BT" w:hAnsi="Humnst777 Lt BT"/>
          <w:szCs w:val="24"/>
        </w:rPr>
        <w:t xml:space="preserve">has been </w:t>
      </w:r>
      <w:r w:rsidRPr="004928A5">
        <w:rPr>
          <w:rFonts w:ascii="Humnst777 Lt BT" w:hAnsi="Humnst777 Lt BT"/>
          <w:szCs w:val="24"/>
        </w:rPr>
        <w:t xml:space="preserve">looked at in the forward-looking part of the review: </w:t>
      </w:r>
    </w:p>
    <w:p w14:paraId="0849F30E" w14:textId="49461198" w:rsidR="00651334" w:rsidRPr="00881A84" w:rsidRDefault="00651334" w:rsidP="000944DC">
      <w:pPr>
        <w:pStyle w:val="ListParagraph"/>
        <w:numPr>
          <w:ilvl w:val="0"/>
          <w:numId w:val="36"/>
        </w:numPr>
        <w:spacing w:after="160" w:line="360" w:lineRule="auto"/>
        <w:rPr>
          <w:rFonts w:ascii="Humnst777 Lt BT" w:hAnsi="Humnst777 Lt BT"/>
          <w:szCs w:val="24"/>
        </w:rPr>
      </w:pPr>
      <w:r w:rsidRPr="008A0B4B">
        <w:rPr>
          <w:rFonts w:ascii="Humnst777 Lt BT" w:hAnsi="Humnst777 Lt BT"/>
          <w:b/>
          <w:bCs/>
          <w:szCs w:val="24"/>
        </w:rPr>
        <w:t xml:space="preserve">Consistency of </w:t>
      </w:r>
      <w:r>
        <w:rPr>
          <w:rFonts w:ascii="Humnst777 Lt BT" w:hAnsi="Humnst777 Lt BT"/>
          <w:b/>
          <w:bCs/>
          <w:szCs w:val="24"/>
        </w:rPr>
        <w:t xml:space="preserve">professional body supervisor </w:t>
      </w:r>
      <w:r w:rsidRPr="008A0B4B">
        <w:rPr>
          <w:rFonts w:ascii="Humnst777 Lt BT" w:hAnsi="Humnst777 Lt BT"/>
          <w:b/>
          <w:bCs/>
          <w:szCs w:val="24"/>
        </w:rPr>
        <w:t>approach to supervision</w:t>
      </w:r>
      <w:r w:rsidRPr="00C67F4D">
        <w:rPr>
          <w:rFonts w:ascii="Humnst777 Lt BT" w:hAnsi="Humnst777 Lt BT"/>
          <w:szCs w:val="24"/>
        </w:rPr>
        <w:t xml:space="preserve"> is still limited, despite many improvements that have been seen. OPBAS ha</w:t>
      </w:r>
      <w:r w:rsidR="00597D7A">
        <w:rPr>
          <w:rFonts w:ascii="Humnst777 Lt BT" w:hAnsi="Humnst777 Lt BT"/>
          <w:szCs w:val="24"/>
        </w:rPr>
        <w:t>s</w:t>
      </w:r>
      <w:r w:rsidRPr="00C67F4D">
        <w:rPr>
          <w:rFonts w:ascii="Humnst777 Lt BT" w:hAnsi="Humnst777 Lt BT"/>
          <w:szCs w:val="24"/>
        </w:rPr>
        <w:t xml:space="preserve"> further to go in this area to meet the policy objective of the Regulations.</w:t>
      </w:r>
    </w:p>
    <w:p w14:paraId="17FE210D" w14:textId="77777777" w:rsidR="00651334" w:rsidRPr="00C67F4D" w:rsidRDefault="00651334" w:rsidP="000944DC">
      <w:pPr>
        <w:pStyle w:val="ListParagraph"/>
        <w:numPr>
          <w:ilvl w:val="0"/>
          <w:numId w:val="36"/>
        </w:numPr>
        <w:spacing w:after="160" w:line="360" w:lineRule="auto"/>
        <w:rPr>
          <w:rFonts w:ascii="Humnst777 Lt BT" w:hAnsi="Humnst777 Lt BT"/>
          <w:szCs w:val="24"/>
        </w:rPr>
      </w:pPr>
      <w:r w:rsidRPr="008A0B4B">
        <w:rPr>
          <w:rFonts w:ascii="Humnst777 Lt BT" w:hAnsi="Humnst777 Lt BT"/>
          <w:b/>
          <w:bCs/>
          <w:szCs w:val="24"/>
        </w:rPr>
        <w:t>Information and intelligence sharing</w:t>
      </w:r>
      <w:r w:rsidRPr="00C67F4D">
        <w:rPr>
          <w:rFonts w:ascii="Humnst777 Lt BT" w:hAnsi="Humnst777 Lt BT"/>
          <w:szCs w:val="24"/>
        </w:rPr>
        <w:t xml:space="preserve"> has improved significantly, much as a result of the work OPBAS has done in creating, and encouraging use of, sharing forums. </w:t>
      </w:r>
    </w:p>
    <w:p w14:paraId="0B46B5B6" w14:textId="1579337B" w:rsidR="00651334" w:rsidRPr="00C67F4D" w:rsidRDefault="00651334" w:rsidP="75C79BD9">
      <w:pPr>
        <w:pStyle w:val="ListParagraph"/>
        <w:numPr>
          <w:ilvl w:val="0"/>
          <w:numId w:val="36"/>
        </w:numPr>
        <w:spacing w:after="160" w:line="360" w:lineRule="auto"/>
        <w:rPr>
          <w:rFonts w:ascii="Humnst777 Lt BT" w:hAnsi="Humnst777 Lt BT"/>
        </w:rPr>
      </w:pPr>
      <w:r w:rsidRPr="75C79BD9">
        <w:rPr>
          <w:rFonts w:ascii="Humnst777 Lt BT" w:hAnsi="Humnst777 Lt BT"/>
        </w:rPr>
        <w:t xml:space="preserve">There have been </w:t>
      </w:r>
      <w:r w:rsidRPr="75C79BD9">
        <w:rPr>
          <w:rFonts w:ascii="Humnst777 Lt BT" w:hAnsi="Humnst777 Lt BT"/>
          <w:b/>
          <w:bCs/>
        </w:rPr>
        <w:t>clear improvements to the UK supervisory regime and PBS compliance with the MLRs</w:t>
      </w:r>
      <w:r w:rsidRPr="75C79BD9">
        <w:rPr>
          <w:rFonts w:ascii="Humnst777 Lt BT" w:hAnsi="Humnst777 Lt BT"/>
        </w:rPr>
        <w:t xml:space="preserve">, reflected in sector feedback </w:t>
      </w:r>
      <w:r w:rsidR="000D79AF" w:rsidRPr="75C79BD9">
        <w:rPr>
          <w:rFonts w:ascii="Humnst777 Lt BT" w:hAnsi="Humnst777 Lt BT"/>
        </w:rPr>
        <w:t xml:space="preserve">in the Call for Evidence </w:t>
      </w:r>
      <w:r w:rsidRPr="75C79BD9">
        <w:rPr>
          <w:rFonts w:ascii="Humnst777 Lt BT" w:hAnsi="Humnst777 Lt BT"/>
        </w:rPr>
        <w:t xml:space="preserve">and </w:t>
      </w:r>
      <w:r w:rsidR="00ED251E" w:rsidRPr="75C79BD9">
        <w:rPr>
          <w:rFonts w:ascii="Humnst777 Lt BT" w:hAnsi="Humnst777 Lt BT"/>
        </w:rPr>
        <w:t>an increase</w:t>
      </w:r>
      <w:r w:rsidRPr="75C79BD9">
        <w:rPr>
          <w:rFonts w:ascii="Humnst777 Lt BT" w:hAnsi="Humnst777 Lt BT"/>
        </w:rPr>
        <w:t xml:space="preserve"> in </w:t>
      </w:r>
      <w:r w:rsidR="000D79AF" w:rsidRPr="75C79BD9">
        <w:rPr>
          <w:rFonts w:ascii="Humnst777 Lt BT" w:hAnsi="Humnst777 Lt BT"/>
        </w:rPr>
        <w:t>ov</w:t>
      </w:r>
      <w:r w:rsidR="00ED251E" w:rsidRPr="75C79BD9">
        <w:rPr>
          <w:rFonts w:ascii="Humnst777 Lt BT" w:hAnsi="Humnst777 Lt BT"/>
        </w:rPr>
        <w:t>er</w:t>
      </w:r>
      <w:r w:rsidR="000D79AF" w:rsidRPr="75C79BD9">
        <w:rPr>
          <w:rFonts w:ascii="Humnst777 Lt BT" w:hAnsi="Humnst777 Lt BT"/>
        </w:rPr>
        <w:t xml:space="preserve">all </w:t>
      </w:r>
      <w:r w:rsidRPr="75C79BD9">
        <w:rPr>
          <w:rFonts w:ascii="Humnst777 Lt BT" w:hAnsi="Humnst777 Lt BT"/>
        </w:rPr>
        <w:t>enforcement</w:t>
      </w:r>
      <w:r w:rsidR="00ED251E" w:rsidRPr="75C79BD9">
        <w:rPr>
          <w:rFonts w:ascii="Humnst777 Lt BT" w:hAnsi="Humnst777 Lt BT"/>
        </w:rPr>
        <w:t xml:space="preserve"> against </w:t>
      </w:r>
      <w:r w:rsidR="006F3513" w:rsidRPr="75C79BD9">
        <w:rPr>
          <w:rFonts w:ascii="Humnst777 Lt BT" w:hAnsi="Humnst777 Lt BT"/>
        </w:rPr>
        <w:t>breaches of the MLRs by regulated entities</w:t>
      </w:r>
      <w:r w:rsidRPr="75C79BD9">
        <w:rPr>
          <w:rFonts w:ascii="Humnst777 Lt BT" w:hAnsi="Humnst777 Lt BT"/>
        </w:rPr>
        <w:t>. Policy objectives in this area have been largely met, with the need for a continued focus on overall effectiveness rather than compliance moving forward.</w:t>
      </w:r>
    </w:p>
    <w:p w14:paraId="5349911C" w14:textId="262F88D7" w:rsidR="005454D9" w:rsidRDefault="005454D9" w:rsidP="00531E21">
      <w:pPr>
        <w:spacing w:line="360" w:lineRule="auto"/>
        <w:rPr>
          <w:rFonts w:ascii="Humnst777 Lt BT" w:hAnsi="Humnst777 Lt BT"/>
          <w:szCs w:val="24"/>
        </w:rPr>
      </w:pPr>
    </w:p>
    <w:p w14:paraId="3385A4F8" w14:textId="77777777" w:rsidR="005454D9" w:rsidRDefault="005454D9" w:rsidP="005454D9">
      <w:pPr>
        <w:spacing w:line="480" w:lineRule="auto"/>
        <w:rPr>
          <w:rFonts w:ascii="Humnst777 Lt BT" w:hAnsi="Humnst777 Lt BT"/>
          <w:szCs w:val="24"/>
        </w:rPr>
      </w:pPr>
    </w:p>
    <w:p w14:paraId="08A16AAA" w14:textId="77777777" w:rsidR="005454D9" w:rsidRDefault="005454D9" w:rsidP="00651334">
      <w:pPr>
        <w:rPr>
          <w:rFonts w:ascii="Humnst777 Lt BT" w:hAnsi="Humnst777 Lt BT"/>
          <w:szCs w:val="24"/>
        </w:rPr>
      </w:pPr>
    </w:p>
    <w:p w14:paraId="34F4B163" w14:textId="77777777" w:rsidR="00651334" w:rsidRDefault="00651334" w:rsidP="00651334">
      <w:pPr>
        <w:rPr>
          <w:rFonts w:ascii="Humnst777 Lt BT" w:hAnsi="Humnst777 Lt BT"/>
          <w:szCs w:val="24"/>
        </w:rPr>
      </w:pPr>
    </w:p>
    <w:p w14:paraId="4F85A6CF" w14:textId="05D34C3E" w:rsidR="00651334" w:rsidRPr="000B79C2" w:rsidRDefault="001F276E" w:rsidP="00651334">
      <w:pPr>
        <w:rPr>
          <w:rFonts w:ascii="Humnst777 Lt BT" w:hAnsi="Humnst777 Lt BT"/>
          <w:b/>
          <w:bCs/>
          <w:szCs w:val="24"/>
          <w:u w:val="single"/>
        </w:rPr>
      </w:pPr>
      <w:r>
        <w:rPr>
          <w:rFonts w:ascii="Humnst777 Lt BT" w:hAnsi="Humnst777 Lt BT"/>
          <w:b/>
          <w:bCs/>
          <w:szCs w:val="24"/>
          <w:u w:val="single"/>
        </w:rPr>
        <w:br w:type="page"/>
      </w:r>
    </w:p>
    <w:p w14:paraId="555D2638" w14:textId="7603B33C" w:rsidR="00651334" w:rsidRPr="00737348" w:rsidRDefault="00651334" w:rsidP="00737348">
      <w:pPr>
        <w:pStyle w:val="Heading1"/>
        <w:rPr>
          <w:rFonts w:ascii="Humnst777 Lt BT" w:hAnsi="Humnst777 Lt BT"/>
        </w:rPr>
      </w:pPr>
      <w:bookmarkStart w:id="27" w:name="_Toc104977804"/>
      <w:bookmarkStart w:id="28" w:name="_Toc545383397"/>
      <w:r w:rsidRPr="00737348">
        <w:rPr>
          <w:rFonts w:ascii="Humnst777 Lt BT" w:hAnsi="Humnst777 Lt BT"/>
        </w:rPr>
        <w:lastRenderedPageBreak/>
        <w:t>Evidence</w:t>
      </w:r>
      <w:r w:rsidR="006A1B70" w:rsidRPr="00737348">
        <w:rPr>
          <w:rFonts w:ascii="Humnst777 Lt BT" w:hAnsi="Humnst777 Lt BT"/>
        </w:rPr>
        <w:t xml:space="preserve"> used to inform this PIR</w:t>
      </w:r>
      <w:bookmarkEnd w:id="27"/>
      <w:r w:rsidRPr="00737348">
        <w:rPr>
          <w:rFonts w:ascii="Humnst777 Lt BT" w:hAnsi="Humnst777 Lt BT"/>
        </w:rPr>
        <w:t xml:space="preserve"> </w:t>
      </w:r>
      <w:bookmarkEnd w:id="28"/>
    </w:p>
    <w:p w14:paraId="1822DD09" w14:textId="77777777" w:rsidR="008869CC" w:rsidRDefault="000B79C2" w:rsidP="00BD3CFA">
      <w:pPr>
        <w:numPr>
          <w:ilvl w:val="0"/>
          <w:numId w:val="66"/>
        </w:numPr>
        <w:spacing w:after="160" w:line="360" w:lineRule="auto"/>
        <w:jc w:val="both"/>
        <w:rPr>
          <w:rFonts w:ascii="Humnst777 Lt BT" w:hAnsi="Humnst777 Lt BT"/>
          <w:szCs w:val="24"/>
        </w:rPr>
      </w:pPr>
      <w:r w:rsidRPr="000B79C2">
        <w:rPr>
          <w:rFonts w:ascii="Humnst777 Lt BT" w:hAnsi="Humnst777 Lt BT"/>
          <w:szCs w:val="24"/>
        </w:rPr>
        <w:t xml:space="preserve">The PIR </w:t>
      </w:r>
      <w:r w:rsidR="00562F64">
        <w:rPr>
          <w:rFonts w:ascii="Humnst777 Lt BT" w:hAnsi="Humnst777 Lt BT"/>
          <w:szCs w:val="24"/>
        </w:rPr>
        <w:t>has</w:t>
      </w:r>
      <w:r w:rsidRPr="000B79C2">
        <w:rPr>
          <w:rFonts w:ascii="Humnst777 Lt BT" w:hAnsi="Humnst777 Lt BT"/>
          <w:szCs w:val="24"/>
        </w:rPr>
        <w:t xml:space="preserve"> draw</w:t>
      </w:r>
      <w:r w:rsidR="00562F64">
        <w:rPr>
          <w:rFonts w:ascii="Humnst777 Lt BT" w:hAnsi="Humnst777 Lt BT"/>
          <w:szCs w:val="24"/>
        </w:rPr>
        <w:t>n</w:t>
      </w:r>
      <w:r w:rsidRPr="000B79C2">
        <w:rPr>
          <w:rFonts w:ascii="Humnst777 Lt BT" w:hAnsi="Humnst777 Lt BT"/>
          <w:szCs w:val="24"/>
        </w:rPr>
        <w:t xml:space="preserve"> on</w:t>
      </w:r>
      <w:r w:rsidR="00564BF1">
        <w:rPr>
          <w:rFonts w:ascii="Humnst777 Lt BT" w:hAnsi="Humnst777 Lt BT"/>
          <w:szCs w:val="24"/>
        </w:rPr>
        <w:t xml:space="preserve"> a number of different sources of evidence to </w:t>
      </w:r>
      <w:r w:rsidR="00562F64">
        <w:rPr>
          <w:rFonts w:ascii="Humnst777 Lt BT" w:hAnsi="Humnst777 Lt BT"/>
          <w:szCs w:val="24"/>
        </w:rPr>
        <w:t xml:space="preserve">evaluate the </w:t>
      </w:r>
      <w:r w:rsidR="00837D16">
        <w:rPr>
          <w:rFonts w:ascii="Humnst777 Lt BT" w:hAnsi="Humnst777 Lt BT"/>
          <w:szCs w:val="24"/>
        </w:rPr>
        <w:t xml:space="preserve">extent to which the OPBAS </w:t>
      </w:r>
      <w:r w:rsidR="00D52196">
        <w:rPr>
          <w:rFonts w:ascii="Humnst777 Lt BT" w:hAnsi="Humnst777 Lt BT"/>
          <w:szCs w:val="24"/>
        </w:rPr>
        <w:t xml:space="preserve">Regulations have met their objectives. </w:t>
      </w:r>
      <w:r w:rsidR="00C27048">
        <w:rPr>
          <w:rFonts w:ascii="Humnst777 Lt BT" w:hAnsi="Humnst777 Lt BT"/>
          <w:szCs w:val="24"/>
        </w:rPr>
        <w:t xml:space="preserve">The primary sources </w:t>
      </w:r>
      <w:r w:rsidR="00064AD4">
        <w:rPr>
          <w:rFonts w:ascii="Humnst777 Lt BT" w:hAnsi="Humnst777 Lt BT"/>
          <w:szCs w:val="24"/>
        </w:rPr>
        <w:t xml:space="preserve">that have </w:t>
      </w:r>
      <w:r w:rsidR="004B30A7">
        <w:rPr>
          <w:rFonts w:ascii="Humnst777 Lt BT" w:hAnsi="Humnst777 Lt BT"/>
          <w:szCs w:val="24"/>
        </w:rPr>
        <w:t xml:space="preserve">been used to </w:t>
      </w:r>
      <w:r w:rsidR="00B76B69">
        <w:rPr>
          <w:rFonts w:ascii="Humnst777 Lt BT" w:hAnsi="Humnst777 Lt BT"/>
          <w:szCs w:val="24"/>
        </w:rPr>
        <w:t>inform</w:t>
      </w:r>
      <w:r w:rsidR="00064AD4">
        <w:rPr>
          <w:rFonts w:ascii="Humnst777 Lt BT" w:hAnsi="Humnst777 Lt BT"/>
          <w:szCs w:val="24"/>
        </w:rPr>
        <w:t xml:space="preserve"> the PIR are set out below</w:t>
      </w:r>
      <w:r w:rsidR="008869CC">
        <w:rPr>
          <w:rFonts w:ascii="Humnst777 Lt BT" w:hAnsi="Humnst777 Lt BT"/>
          <w:szCs w:val="24"/>
        </w:rPr>
        <w:t>:</w:t>
      </w:r>
    </w:p>
    <w:p w14:paraId="5960C161" w14:textId="77777777" w:rsidR="008869CC" w:rsidRPr="00737348" w:rsidRDefault="00B76B69" w:rsidP="00737348">
      <w:pPr>
        <w:pStyle w:val="Heading2"/>
        <w:rPr>
          <w:rFonts w:ascii="Humnst777 Lt BT" w:hAnsi="Humnst777 Lt BT"/>
        </w:rPr>
      </w:pPr>
      <w:bookmarkStart w:id="29" w:name="_Toc1100671606"/>
      <w:bookmarkStart w:id="30" w:name="_Toc104977805"/>
      <w:r w:rsidRPr="00737348">
        <w:rPr>
          <w:rFonts w:ascii="Humnst777 Lt BT" w:hAnsi="Humnst777 Lt BT"/>
        </w:rPr>
        <w:t>OPBAS reports</w:t>
      </w:r>
      <w:bookmarkEnd w:id="29"/>
      <w:bookmarkEnd w:id="30"/>
    </w:p>
    <w:p w14:paraId="4BB71DD8" w14:textId="201DD34E" w:rsidR="00715566" w:rsidRDefault="00715566" w:rsidP="75C79BD9">
      <w:pPr>
        <w:numPr>
          <w:ilvl w:val="0"/>
          <w:numId w:val="66"/>
        </w:numPr>
        <w:spacing w:after="160" w:line="360" w:lineRule="auto"/>
        <w:jc w:val="both"/>
        <w:rPr>
          <w:rFonts w:ascii="Humnst777 Lt BT" w:hAnsi="Humnst777 Lt BT"/>
        </w:rPr>
      </w:pPr>
      <w:r w:rsidRPr="75C79BD9">
        <w:rPr>
          <w:rFonts w:ascii="Humnst777 Lt BT" w:hAnsi="Humnst777 Lt BT"/>
        </w:rPr>
        <w:t>Annex B sets out a summary of the key findings from OPBAS reports, which demonstrate improvement across several measures of compliance with the MLRs and of effective supervision.</w:t>
      </w:r>
    </w:p>
    <w:p w14:paraId="562D8A70" w14:textId="3CBF4305" w:rsidR="002A160C" w:rsidRPr="00737348" w:rsidRDefault="002A160C" w:rsidP="00737348">
      <w:pPr>
        <w:pStyle w:val="Heading2"/>
        <w:rPr>
          <w:rFonts w:ascii="Humnst777 Lt BT" w:hAnsi="Humnst777 Lt BT"/>
        </w:rPr>
      </w:pPr>
      <w:bookmarkStart w:id="31" w:name="_Toc1092158983"/>
      <w:bookmarkStart w:id="32" w:name="_Toc104977806"/>
      <w:r w:rsidRPr="00737348">
        <w:rPr>
          <w:rFonts w:ascii="Humnst777 Lt BT" w:hAnsi="Humnst777 Lt BT"/>
        </w:rPr>
        <w:t>Regulation 46A reports</w:t>
      </w:r>
      <w:bookmarkEnd w:id="31"/>
      <w:bookmarkEnd w:id="32"/>
    </w:p>
    <w:p w14:paraId="54709D96" w14:textId="366903DC" w:rsidR="00B76B69" w:rsidRPr="00FD107E" w:rsidRDefault="00B76B69" w:rsidP="00BD3CFA">
      <w:pPr>
        <w:pStyle w:val="ListParagraph"/>
        <w:numPr>
          <w:ilvl w:val="0"/>
          <w:numId w:val="66"/>
        </w:numPr>
        <w:spacing w:line="360" w:lineRule="auto"/>
        <w:jc w:val="both"/>
        <w:rPr>
          <w:rFonts w:ascii="Humnst777 Lt BT" w:hAnsi="Humnst777 Lt BT"/>
          <w:szCs w:val="24"/>
        </w:rPr>
      </w:pPr>
      <w:r w:rsidRPr="00FD107E">
        <w:rPr>
          <w:rFonts w:ascii="Humnst777 Lt BT" w:hAnsi="Humnst777 Lt BT"/>
          <w:szCs w:val="24"/>
        </w:rPr>
        <w:t>Under Regulation 46A, PBSs are required to publish an annual report containing information on the supervision of their regulated populations. The first iterations of the Regulation 46A reports were published by November 2021. OPBAS</w:t>
      </w:r>
      <w:r w:rsidR="002A160C">
        <w:rPr>
          <w:rFonts w:ascii="Humnst777 Lt BT" w:hAnsi="Humnst777 Lt BT"/>
          <w:szCs w:val="24"/>
        </w:rPr>
        <w:t xml:space="preserve"> and HMT</w:t>
      </w:r>
      <w:r w:rsidRPr="00FD107E">
        <w:rPr>
          <w:rFonts w:ascii="Humnst777 Lt BT" w:hAnsi="Humnst777 Lt BT"/>
          <w:szCs w:val="24"/>
        </w:rPr>
        <w:t xml:space="preserve"> published a</w:t>
      </w:r>
      <w:r w:rsidR="002A160C">
        <w:rPr>
          <w:rFonts w:ascii="Humnst777 Lt BT" w:hAnsi="Humnst777 Lt BT"/>
          <w:szCs w:val="24"/>
        </w:rPr>
        <w:t xml:space="preserve"> joint</w:t>
      </w:r>
      <w:r w:rsidRPr="00FD107E">
        <w:rPr>
          <w:rFonts w:ascii="Humnst777 Lt BT" w:hAnsi="Humnst777 Lt BT"/>
          <w:szCs w:val="24"/>
        </w:rPr>
        <w:t xml:space="preserve"> update with some guidance on what should be included in these reports, following on from a workshop that helped lay out expectations for what the reports should look like.</w:t>
      </w:r>
    </w:p>
    <w:p w14:paraId="4D8E976F" w14:textId="166564F1" w:rsidR="00B76B69" w:rsidRPr="00737348" w:rsidRDefault="04DF6870" w:rsidP="00737348">
      <w:pPr>
        <w:pStyle w:val="Heading2"/>
        <w:rPr>
          <w:rFonts w:ascii="Humnst777 Lt BT" w:hAnsi="Humnst777 Lt BT"/>
        </w:rPr>
      </w:pPr>
      <w:bookmarkStart w:id="33" w:name="_Toc469152878"/>
      <w:bookmarkStart w:id="34" w:name="_Toc104977807"/>
      <w:r w:rsidRPr="6BD975F8">
        <w:rPr>
          <w:rFonts w:ascii="Humnst777 Lt BT" w:hAnsi="Humnst777 Lt BT"/>
        </w:rPr>
        <w:t>I</w:t>
      </w:r>
      <w:r w:rsidR="6BF43E32" w:rsidRPr="6BD975F8">
        <w:rPr>
          <w:rFonts w:ascii="Humnst777 Lt BT" w:hAnsi="Humnst777 Lt BT"/>
        </w:rPr>
        <w:t xml:space="preserve">ntelligence </w:t>
      </w:r>
      <w:r w:rsidRPr="6BD975F8">
        <w:rPr>
          <w:rFonts w:ascii="Humnst777 Lt BT" w:hAnsi="Humnst777 Lt BT"/>
        </w:rPr>
        <w:t>S</w:t>
      </w:r>
      <w:r w:rsidR="6BF43E32" w:rsidRPr="6BD975F8">
        <w:rPr>
          <w:rFonts w:ascii="Humnst777 Lt BT" w:hAnsi="Humnst777 Lt BT"/>
        </w:rPr>
        <w:t xml:space="preserve">haring </w:t>
      </w:r>
      <w:r w:rsidRPr="6BD975F8">
        <w:rPr>
          <w:rFonts w:ascii="Humnst777 Lt BT" w:hAnsi="Humnst777 Lt BT"/>
        </w:rPr>
        <w:t>E</w:t>
      </w:r>
      <w:r w:rsidR="6BF43E32" w:rsidRPr="6BD975F8">
        <w:rPr>
          <w:rFonts w:ascii="Humnst777 Lt BT" w:hAnsi="Humnst777 Lt BT"/>
        </w:rPr>
        <w:t xml:space="preserve">xpert </w:t>
      </w:r>
      <w:r w:rsidRPr="6BD975F8">
        <w:rPr>
          <w:rFonts w:ascii="Humnst777 Lt BT" w:hAnsi="Humnst777 Lt BT"/>
        </w:rPr>
        <w:t>W</w:t>
      </w:r>
      <w:r w:rsidR="6BF43E32" w:rsidRPr="6BD975F8">
        <w:rPr>
          <w:rFonts w:ascii="Humnst777 Lt BT" w:hAnsi="Humnst777 Lt BT"/>
        </w:rPr>
        <w:t xml:space="preserve">orking </w:t>
      </w:r>
      <w:r w:rsidRPr="6BD975F8">
        <w:rPr>
          <w:rFonts w:ascii="Humnst777 Lt BT" w:hAnsi="Humnst777 Lt BT"/>
        </w:rPr>
        <w:t>G</w:t>
      </w:r>
      <w:r w:rsidR="6BF43E32" w:rsidRPr="6BD975F8">
        <w:rPr>
          <w:rFonts w:ascii="Humnst777 Lt BT" w:hAnsi="Humnst777 Lt BT"/>
        </w:rPr>
        <w:t>roup (ISEWG</w:t>
      </w:r>
      <w:r w:rsidRPr="6BD975F8">
        <w:rPr>
          <w:rFonts w:ascii="Humnst777 Lt BT" w:hAnsi="Humnst777 Lt BT"/>
        </w:rPr>
        <w:t>s</w:t>
      </w:r>
      <w:r w:rsidR="6BF43E32" w:rsidRPr="6BD975F8">
        <w:rPr>
          <w:rFonts w:ascii="Humnst777 Lt BT" w:hAnsi="Humnst777 Lt BT"/>
        </w:rPr>
        <w:t>)</w:t>
      </w:r>
      <w:bookmarkEnd w:id="33"/>
      <w:bookmarkEnd w:id="34"/>
    </w:p>
    <w:p w14:paraId="5835D7F0" w14:textId="3C72C06A" w:rsidR="0068543A" w:rsidRDefault="04DF6870"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 xml:space="preserve">OPBAS established the accountancy and legal ISEWGs in conjunction with the National Economic Crime Centre (NECC) in 2018 and 2019 respectively. </w:t>
      </w:r>
      <w:r w:rsidR="7091A749" w:rsidRPr="6BD975F8">
        <w:rPr>
          <w:rFonts w:ascii="Humnst777 Lt BT" w:hAnsi="Humnst777 Lt BT"/>
        </w:rPr>
        <w:t>This was in order to address an identified gap</w:t>
      </w:r>
      <w:r w:rsidR="009F23C1">
        <w:rPr>
          <w:rFonts w:ascii="Humnst777 Lt BT" w:hAnsi="Humnst777 Lt BT"/>
        </w:rPr>
        <w:t xml:space="preserve"> </w:t>
      </w:r>
      <w:r w:rsidR="33516189" w:rsidRPr="6BD975F8">
        <w:rPr>
          <w:rFonts w:ascii="Humnst777 Lt BT" w:hAnsi="Humnst777 Lt BT"/>
        </w:rPr>
        <w:t>in information and intelligence</w:t>
      </w:r>
      <w:r w:rsidR="758A3BB6" w:rsidRPr="6BD975F8">
        <w:rPr>
          <w:rFonts w:ascii="Humnst777 Lt BT" w:hAnsi="Humnst777 Lt BT"/>
        </w:rPr>
        <w:t xml:space="preserve"> </w:t>
      </w:r>
      <w:r w:rsidR="33516189" w:rsidRPr="6BD975F8">
        <w:rPr>
          <w:rFonts w:ascii="Humnst777 Lt BT" w:hAnsi="Humnst777 Lt BT"/>
        </w:rPr>
        <w:t>sharing between the PBSs and law enforcement and to help address supervisory deficiencies, both of</w:t>
      </w:r>
      <w:r w:rsidR="0AB51573" w:rsidRPr="6BD975F8">
        <w:rPr>
          <w:rFonts w:ascii="Humnst777 Lt BT" w:hAnsi="Humnst777 Lt BT"/>
        </w:rPr>
        <w:t xml:space="preserve"> which have been found to be a barrier of effective AML/CTF supervision</w:t>
      </w:r>
      <w:r w:rsidR="758A3BB6" w:rsidRPr="6BD975F8">
        <w:rPr>
          <w:rFonts w:ascii="Humnst777 Lt BT" w:hAnsi="Humnst777 Lt BT"/>
        </w:rPr>
        <w:t>.</w:t>
      </w:r>
      <w:r w:rsidR="11B062EE" w:rsidRPr="6BD975F8">
        <w:rPr>
          <w:rFonts w:ascii="Humnst777 Lt BT" w:hAnsi="Humnst777 Lt BT"/>
        </w:rPr>
        <w:t xml:space="preserve"> </w:t>
      </w:r>
    </w:p>
    <w:p w14:paraId="725455A9" w14:textId="68441720" w:rsidR="00B76B69" w:rsidRPr="00B76B69" w:rsidRDefault="11B062EE" w:rsidP="6BD975F8">
      <w:pPr>
        <w:pStyle w:val="ListParagraph"/>
        <w:numPr>
          <w:ilvl w:val="0"/>
          <w:numId w:val="66"/>
        </w:numPr>
        <w:spacing w:after="160" w:line="360" w:lineRule="auto"/>
        <w:jc w:val="both"/>
        <w:rPr>
          <w:rFonts w:ascii="Humnst777 Lt BT" w:hAnsi="Humnst777 Lt BT"/>
        </w:rPr>
      </w:pPr>
      <w:r w:rsidRPr="6BD975F8">
        <w:rPr>
          <w:rFonts w:ascii="Humnst777 Lt BT" w:hAnsi="Humnst777 Lt BT"/>
        </w:rPr>
        <w:t xml:space="preserve">The </w:t>
      </w:r>
      <w:r w:rsidR="235C5A7F" w:rsidRPr="6BD975F8">
        <w:rPr>
          <w:rFonts w:ascii="Humnst777 Lt BT" w:hAnsi="Humnst777 Lt BT"/>
        </w:rPr>
        <w:t>purpose</w:t>
      </w:r>
      <w:r w:rsidR="48F88CD8" w:rsidRPr="6BD975F8">
        <w:rPr>
          <w:rFonts w:ascii="Humnst777 Lt BT" w:hAnsi="Humnst777 Lt BT"/>
        </w:rPr>
        <w:t xml:space="preserve"> </w:t>
      </w:r>
      <w:r w:rsidR="5705B9F2" w:rsidRPr="6BD975F8">
        <w:rPr>
          <w:rFonts w:ascii="Humnst777 Lt BT" w:hAnsi="Humnst777 Lt BT"/>
        </w:rPr>
        <w:t xml:space="preserve">of </w:t>
      </w:r>
      <w:r w:rsidR="235C5A7F" w:rsidRPr="6BD975F8">
        <w:rPr>
          <w:rFonts w:ascii="Humnst777 Lt BT" w:hAnsi="Humnst777 Lt BT"/>
        </w:rPr>
        <w:t>the</w:t>
      </w:r>
      <w:r w:rsidR="0B0E3CA2" w:rsidRPr="6BD975F8">
        <w:rPr>
          <w:rFonts w:ascii="Humnst777 Lt BT" w:hAnsi="Humnst777 Lt BT"/>
        </w:rPr>
        <w:t xml:space="preserve"> ISEWGs has been to provide a strategic and tactical facilitation platform for PBSs, law enforcement, statutory supervisors and other agencies to s</w:t>
      </w:r>
      <w:r w:rsidR="0E7EACB7" w:rsidRPr="6BD975F8">
        <w:rPr>
          <w:rFonts w:ascii="Humnst777 Lt BT" w:hAnsi="Humnst777 Lt BT"/>
        </w:rPr>
        <w:t>ha</w:t>
      </w:r>
      <w:r w:rsidR="0B0E3CA2" w:rsidRPr="6BD975F8">
        <w:rPr>
          <w:rFonts w:ascii="Humnst777 Lt BT" w:hAnsi="Humnst777 Lt BT"/>
        </w:rPr>
        <w:t>re intelligence and information</w:t>
      </w:r>
      <w:r w:rsidR="1699AFCD" w:rsidRPr="6BD975F8">
        <w:rPr>
          <w:rFonts w:ascii="Humnst777 Lt BT" w:hAnsi="Humnst777 Lt BT"/>
        </w:rPr>
        <w:t xml:space="preserve"> on risks and trends in their sectors and to increase engagement in wider threat assessments such as the National Risk Assessment</w:t>
      </w:r>
      <w:r w:rsidR="0E7EACB7" w:rsidRPr="6BD975F8">
        <w:rPr>
          <w:rFonts w:ascii="Humnst777 Lt BT" w:hAnsi="Humnst777 Lt BT"/>
        </w:rPr>
        <w:t>.</w:t>
      </w:r>
      <w:r w:rsidR="68C1B59B" w:rsidRPr="6BD975F8">
        <w:rPr>
          <w:rFonts w:ascii="Humnst777 Lt BT" w:hAnsi="Humnst777 Lt BT"/>
        </w:rPr>
        <w:t xml:space="preserve"> </w:t>
      </w:r>
    </w:p>
    <w:p w14:paraId="1B3CB931" w14:textId="5BB01812" w:rsidR="00B76B69" w:rsidRPr="00B76B69" w:rsidRDefault="04DF6870" w:rsidP="6BD975F8">
      <w:pPr>
        <w:pStyle w:val="ListParagraph"/>
        <w:numPr>
          <w:ilvl w:val="0"/>
          <w:numId w:val="66"/>
        </w:numPr>
        <w:spacing w:after="160" w:line="360" w:lineRule="auto"/>
        <w:jc w:val="both"/>
        <w:rPr>
          <w:rFonts w:ascii="Humnst777 Lt BT" w:hAnsi="Humnst777 Lt BT"/>
        </w:rPr>
      </w:pPr>
      <w:r w:rsidRPr="6BD975F8">
        <w:rPr>
          <w:rFonts w:ascii="Humnst777 Lt BT" w:hAnsi="Humnst777 Lt BT"/>
        </w:rPr>
        <w:t>In 2020, PBS members of the accountancy ISEWG formed a sub-group with HMRC and the NECC to review key risk alerts to raise awareness and increase knowledge in their supervised populations. This has resulted in the dissemination of summarised intelligence and information sharing alerts to all PBS and HMRC supervised accountancy professionals.</w:t>
      </w:r>
    </w:p>
    <w:p w14:paraId="03993B1C" w14:textId="5CCC668B" w:rsidR="00B76B69" w:rsidRPr="00B76B69" w:rsidRDefault="5731FCB7" w:rsidP="6BD975F8">
      <w:pPr>
        <w:pStyle w:val="ListParagraph"/>
        <w:numPr>
          <w:ilvl w:val="0"/>
          <w:numId w:val="66"/>
        </w:numPr>
        <w:spacing w:after="160" w:line="360" w:lineRule="auto"/>
        <w:jc w:val="both"/>
        <w:rPr>
          <w:rFonts w:ascii="Humnst777 Lt BT" w:hAnsi="Humnst777 Lt BT"/>
        </w:rPr>
      </w:pPr>
      <w:r w:rsidRPr="7A398C72">
        <w:rPr>
          <w:rFonts w:ascii="Humnst777 Lt BT" w:hAnsi="Humnst777 Lt BT"/>
        </w:rPr>
        <w:t xml:space="preserve">Since the sub-group was formed, 8 accountancy PBSs have participated. As of June 2022, the accountancy sub-group has reviewed 32 NCA alerts resulting in 25 sector specific summaries </w:t>
      </w:r>
      <w:r w:rsidRPr="7A398C72">
        <w:rPr>
          <w:rFonts w:ascii="Humnst777 Lt BT" w:hAnsi="Humnst777 Lt BT"/>
        </w:rPr>
        <w:lastRenderedPageBreak/>
        <w:t xml:space="preserve">being cascaded to the accountancy sector. The group have also created 2 of their own alerts via the accountancy sector affinity group.  </w:t>
      </w:r>
    </w:p>
    <w:p w14:paraId="6C9AE529" w14:textId="298D2CD8" w:rsidR="00B76B69" w:rsidRPr="00B76B69" w:rsidRDefault="04DF6870" w:rsidP="6BD975F8">
      <w:pPr>
        <w:pStyle w:val="ListParagraph"/>
        <w:numPr>
          <w:ilvl w:val="0"/>
          <w:numId w:val="66"/>
        </w:numPr>
        <w:spacing w:after="160" w:line="360" w:lineRule="auto"/>
        <w:jc w:val="both"/>
        <w:rPr>
          <w:rFonts w:ascii="Humnst777 Lt BT" w:hAnsi="Humnst777 Lt BT"/>
        </w:rPr>
      </w:pPr>
      <w:r w:rsidRPr="6BD975F8">
        <w:rPr>
          <w:rFonts w:ascii="Humnst777 Lt BT" w:hAnsi="Humnst777 Lt BT"/>
        </w:rPr>
        <w:t>The ISEWGs are now on their 3</w:t>
      </w:r>
      <w:r w:rsidRPr="6BD975F8">
        <w:rPr>
          <w:rFonts w:ascii="Humnst777 Lt BT" w:hAnsi="Humnst777 Lt BT"/>
          <w:vertAlign w:val="superscript"/>
        </w:rPr>
        <w:t xml:space="preserve">rd </w:t>
      </w:r>
      <w:r w:rsidRPr="6BD975F8">
        <w:rPr>
          <w:rFonts w:ascii="Humnst777 Lt BT" w:hAnsi="Humnst777 Lt BT"/>
        </w:rPr>
        <w:t>chairmanship rotation having successfully moved from being chaired by OPBAS to being chaired by elected PBS members since 2020.</w:t>
      </w:r>
      <w:r w:rsidR="0047409B">
        <w:rPr>
          <w:rFonts w:ascii="Humnst777 Lt BT" w:hAnsi="Humnst777 Lt BT"/>
        </w:rPr>
        <w:t xml:space="preserve"> The legal sector ISEWG is currently chaired by the Law Society of Northern Ireland (LSNI), having been chaired by Law Society of Scotland (LSS). The accountancy ISEWG is now being chaired by the International Association of Bookkeepers (IAB), having been chaired by the Association of Chartered Certified Accountants (ACCA).</w:t>
      </w:r>
    </w:p>
    <w:p w14:paraId="0D713351" w14:textId="77777777" w:rsidR="00B76B69" w:rsidRPr="00737348" w:rsidRDefault="00B76B69" w:rsidP="00737348">
      <w:pPr>
        <w:pStyle w:val="Heading2"/>
        <w:rPr>
          <w:rFonts w:ascii="Humnst777 Lt BT" w:hAnsi="Humnst777 Lt BT"/>
        </w:rPr>
      </w:pPr>
      <w:bookmarkStart w:id="35" w:name="_Toc2117210745"/>
      <w:bookmarkStart w:id="36" w:name="_Toc104977808"/>
      <w:r w:rsidRPr="00737348">
        <w:rPr>
          <w:rFonts w:ascii="Humnst777 Lt BT" w:hAnsi="Humnst777 Lt BT"/>
        </w:rPr>
        <w:t>Supervision data and HMT supervision reports</w:t>
      </w:r>
      <w:bookmarkEnd w:id="35"/>
      <w:bookmarkEnd w:id="36"/>
    </w:p>
    <w:p w14:paraId="57FBA3E6" w14:textId="667EBF0A" w:rsidR="004C4397" w:rsidRPr="00915B42" w:rsidRDefault="713BDCF3" w:rsidP="00BD3CFA">
      <w:pPr>
        <w:pStyle w:val="ListParagraph"/>
        <w:numPr>
          <w:ilvl w:val="0"/>
          <w:numId w:val="66"/>
        </w:numPr>
        <w:spacing w:line="360" w:lineRule="auto"/>
        <w:jc w:val="both"/>
        <w:rPr>
          <w:rFonts w:ascii="Humnst777 Lt BT" w:hAnsi="Humnst777 Lt BT"/>
          <w:szCs w:val="24"/>
          <w:u w:val="single"/>
        </w:rPr>
      </w:pPr>
      <w:r w:rsidRPr="6BD975F8">
        <w:rPr>
          <w:rFonts w:ascii="Humnst777 Lt BT" w:hAnsi="Humnst777 Lt BT"/>
        </w:rPr>
        <w:t xml:space="preserve"> Supervision data </w:t>
      </w:r>
      <w:r w:rsidR="44EBAD56" w:rsidRPr="6BD975F8">
        <w:rPr>
          <w:rFonts w:ascii="Humnst777 Lt BT" w:hAnsi="Humnst777 Lt BT"/>
        </w:rPr>
        <w:t xml:space="preserve">is collected annually by HM Treasury and informs the annual supervision report. </w:t>
      </w:r>
    </w:p>
    <w:p w14:paraId="2773C910" w14:textId="7097DCCF" w:rsidR="00CF4A27" w:rsidRPr="00915B42" w:rsidRDefault="74D5FAA8" w:rsidP="00BD3CFA">
      <w:pPr>
        <w:pStyle w:val="ListParagraph"/>
        <w:numPr>
          <w:ilvl w:val="0"/>
          <w:numId w:val="66"/>
        </w:numPr>
        <w:spacing w:line="360" w:lineRule="auto"/>
        <w:jc w:val="both"/>
        <w:rPr>
          <w:rFonts w:ascii="Humnst777 Lt BT" w:hAnsi="Humnst777 Lt BT"/>
          <w:szCs w:val="24"/>
          <w:u w:val="single"/>
        </w:rPr>
      </w:pPr>
      <w:r w:rsidRPr="6BD975F8">
        <w:rPr>
          <w:rFonts w:ascii="Humnst777 Lt BT" w:hAnsi="Humnst777 Lt BT"/>
        </w:rPr>
        <w:t xml:space="preserve">The report provides analysis of </w:t>
      </w:r>
      <w:r w:rsidR="5F9C9556" w:rsidRPr="6BD975F8">
        <w:rPr>
          <w:rFonts w:ascii="Humnst777 Lt BT" w:hAnsi="Humnst777 Lt BT"/>
        </w:rPr>
        <w:t xml:space="preserve">annual figures, commenting on aspects of supervision, enforcement and information and intelligence sharing. </w:t>
      </w:r>
    </w:p>
    <w:p w14:paraId="6605C517" w14:textId="442B9B8F" w:rsidR="00B76B69" w:rsidRPr="00737348" w:rsidRDefault="00B76B69" w:rsidP="00737348">
      <w:pPr>
        <w:pStyle w:val="Heading2"/>
        <w:rPr>
          <w:rFonts w:ascii="Humnst777 Lt BT" w:hAnsi="Humnst777 Lt BT"/>
        </w:rPr>
      </w:pPr>
      <w:bookmarkStart w:id="37" w:name="_Toc1192296106"/>
      <w:bookmarkStart w:id="38" w:name="_Toc104977809"/>
      <w:r w:rsidRPr="00737348">
        <w:rPr>
          <w:rFonts w:ascii="Humnst777 Lt BT" w:hAnsi="Humnst777 Lt BT"/>
        </w:rPr>
        <w:t>MLRs Review Call for Evidence</w:t>
      </w:r>
      <w:bookmarkEnd w:id="37"/>
      <w:bookmarkEnd w:id="38"/>
    </w:p>
    <w:p w14:paraId="0667025D" w14:textId="0CE3B3AF" w:rsidR="00B76B69" w:rsidRPr="00B76B69" w:rsidRDefault="04DF6870" w:rsidP="00BD3CFA">
      <w:pPr>
        <w:pStyle w:val="ListParagraph"/>
        <w:numPr>
          <w:ilvl w:val="0"/>
          <w:numId w:val="66"/>
        </w:numPr>
        <w:spacing w:after="160" w:line="360" w:lineRule="auto"/>
        <w:jc w:val="both"/>
        <w:rPr>
          <w:rFonts w:ascii="Humnst777 Lt BT" w:hAnsi="Humnst777 Lt BT"/>
          <w:szCs w:val="24"/>
          <w:u w:val="single"/>
        </w:rPr>
      </w:pPr>
      <w:r w:rsidRPr="6BD975F8">
        <w:rPr>
          <w:rFonts w:ascii="Humnst777 Lt BT" w:hAnsi="Humnst777 Lt BT"/>
        </w:rPr>
        <w:t xml:space="preserve">The Call for Evidence responses have provided views from </w:t>
      </w:r>
      <w:r w:rsidR="5F010808" w:rsidRPr="6BD975F8">
        <w:rPr>
          <w:rFonts w:ascii="Humnst777 Lt BT" w:hAnsi="Humnst777 Lt BT"/>
        </w:rPr>
        <w:t xml:space="preserve">both supervisors and </w:t>
      </w:r>
      <w:r w:rsidRPr="6BD975F8">
        <w:rPr>
          <w:rFonts w:ascii="Humnst777 Lt BT" w:hAnsi="Humnst777 Lt BT"/>
        </w:rPr>
        <w:t xml:space="preserve">regulated </w:t>
      </w:r>
      <w:r w:rsidR="5F010808" w:rsidRPr="6BD975F8">
        <w:rPr>
          <w:rFonts w:ascii="Humnst777 Lt BT" w:hAnsi="Humnst777 Lt BT"/>
        </w:rPr>
        <w:t>entities</w:t>
      </w:r>
      <w:r w:rsidRPr="6BD975F8">
        <w:rPr>
          <w:rFonts w:ascii="Humnst777 Lt BT" w:hAnsi="Humnst777 Lt BT"/>
        </w:rPr>
        <w:t xml:space="preserve"> on the</w:t>
      </w:r>
      <w:r w:rsidR="5F010808" w:rsidRPr="6BD975F8">
        <w:rPr>
          <w:rFonts w:ascii="Humnst777 Lt BT" w:hAnsi="Humnst777 Lt BT"/>
        </w:rPr>
        <w:t xml:space="preserve"> progress and overall</w:t>
      </w:r>
      <w:r w:rsidRPr="6BD975F8">
        <w:rPr>
          <w:rFonts w:ascii="Humnst777 Lt BT" w:hAnsi="Humnst777 Lt BT"/>
        </w:rPr>
        <w:t xml:space="preserve"> effectiveness of OPBAS and whether </w:t>
      </w:r>
      <w:r w:rsidR="5F010808" w:rsidRPr="6BD975F8">
        <w:rPr>
          <w:rFonts w:ascii="Humnst777 Lt BT" w:hAnsi="Humnst777 Lt BT"/>
        </w:rPr>
        <w:t>OPBAS</w:t>
      </w:r>
      <w:r w:rsidRPr="6BD975F8">
        <w:rPr>
          <w:rFonts w:ascii="Humnst777 Lt BT" w:hAnsi="Humnst777 Lt BT"/>
        </w:rPr>
        <w:t xml:space="preserve"> have reached their objectives.</w:t>
      </w:r>
    </w:p>
    <w:p w14:paraId="471E80CE" w14:textId="7B9D6C33" w:rsidR="00CD0A32" w:rsidRPr="00BD3CFA" w:rsidRDefault="04DF6870" w:rsidP="00BD3CFA">
      <w:pPr>
        <w:pStyle w:val="ListParagraph"/>
        <w:numPr>
          <w:ilvl w:val="0"/>
          <w:numId w:val="66"/>
        </w:numPr>
        <w:spacing w:after="160" w:line="360" w:lineRule="auto"/>
        <w:jc w:val="both"/>
        <w:rPr>
          <w:rFonts w:ascii="Humnst777 Lt BT" w:hAnsi="Humnst777 Lt BT"/>
          <w:szCs w:val="24"/>
          <w:u w:val="single"/>
        </w:rPr>
      </w:pPr>
      <w:r w:rsidRPr="6BD975F8">
        <w:rPr>
          <w:rFonts w:ascii="Humnst777 Lt BT" w:hAnsi="Humnst777 Lt BT"/>
        </w:rPr>
        <w:t>The Call for Evidence has also invited views on whether the remit of OPBAS should be expanded.</w:t>
      </w:r>
    </w:p>
    <w:p w14:paraId="38B839BA" w14:textId="5BAA01D5" w:rsidR="00600F71" w:rsidRPr="00BD3CFA" w:rsidRDefault="65DEB11C" w:rsidP="00BD3CFA">
      <w:pPr>
        <w:pStyle w:val="ListParagraph"/>
        <w:numPr>
          <w:ilvl w:val="0"/>
          <w:numId w:val="66"/>
        </w:numPr>
        <w:spacing w:after="160" w:line="360" w:lineRule="auto"/>
        <w:jc w:val="both"/>
        <w:rPr>
          <w:rFonts w:ascii="Humnst777 Lt BT" w:hAnsi="Humnst777 Lt BT"/>
          <w:szCs w:val="24"/>
          <w:u w:val="single"/>
        </w:rPr>
      </w:pPr>
      <w:r w:rsidRPr="6BD975F8">
        <w:rPr>
          <w:rFonts w:ascii="Humnst777 Lt BT" w:hAnsi="Humnst777 Lt BT"/>
        </w:rPr>
        <w:t xml:space="preserve">The </w:t>
      </w:r>
      <w:r w:rsidR="0603C7D0" w:rsidRPr="6BD975F8">
        <w:rPr>
          <w:rFonts w:ascii="Humnst777 Lt BT" w:hAnsi="Humnst777 Lt BT"/>
        </w:rPr>
        <w:t>Call for Evidence</w:t>
      </w:r>
      <w:r w:rsidRPr="6BD975F8">
        <w:rPr>
          <w:rFonts w:ascii="Humnst777 Lt BT" w:hAnsi="Humnst777 Lt BT"/>
        </w:rPr>
        <w:t xml:space="preserve"> ran from July-October 2021 and received 94 responses, ranging across industry, AML/CFT supervisors, non-governmental organisations (NGOs), law enforcement and government departments. </w:t>
      </w:r>
    </w:p>
    <w:p w14:paraId="5C6A155E" w14:textId="40C94B3F" w:rsidR="00A64A38" w:rsidRPr="00BD3CFA" w:rsidRDefault="65DEB11C" w:rsidP="00BD3CFA">
      <w:pPr>
        <w:pStyle w:val="ListParagraph"/>
        <w:numPr>
          <w:ilvl w:val="0"/>
          <w:numId w:val="66"/>
        </w:numPr>
        <w:spacing w:after="160" w:line="360" w:lineRule="auto"/>
        <w:jc w:val="both"/>
        <w:rPr>
          <w:rFonts w:ascii="Humnst777 Lt BT" w:hAnsi="Humnst777 Lt BT"/>
          <w:szCs w:val="24"/>
        </w:rPr>
      </w:pPr>
      <w:r w:rsidRPr="6BD975F8">
        <w:rPr>
          <w:rFonts w:ascii="Humnst777 Lt BT" w:hAnsi="Humnst777 Lt BT"/>
        </w:rPr>
        <w:t>The Treasury conducted engagement sessions with industry groups, public sectors bodies and NGOs both in advance of the Call for Evidence to inform the scope and after it was published to support engagement and feedback in responses.</w:t>
      </w:r>
    </w:p>
    <w:p w14:paraId="7C10D6DC" w14:textId="77777777" w:rsidR="00B76B69" w:rsidRPr="00B76B69" w:rsidRDefault="00B76B69" w:rsidP="00B76B69">
      <w:pPr>
        <w:spacing w:after="160" w:line="259" w:lineRule="auto"/>
        <w:rPr>
          <w:rFonts w:ascii="Humnst777 Lt BT" w:hAnsi="Humnst777 Lt BT"/>
          <w:szCs w:val="24"/>
        </w:rPr>
      </w:pPr>
    </w:p>
    <w:p w14:paraId="29FC71F8" w14:textId="77777777" w:rsidR="0062048E" w:rsidRPr="00E77C54" w:rsidRDefault="0062048E" w:rsidP="00651334">
      <w:pPr>
        <w:rPr>
          <w:rFonts w:ascii="Humnst777 Lt BT" w:hAnsi="Humnst777 Lt BT"/>
          <w:szCs w:val="24"/>
          <w:u w:val="single"/>
        </w:rPr>
      </w:pPr>
    </w:p>
    <w:p w14:paraId="6266A586" w14:textId="77777777" w:rsidR="00CD0A32" w:rsidRDefault="00CD0A32">
      <w:pPr>
        <w:rPr>
          <w:rFonts w:ascii="Humnst777 Lt BT" w:hAnsi="Humnst777 Lt BT"/>
          <w:b/>
          <w:bCs/>
          <w:szCs w:val="24"/>
          <w:u w:val="single"/>
        </w:rPr>
      </w:pPr>
      <w:r>
        <w:rPr>
          <w:rFonts w:ascii="Humnst777 Lt BT" w:hAnsi="Humnst777 Lt BT"/>
          <w:b/>
          <w:bCs/>
          <w:szCs w:val="24"/>
          <w:u w:val="single"/>
        </w:rPr>
        <w:br w:type="page"/>
      </w:r>
    </w:p>
    <w:p w14:paraId="3E0F1706" w14:textId="77777777" w:rsidR="00F9117D" w:rsidRPr="00737348" w:rsidRDefault="00F9117D" w:rsidP="00F9117D">
      <w:pPr>
        <w:pStyle w:val="Heading1"/>
        <w:rPr>
          <w:rFonts w:ascii="Humnst777 Lt BT" w:hAnsi="Humnst777 Lt BT"/>
        </w:rPr>
      </w:pPr>
      <w:bookmarkStart w:id="39" w:name="_Toc104977810"/>
      <w:bookmarkStart w:id="40" w:name="_Toc414022478"/>
      <w:r w:rsidRPr="00737348">
        <w:rPr>
          <w:rFonts w:ascii="Humnst777 Lt BT" w:hAnsi="Humnst777 Lt BT"/>
        </w:rPr>
        <w:lastRenderedPageBreak/>
        <w:t>Findings</w:t>
      </w:r>
      <w:bookmarkEnd w:id="39"/>
      <w:r w:rsidRPr="00737348">
        <w:rPr>
          <w:rFonts w:ascii="Humnst777 Lt BT" w:hAnsi="Humnst777 Lt BT"/>
        </w:rPr>
        <w:t xml:space="preserve"> </w:t>
      </w:r>
      <w:bookmarkEnd w:id="40"/>
    </w:p>
    <w:p w14:paraId="63F31579" w14:textId="77777777" w:rsidR="00F9117D" w:rsidRDefault="00F9117D" w:rsidP="00F9117D">
      <w:pPr>
        <w:pStyle w:val="Heading2"/>
        <w:rPr>
          <w:rFonts w:ascii="Humnst777 Lt BT" w:hAnsi="Humnst777 Lt BT"/>
        </w:rPr>
      </w:pPr>
      <w:bookmarkStart w:id="41" w:name="_Toc160588289"/>
      <w:bookmarkStart w:id="42" w:name="_Toc104977811"/>
      <w:r w:rsidRPr="00737348">
        <w:rPr>
          <w:rFonts w:ascii="Humnst777 Lt BT" w:hAnsi="Humnst777 Lt BT"/>
        </w:rPr>
        <w:t>OPBAS Reports</w:t>
      </w:r>
      <w:bookmarkEnd w:id="41"/>
      <w:bookmarkEnd w:id="42"/>
    </w:p>
    <w:p w14:paraId="7F8BAA0E" w14:textId="77777777" w:rsidR="00F9117D" w:rsidRPr="00D858A9" w:rsidRDefault="00F9117D" w:rsidP="00F9117D">
      <w:pPr>
        <w:pStyle w:val="Heading3"/>
        <w:rPr>
          <w:rFonts w:ascii="Humnst777 Lt BT" w:hAnsi="Humnst777 Lt BT"/>
        </w:rPr>
      </w:pPr>
      <w:bookmarkStart w:id="43" w:name="_Toc1936961290"/>
      <w:bookmarkStart w:id="44" w:name="_Toc104977812"/>
      <w:r w:rsidRPr="00D858A9">
        <w:rPr>
          <w:rFonts w:ascii="Humnst777 Lt BT" w:hAnsi="Humnst777 Lt BT"/>
        </w:rPr>
        <w:t>2019, 2020 reports</w:t>
      </w:r>
      <w:bookmarkEnd w:id="43"/>
      <w:bookmarkEnd w:id="44"/>
    </w:p>
    <w:p w14:paraId="2C07D8E4" w14:textId="77777777" w:rsidR="00F9117D" w:rsidRPr="002D76FC" w:rsidRDefault="00F9117D" w:rsidP="00F9117D"/>
    <w:p w14:paraId="44187BC5" w14:textId="77777777" w:rsidR="00F9117D" w:rsidRDefault="00F9117D" w:rsidP="00F9117D">
      <w:pPr>
        <w:numPr>
          <w:ilvl w:val="0"/>
          <w:numId w:val="66"/>
        </w:numPr>
        <w:spacing w:after="160" w:line="360" w:lineRule="auto"/>
        <w:jc w:val="both"/>
        <w:rPr>
          <w:rFonts w:ascii="Humnst777 Lt BT" w:hAnsi="Humnst777 Lt BT"/>
        </w:rPr>
      </w:pPr>
      <w:r>
        <w:rPr>
          <w:rFonts w:ascii="Humnst777 Lt BT" w:hAnsi="Humnst777 Lt BT"/>
        </w:rPr>
        <w:t>The first papers published by OPBAS, in 2019 and 2020, looked at the technical compliance of PBSs. Between these first and second assessments, PBSs improved in every area of the OPBAS sourcebook used to assess them. A few examples below:</w:t>
      </w:r>
    </w:p>
    <w:p w14:paraId="7A50FF57" w14:textId="73224E16" w:rsidR="00F9117D" w:rsidRDefault="5E6B5BAA" w:rsidP="00F9117D">
      <w:pPr>
        <w:numPr>
          <w:ilvl w:val="1"/>
          <w:numId w:val="66"/>
        </w:numPr>
        <w:spacing w:after="160" w:line="360" w:lineRule="auto"/>
        <w:jc w:val="both"/>
        <w:rPr>
          <w:rFonts w:ascii="Humnst777 Lt BT" w:hAnsi="Humnst777 Lt BT"/>
        </w:rPr>
      </w:pPr>
      <w:r w:rsidRPr="660AD212">
        <w:rPr>
          <w:rFonts w:ascii="Humnst777 Lt BT" w:hAnsi="Humnst777 Lt BT"/>
        </w:rPr>
        <w:t xml:space="preserve">In 2019, 80% lacked </w:t>
      </w:r>
      <w:r w:rsidR="191D4073" w:rsidRPr="660AD212">
        <w:rPr>
          <w:rFonts w:ascii="Humnst777 Lt BT" w:hAnsi="Humnst777 Lt BT"/>
        </w:rPr>
        <w:t>suitable</w:t>
      </w:r>
      <w:r w:rsidRPr="660AD212">
        <w:rPr>
          <w:rFonts w:ascii="Humnst777 Lt BT" w:hAnsi="Humnst777 Lt BT"/>
        </w:rPr>
        <w:t xml:space="preserve"> governance arrangements and 44% of PBSs lacked clear accountability for AML supervisory activity. In 2020, </w:t>
      </w:r>
      <w:r w:rsidR="00C10E45">
        <w:rPr>
          <w:rFonts w:ascii="Humnst777 Lt BT" w:hAnsi="Humnst777 Lt BT"/>
        </w:rPr>
        <w:t>OPBAS observed a significant improvement</w:t>
      </w:r>
      <w:r w:rsidRPr="660AD212">
        <w:rPr>
          <w:rFonts w:ascii="Humnst777 Lt BT" w:hAnsi="Humnst777 Lt BT"/>
        </w:rPr>
        <w:t>,</w:t>
      </w:r>
      <w:r w:rsidR="00C10E45">
        <w:rPr>
          <w:rFonts w:ascii="Humnst777 Lt BT" w:hAnsi="Humnst777 Lt BT"/>
        </w:rPr>
        <w:t xml:space="preserve"> in principle, of governance arrangements for AML supervision</w:t>
      </w:r>
      <w:r w:rsidRPr="660AD212">
        <w:rPr>
          <w:rFonts w:ascii="Humnst777 Lt BT" w:hAnsi="Humnst777 Lt BT"/>
        </w:rPr>
        <w:t xml:space="preserve"> and all had clear accountability and oversight for AML at senior levels.</w:t>
      </w:r>
    </w:p>
    <w:p w14:paraId="0B92BE74" w14:textId="6B5A98B5" w:rsidR="00C10E45" w:rsidRPr="0064694E" w:rsidRDefault="00C10E45">
      <w:pPr>
        <w:numPr>
          <w:ilvl w:val="1"/>
          <w:numId w:val="66"/>
        </w:numPr>
        <w:spacing w:after="160" w:line="360" w:lineRule="auto"/>
        <w:jc w:val="both"/>
        <w:rPr>
          <w:rFonts w:ascii="Humnst777 Lt BT" w:hAnsi="Humnst777 Lt BT"/>
        </w:rPr>
      </w:pPr>
      <w:r>
        <w:rPr>
          <w:rFonts w:ascii="Humnst777 Lt BT" w:hAnsi="Humnst777 Lt BT"/>
        </w:rPr>
        <w:t>B</w:t>
      </w:r>
      <w:r w:rsidRPr="00C10E45">
        <w:rPr>
          <w:rFonts w:ascii="Humnst777 Lt BT" w:hAnsi="Humnst777 Lt BT"/>
        </w:rPr>
        <w:t>y the end of 2018, we found that 20% of PBSs had insufficient oversight by an internal governing body. At the end of 2019, all PBSs had oversight by an internal governing body with a specific remit for AML</w:t>
      </w:r>
      <w:r>
        <w:rPr>
          <w:rFonts w:ascii="Humnst777 Lt BT" w:hAnsi="Humnst777 Lt BT"/>
        </w:rPr>
        <w:t>.</w:t>
      </w:r>
    </w:p>
    <w:p w14:paraId="52D8CBCD" w14:textId="79B0A136" w:rsidR="00C10E45" w:rsidRPr="0064694E" w:rsidRDefault="00C10E45">
      <w:pPr>
        <w:numPr>
          <w:ilvl w:val="1"/>
          <w:numId w:val="66"/>
        </w:numPr>
        <w:spacing w:after="160" w:line="360" w:lineRule="auto"/>
        <w:jc w:val="both"/>
        <w:rPr>
          <w:rFonts w:ascii="Humnst777 Lt BT" w:hAnsi="Humnst777 Lt BT"/>
        </w:rPr>
      </w:pPr>
      <w:r w:rsidRPr="00C10E45">
        <w:rPr>
          <w:rFonts w:ascii="Humnst777 Lt BT" w:hAnsi="Humnst777 Lt BT"/>
        </w:rPr>
        <w:t>At the end of 2018, 12% of PBSs had not updated their written policies and procedures for AML compliance with the MLRs. By the end of 2019, all PBSs had updated their policies and procedures in accordance with the MLRs.</w:t>
      </w:r>
    </w:p>
    <w:p w14:paraId="1060B773" w14:textId="3D8DFE29" w:rsidR="00F9117D" w:rsidRDefault="00F9117D" w:rsidP="00F9117D">
      <w:pPr>
        <w:numPr>
          <w:ilvl w:val="1"/>
          <w:numId w:val="66"/>
        </w:numPr>
        <w:spacing w:after="160" w:line="360" w:lineRule="auto"/>
        <w:jc w:val="both"/>
        <w:rPr>
          <w:rFonts w:ascii="Humnst777 Lt BT" w:hAnsi="Humnst777 Lt BT"/>
        </w:rPr>
      </w:pPr>
      <w:r>
        <w:rPr>
          <w:rFonts w:ascii="Humnst777 Lt BT" w:hAnsi="Humnst777 Lt BT"/>
        </w:rPr>
        <w:t>In 2019,</w:t>
      </w:r>
      <w:r w:rsidR="00C230D3">
        <w:rPr>
          <w:rFonts w:ascii="Humnst777 Lt BT" w:hAnsi="Humnst777 Lt BT"/>
        </w:rPr>
        <w:t xml:space="preserve"> </w:t>
      </w:r>
      <w:r>
        <w:rPr>
          <w:rFonts w:ascii="Humnst777 Lt BT" w:hAnsi="Humnst777 Lt BT"/>
        </w:rPr>
        <w:t xml:space="preserve">9% of PBSs </w:t>
      </w:r>
      <w:r w:rsidR="00DC6129">
        <w:rPr>
          <w:rFonts w:ascii="Humnst777 Lt BT" w:hAnsi="Humnst777 Lt BT"/>
        </w:rPr>
        <w:t xml:space="preserve">fully </w:t>
      </w:r>
      <w:r>
        <w:rPr>
          <w:rFonts w:ascii="Humnst777 Lt BT" w:hAnsi="Humnst777 Lt BT"/>
        </w:rPr>
        <w:t>applied a risk-based approach to their supervision. In 2020 86%</w:t>
      </w:r>
      <w:r w:rsidR="00DC6129">
        <w:rPr>
          <w:rFonts w:ascii="Humnst777 Lt BT" w:hAnsi="Humnst777 Lt BT"/>
        </w:rPr>
        <w:t xml:space="preserve"> fully</w:t>
      </w:r>
      <w:r>
        <w:rPr>
          <w:rFonts w:ascii="Humnst777 Lt BT" w:hAnsi="Humnst777 Lt BT"/>
        </w:rPr>
        <w:t xml:space="preserve"> applied a risk-based approach, with 14% having plans to implement an approach in early 2020. </w:t>
      </w:r>
    </w:p>
    <w:p w14:paraId="29FE7901" w14:textId="40F2E1E2" w:rsidR="00C10E45" w:rsidRPr="0064694E" w:rsidRDefault="00C10E45">
      <w:pPr>
        <w:numPr>
          <w:ilvl w:val="1"/>
          <w:numId w:val="66"/>
        </w:numPr>
        <w:spacing w:after="160" w:line="360" w:lineRule="auto"/>
        <w:jc w:val="both"/>
        <w:rPr>
          <w:rFonts w:ascii="Humnst777 Lt BT" w:hAnsi="Humnst777 Lt BT"/>
        </w:rPr>
      </w:pPr>
      <w:r w:rsidRPr="0064694E">
        <w:rPr>
          <w:rFonts w:ascii="Humnst777 Lt BT" w:hAnsi="Humnst777 Lt BT"/>
        </w:rPr>
        <w:t xml:space="preserve">At the end of 2018, 68% of relevant PBSs had completed a written risk assessment of their supervised populations. At the end of 2019, this figure was 86%. At the end of 2018, only 40% of PBSs had completed risk profiling their members. By the end of 2019, this figure was 81%.  </w:t>
      </w:r>
    </w:p>
    <w:p w14:paraId="6992330F" w14:textId="40D07ED5" w:rsidR="00C10E45" w:rsidRDefault="00C10E45" w:rsidP="00C10E45">
      <w:pPr>
        <w:numPr>
          <w:ilvl w:val="1"/>
          <w:numId w:val="66"/>
        </w:numPr>
        <w:spacing w:after="160" w:line="360" w:lineRule="auto"/>
        <w:jc w:val="both"/>
        <w:rPr>
          <w:rFonts w:ascii="Humnst777 Lt BT" w:hAnsi="Humnst777 Lt BT"/>
        </w:rPr>
      </w:pPr>
      <w:r w:rsidRPr="00C10E45">
        <w:rPr>
          <w:rFonts w:ascii="Humnst777 Lt BT" w:hAnsi="Humnst777 Lt BT"/>
        </w:rPr>
        <w:t>At the end of 2018, 18% of relevant PBSs had still not identified their supervised population. By the end of 2019, all PBSs had identified and verified their supervised population under the MLRs for the relevant period.</w:t>
      </w:r>
    </w:p>
    <w:p w14:paraId="696A8094" w14:textId="5A64143E" w:rsidR="00F9117D" w:rsidRDefault="00F9117D" w:rsidP="00F9117D">
      <w:pPr>
        <w:numPr>
          <w:ilvl w:val="1"/>
          <w:numId w:val="66"/>
        </w:numPr>
        <w:spacing w:after="160" w:line="360" w:lineRule="auto"/>
        <w:jc w:val="both"/>
        <w:rPr>
          <w:rFonts w:ascii="Humnst777 Lt BT" w:hAnsi="Humnst777 Lt BT"/>
        </w:rPr>
      </w:pPr>
      <w:r>
        <w:rPr>
          <w:rFonts w:ascii="Humnst777 Lt BT" w:hAnsi="Humnst777 Lt BT"/>
        </w:rPr>
        <w:t>In 2019, 10% of PBSs undertook proactive supervision. This rose to 86% in 2020.</w:t>
      </w:r>
    </w:p>
    <w:p w14:paraId="4C6983A3" w14:textId="1CBC018D" w:rsidR="00E86AF4" w:rsidRDefault="00E86AF4" w:rsidP="00F9117D">
      <w:pPr>
        <w:numPr>
          <w:ilvl w:val="1"/>
          <w:numId w:val="66"/>
        </w:numPr>
        <w:spacing w:after="160" w:line="360" w:lineRule="auto"/>
        <w:jc w:val="both"/>
        <w:rPr>
          <w:rFonts w:ascii="Humnst777 Lt BT" w:hAnsi="Humnst777 Lt BT"/>
        </w:rPr>
      </w:pPr>
      <w:r w:rsidRPr="00E86AF4">
        <w:rPr>
          <w:rFonts w:ascii="Humnst777 Lt BT" w:hAnsi="Humnst777 Lt BT"/>
        </w:rPr>
        <w:lastRenderedPageBreak/>
        <w:t>The total number of fines issued by relevant PBSs for contraventions of the MLRs has increased by 150% from the reporting period May to April 2017/18 and May to April 2018/2019</w:t>
      </w:r>
    </w:p>
    <w:p w14:paraId="35D3AABF" w14:textId="77777777" w:rsidR="00F9117D" w:rsidRPr="00B76B69" w:rsidRDefault="00F9117D" w:rsidP="00F9117D">
      <w:pPr>
        <w:pStyle w:val="ListParagraph"/>
        <w:numPr>
          <w:ilvl w:val="0"/>
          <w:numId w:val="66"/>
        </w:numPr>
        <w:spacing w:after="160" w:line="360" w:lineRule="auto"/>
        <w:jc w:val="both"/>
        <w:rPr>
          <w:rFonts w:ascii="Humnst777 Lt BT" w:hAnsi="Humnst777 Lt BT"/>
          <w:u w:val="single"/>
        </w:rPr>
      </w:pPr>
      <w:r w:rsidRPr="6BD975F8">
        <w:rPr>
          <w:rFonts w:ascii="Humnst777 Lt BT" w:hAnsi="Humnst777 Lt BT"/>
        </w:rPr>
        <w:t xml:space="preserve">Intelligence and information-sharing has improved in </w:t>
      </w:r>
      <w:r>
        <w:rPr>
          <w:rFonts w:ascii="Humnst777 Lt BT" w:hAnsi="Humnst777 Lt BT"/>
        </w:rPr>
        <w:t xml:space="preserve">PBSs </w:t>
      </w:r>
      <w:r w:rsidRPr="6BD975F8">
        <w:rPr>
          <w:rFonts w:ascii="Humnst777 Lt BT" w:hAnsi="Humnst777 Lt BT"/>
        </w:rPr>
        <w:t>since the inception of OPBAS:</w:t>
      </w:r>
    </w:p>
    <w:p w14:paraId="7EAC734A" w14:textId="53B1F515" w:rsidR="00F9117D" w:rsidRPr="00CF0B35" w:rsidRDefault="5E6B5BAA">
      <w:pPr>
        <w:pStyle w:val="ListParagraph"/>
        <w:numPr>
          <w:ilvl w:val="1"/>
          <w:numId w:val="66"/>
        </w:numPr>
        <w:spacing w:after="160" w:line="360" w:lineRule="auto"/>
        <w:jc w:val="both"/>
        <w:rPr>
          <w:rFonts w:ascii="Humnst777 Lt BT" w:hAnsi="Humnst777 Lt BT"/>
        </w:rPr>
      </w:pPr>
      <w:r w:rsidRPr="660AD212">
        <w:rPr>
          <w:rFonts w:ascii="Humnst777 Lt BT" w:hAnsi="Humnst777 Lt BT"/>
        </w:rPr>
        <w:t>The 2019 report found that only 48%</w:t>
      </w:r>
      <w:r w:rsidR="1D34E36F" w:rsidRPr="660AD212">
        <w:rPr>
          <w:rFonts w:ascii="Humnst777 Lt BT" w:hAnsi="Humnst777 Lt BT"/>
        </w:rPr>
        <w:t xml:space="preserve"> of </w:t>
      </w:r>
      <w:r w:rsidRPr="660AD212">
        <w:rPr>
          <w:rFonts w:ascii="Humnst777 Lt BT" w:hAnsi="Humnst777 Lt BT"/>
        </w:rPr>
        <w:t xml:space="preserve">PBSs took part in information-sharing arrangements and in 2020, 60% were. </w:t>
      </w:r>
      <w:r w:rsidRPr="00CF0B35">
        <w:rPr>
          <w:rFonts w:ascii="Humnst777 Lt BT" w:hAnsi="Humnst777 Lt BT"/>
        </w:rPr>
        <w:t>Since 2018, PBS membership of FIN-NET and/or SIS</w:t>
      </w:r>
      <w:r w:rsidR="00F9117D" w:rsidRPr="0058B8E4">
        <w:rPr>
          <w:rStyle w:val="FootnoteReference"/>
          <w:rFonts w:ascii="Humnst777 Lt BT" w:hAnsi="Humnst777 Lt BT"/>
        </w:rPr>
        <w:footnoteReference w:id="2"/>
      </w:r>
      <w:r w:rsidRPr="00CF0B35">
        <w:rPr>
          <w:rFonts w:ascii="Humnst777 Lt BT" w:hAnsi="Humnst777 Lt BT"/>
        </w:rPr>
        <w:t xml:space="preserve"> has increased significantly, up from 40% in 2018</w:t>
      </w:r>
      <w:r w:rsidRPr="00CF0B35">
        <w:rPr>
          <w:rFonts w:ascii="Humnst777 Lt BT" w:hAnsi="Humnst777 Lt BT"/>
          <w:vertAlign w:val="superscript"/>
        </w:rPr>
        <w:t xml:space="preserve"> </w:t>
      </w:r>
      <w:r w:rsidRPr="00CF0B35">
        <w:rPr>
          <w:rFonts w:ascii="Humnst777 Lt BT" w:hAnsi="Humnst777 Lt BT"/>
        </w:rPr>
        <w:t>to 60% in 2020.</w:t>
      </w:r>
    </w:p>
    <w:p w14:paraId="1B1FF161" w14:textId="7241B00F" w:rsidR="00F9117D" w:rsidRPr="00CF0B35" w:rsidRDefault="00F9117D" w:rsidP="00CF0B35">
      <w:pPr>
        <w:spacing w:after="160" w:line="360" w:lineRule="auto"/>
        <w:ind w:left="1080"/>
        <w:jc w:val="both"/>
        <w:rPr>
          <w:rFonts w:ascii="Humnst777 Lt BT" w:hAnsi="Humnst777 Lt BT"/>
          <w:u w:val="single"/>
        </w:rPr>
      </w:pPr>
      <w:r w:rsidRPr="00192872">
        <w:rPr>
          <w:rFonts w:ascii="Humnst777 Lt BT" w:hAnsi="Humnst777 Lt BT"/>
        </w:rPr>
        <w:t>This marks a significant improvement in PBSs because of OPBAS oversight.</w:t>
      </w:r>
    </w:p>
    <w:p w14:paraId="337BC67E" w14:textId="5D0C33C5" w:rsidR="00F9117D" w:rsidRDefault="00F9117D" w:rsidP="00F9117D">
      <w:pPr>
        <w:numPr>
          <w:ilvl w:val="0"/>
          <w:numId w:val="66"/>
        </w:numPr>
        <w:spacing w:after="160" w:line="360" w:lineRule="auto"/>
        <w:jc w:val="both"/>
        <w:rPr>
          <w:rFonts w:ascii="Humnst777 Lt BT" w:hAnsi="Humnst777 Lt BT"/>
        </w:rPr>
      </w:pPr>
      <w:r>
        <w:rPr>
          <w:rFonts w:ascii="Humnst777 Lt BT" w:hAnsi="Humnst777 Lt BT"/>
        </w:rPr>
        <w:t>These improvements to PBS technical compliance are stark and show that OPBAS ha</w:t>
      </w:r>
      <w:r w:rsidR="00AE3221">
        <w:rPr>
          <w:rFonts w:ascii="Humnst777 Lt BT" w:hAnsi="Humnst777 Lt BT"/>
        </w:rPr>
        <w:t>s</w:t>
      </w:r>
      <w:r>
        <w:rPr>
          <w:rFonts w:ascii="Humnst777 Lt BT" w:hAnsi="Humnst777 Lt BT"/>
        </w:rPr>
        <w:t xml:space="preserve"> had a positive impact on raising compliance levels of PBSs with the MLRs.</w:t>
      </w:r>
    </w:p>
    <w:p w14:paraId="2E7AA8B7" w14:textId="77777777" w:rsidR="00F9117D" w:rsidRPr="004536FC" w:rsidRDefault="00F9117D" w:rsidP="00F9117D">
      <w:pPr>
        <w:pStyle w:val="ListParagraph"/>
        <w:numPr>
          <w:ilvl w:val="0"/>
          <w:numId w:val="66"/>
        </w:numPr>
        <w:spacing w:after="160" w:line="360" w:lineRule="auto"/>
        <w:jc w:val="both"/>
        <w:rPr>
          <w:rFonts w:ascii="Humnst777 Lt BT" w:hAnsi="Humnst777 Lt BT"/>
          <w:u w:val="single"/>
        </w:rPr>
      </w:pPr>
      <w:r w:rsidRPr="6BD975F8">
        <w:rPr>
          <w:rFonts w:ascii="Humnst777 Lt BT" w:hAnsi="Humnst777 Lt BT"/>
        </w:rPr>
        <w:t xml:space="preserve">These figures </w:t>
      </w:r>
      <w:r>
        <w:rPr>
          <w:rFonts w:ascii="Humnst777 Lt BT" w:hAnsi="Humnst777 Lt BT"/>
        </w:rPr>
        <w:t xml:space="preserve">also </w:t>
      </w:r>
      <w:r w:rsidRPr="6BD975F8">
        <w:rPr>
          <w:rFonts w:ascii="Humnst777 Lt BT" w:hAnsi="Humnst777 Lt BT"/>
        </w:rPr>
        <w:t>show a</w:t>
      </w:r>
      <w:r>
        <w:rPr>
          <w:rFonts w:ascii="Humnst777 Lt BT" w:hAnsi="Humnst777 Lt BT"/>
        </w:rPr>
        <w:t>n</w:t>
      </w:r>
      <w:r w:rsidRPr="6BD975F8">
        <w:rPr>
          <w:rFonts w:ascii="Humnst777 Lt BT" w:hAnsi="Humnst777 Lt BT"/>
        </w:rPr>
        <w:t xml:space="preserve"> </w:t>
      </w:r>
      <w:r>
        <w:rPr>
          <w:rFonts w:ascii="Humnst777 Lt BT" w:hAnsi="Humnst777 Lt BT"/>
        </w:rPr>
        <w:t>increase</w:t>
      </w:r>
      <w:r w:rsidRPr="6BD975F8">
        <w:rPr>
          <w:rFonts w:ascii="Humnst777 Lt BT" w:hAnsi="Humnst777 Lt BT"/>
        </w:rPr>
        <w:t xml:space="preserve"> in consistency of approach to supervision, which relates to the first objective that the progress of OPBAS is being measured against: consistency of supervision in the UK’s AML/CTF supervision regime.</w:t>
      </w:r>
    </w:p>
    <w:p w14:paraId="32A73F43" w14:textId="77777777" w:rsidR="00F9117D" w:rsidRPr="00D858A9" w:rsidRDefault="00F9117D" w:rsidP="00F9117D">
      <w:pPr>
        <w:pStyle w:val="Heading3"/>
        <w:rPr>
          <w:rFonts w:ascii="Humnst777 Lt BT" w:hAnsi="Humnst777 Lt BT"/>
        </w:rPr>
      </w:pPr>
      <w:bookmarkStart w:id="45" w:name="_Toc1048835354"/>
      <w:bookmarkStart w:id="46" w:name="_Toc104977813"/>
      <w:r w:rsidRPr="00D858A9">
        <w:rPr>
          <w:rFonts w:ascii="Humnst777 Lt BT" w:hAnsi="Humnst777 Lt BT"/>
        </w:rPr>
        <w:t>OPBAS third report, 2021</w:t>
      </w:r>
      <w:bookmarkEnd w:id="45"/>
      <w:bookmarkEnd w:id="46"/>
    </w:p>
    <w:p w14:paraId="5532AB74" w14:textId="77777777" w:rsidR="00F9117D" w:rsidRPr="00D858A9" w:rsidRDefault="00F9117D" w:rsidP="00F9117D"/>
    <w:p w14:paraId="554DFF3C" w14:textId="5E2532E5" w:rsidR="00D95982" w:rsidRPr="00D858A9" w:rsidRDefault="00D95982" w:rsidP="00F9117D">
      <w:pPr>
        <w:pStyle w:val="ListParagraph"/>
        <w:numPr>
          <w:ilvl w:val="0"/>
          <w:numId w:val="66"/>
        </w:numPr>
        <w:spacing w:after="160" w:line="360" w:lineRule="auto"/>
        <w:jc w:val="both"/>
        <w:rPr>
          <w:rFonts w:ascii="Humnst777 Lt BT" w:hAnsi="Humnst777 Lt BT"/>
        </w:rPr>
      </w:pPr>
      <w:r w:rsidRPr="779CFE3A">
        <w:rPr>
          <w:rFonts w:ascii="Humnst777 Lt BT" w:hAnsi="Humnst777 Lt BT"/>
        </w:rPr>
        <w:t>OPBAS took a risk-based approach and did not assess every Sourcebook area for every PBS. So the percentages cited only cover those PBSs OPBAS assessed against the Sourcebook area discussed, meaning percentages will not always reflect the full population of supervisors.</w:t>
      </w:r>
    </w:p>
    <w:p w14:paraId="574CDA72" w14:textId="77777777" w:rsidR="00F9117D" w:rsidRPr="007E5A83" w:rsidRDefault="00F9117D" w:rsidP="00F9117D">
      <w:pPr>
        <w:pStyle w:val="ListParagraph"/>
        <w:numPr>
          <w:ilvl w:val="0"/>
          <w:numId w:val="66"/>
        </w:numPr>
        <w:spacing w:after="160" w:line="360" w:lineRule="auto"/>
        <w:jc w:val="both"/>
        <w:rPr>
          <w:rFonts w:ascii="Humnst777 Lt BT" w:hAnsi="Humnst777 Lt BT"/>
          <w:u w:val="single"/>
        </w:rPr>
      </w:pPr>
      <w:r w:rsidRPr="6BD975F8">
        <w:rPr>
          <w:rFonts w:ascii="Humnst777 Lt BT" w:hAnsi="Humnst777 Lt BT"/>
        </w:rPr>
        <w:t xml:space="preserve">These findings demonstrate the clear need for further work in </w:t>
      </w:r>
      <w:r>
        <w:rPr>
          <w:rFonts w:ascii="Humnst777 Lt BT" w:hAnsi="Humnst777 Lt BT"/>
        </w:rPr>
        <w:t>the area of effectiveness</w:t>
      </w:r>
      <w:r w:rsidRPr="6BD975F8">
        <w:rPr>
          <w:rFonts w:ascii="Humnst777 Lt BT" w:hAnsi="Humnst777 Lt BT"/>
        </w:rPr>
        <w:t>.</w:t>
      </w:r>
      <w:r>
        <w:rPr>
          <w:rFonts w:ascii="Humnst777 Lt BT" w:hAnsi="Humnst777 Lt BT"/>
        </w:rPr>
        <w:t xml:space="preserve"> </w:t>
      </w:r>
    </w:p>
    <w:p w14:paraId="3A65247A" w14:textId="541E56FA" w:rsidR="00F9117D" w:rsidRPr="007E5A83" w:rsidRDefault="00D95982" w:rsidP="00F9117D">
      <w:pPr>
        <w:pStyle w:val="ListParagraph"/>
        <w:numPr>
          <w:ilvl w:val="1"/>
          <w:numId w:val="66"/>
        </w:numPr>
        <w:spacing w:after="160" w:line="360" w:lineRule="auto"/>
        <w:jc w:val="both"/>
        <w:rPr>
          <w:rFonts w:ascii="Humnst777 Lt BT" w:hAnsi="Humnst777 Lt BT"/>
          <w:u w:val="single"/>
        </w:rPr>
      </w:pPr>
      <w:r w:rsidRPr="779CFE3A">
        <w:rPr>
          <w:rFonts w:ascii="Humnst777 Lt BT" w:hAnsi="Humnst777 Lt BT"/>
        </w:rPr>
        <w:t>Whilst all PBSs previously had clear accountability and oversight for AML supervision at a senior level</w:t>
      </w:r>
      <w:r w:rsidR="00F9117D" w:rsidRPr="779CFE3A">
        <w:rPr>
          <w:rFonts w:ascii="Humnst777 Lt BT" w:hAnsi="Humnst777 Lt BT"/>
        </w:rPr>
        <w:t xml:space="preserve">, only 54% of them were </w:t>
      </w:r>
      <w:r w:rsidR="00F9117D" w:rsidRPr="779CFE3A">
        <w:rPr>
          <w:rFonts w:ascii="Humnst777 Lt BT" w:hAnsi="Humnst777 Lt BT"/>
          <w:u w:val="single"/>
        </w:rPr>
        <w:t xml:space="preserve">effective </w:t>
      </w:r>
      <w:r w:rsidR="00F9117D" w:rsidRPr="779CFE3A">
        <w:rPr>
          <w:rFonts w:ascii="Humnst777 Lt BT" w:hAnsi="Humnst777 Lt BT"/>
        </w:rPr>
        <w:t>in demonstrating senior management engagement.</w:t>
      </w:r>
    </w:p>
    <w:p w14:paraId="553526B9" w14:textId="31B5590E" w:rsidR="00F9117D" w:rsidRPr="007E5A83" w:rsidRDefault="00F9117D" w:rsidP="00F9117D">
      <w:pPr>
        <w:pStyle w:val="ListParagraph"/>
        <w:numPr>
          <w:ilvl w:val="1"/>
          <w:numId w:val="66"/>
        </w:numPr>
        <w:spacing w:after="160" w:line="360" w:lineRule="auto"/>
        <w:jc w:val="both"/>
        <w:rPr>
          <w:rFonts w:ascii="Humnst777 Lt BT" w:hAnsi="Humnst777 Lt BT"/>
          <w:u w:val="single"/>
        </w:rPr>
      </w:pPr>
      <w:r w:rsidRPr="779CFE3A">
        <w:rPr>
          <w:rFonts w:ascii="Humnst777 Lt BT" w:hAnsi="Humnst777 Lt BT"/>
        </w:rPr>
        <w:t xml:space="preserve">Where 86% of PBSs were found to have </w:t>
      </w:r>
      <w:r w:rsidRPr="779CFE3A">
        <w:rPr>
          <w:rFonts w:ascii="Humnst777 Lt BT" w:hAnsi="Humnst777 Lt BT"/>
          <w:u w:val="single"/>
        </w:rPr>
        <w:t>applied</w:t>
      </w:r>
      <w:r w:rsidRPr="779CFE3A">
        <w:rPr>
          <w:rFonts w:ascii="Humnst777 Lt BT" w:hAnsi="Humnst777 Lt BT"/>
        </w:rPr>
        <w:t xml:space="preserve"> a risk-based approach, </w:t>
      </w:r>
      <w:r w:rsidR="00D95982" w:rsidRPr="779CFE3A">
        <w:rPr>
          <w:rFonts w:ascii="Humnst777 Lt BT" w:hAnsi="Humnst777 Lt BT"/>
        </w:rPr>
        <w:t>only 19% of the PBSs assessed had implemented an effective risk-based approach. While all PBSs met basic technical compliance requirements (by considering risk in their approach), there were gaps in how PBSs approach risk, as well as in developing and managing their members’ risk profiles</w:t>
      </w:r>
      <w:r w:rsidRPr="779CFE3A">
        <w:rPr>
          <w:rFonts w:ascii="Humnst777 Lt BT" w:hAnsi="Humnst777 Lt BT"/>
        </w:rPr>
        <w:t>.</w:t>
      </w:r>
    </w:p>
    <w:p w14:paraId="731B6F34" w14:textId="77777777" w:rsidR="00F9117D" w:rsidRPr="009C36AC" w:rsidRDefault="00F9117D" w:rsidP="00F9117D">
      <w:pPr>
        <w:pStyle w:val="ListParagraph"/>
        <w:numPr>
          <w:ilvl w:val="1"/>
          <w:numId w:val="66"/>
        </w:numPr>
        <w:spacing w:after="160" w:line="360" w:lineRule="auto"/>
        <w:jc w:val="both"/>
        <w:rPr>
          <w:rFonts w:ascii="Humnst777 Lt BT" w:hAnsi="Humnst777 Lt BT"/>
          <w:u w:val="single"/>
        </w:rPr>
      </w:pPr>
      <w:r>
        <w:rPr>
          <w:rFonts w:ascii="Humnst777 Lt BT" w:hAnsi="Humnst777 Lt BT"/>
        </w:rPr>
        <w:lastRenderedPageBreak/>
        <w:t xml:space="preserve">Only 52% were found to be effective in using a broad range of tools in their supervisory work. </w:t>
      </w:r>
    </w:p>
    <w:p w14:paraId="7E862296" w14:textId="7160A566" w:rsidR="00F9117D" w:rsidRPr="009C36AC" w:rsidRDefault="00F9117D" w:rsidP="00F9117D">
      <w:pPr>
        <w:pStyle w:val="ListParagraph"/>
        <w:numPr>
          <w:ilvl w:val="1"/>
          <w:numId w:val="66"/>
        </w:numPr>
        <w:spacing w:after="160" w:line="360" w:lineRule="auto"/>
        <w:jc w:val="both"/>
        <w:rPr>
          <w:rStyle w:val="CommentReference"/>
          <w:sz w:val="24"/>
          <w:szCs w:val="22"/>
        </w:rPr>
      </w:pPr>
      <w:r>
        <w:rPr>
          <w:rFonts w:ascii="Humnst777 Lt BT" w:hAnsi="Humnst777 Lt BT"/>
        </w:rPr>
        <w:t xml:space="preserve">68% of PBSs </w:t>
      </w:r>
      <w:r w:rsidR="00E86AF4" w:rsidRPr="00CF0B35">
        <w:rPr>
          <w:rFonts w:ascii="Humnst777 Lt BT" w:hAnsi="Humnst777 Lt BT"/>
        </w:rPr>
        <w:t>have effective information and intelligence sharing arrangements in place.</w:t>
      </w:r>
    </w:p>
    <w:p w14:paraId="7AE9C8B4" w14:textId="77777777" w:rsidR="00F9117D" w:rsidRPr="00CF0B35" w:rsidRDefault="00F9117D" w:rsidP="00F9117D">
      <w:pPr>
        <w:pStyle w:val="ListParagraph"/>
        <w:numPr>
          <w:ilvl w:val="0"/>
          <w:numId w:val="66"/>
        </w:numPr>
        <w:spacing w:after="160" w:line="360" w:lineRule="auto"/>
        <w:jc w:val="both"/>
        <w:rPr>
          <w:rStyle w:val="CommentReference"/>
          <w:sz w:val="24"/>
          <w:szCs w:val="24"/>
        </w:rPr>
      </w:pPr>
      <w:r w:rsidRPr="00CF0B35">
        <w:rPr>
          <w:rStyle w:val="CommentReference"/>
          <w:rFonts w:ascii="Humnst777 Lt BT" w:hAnsi="Humnst777 Lt BT"/>
          <w:sz w:val="24"/>
          <w:szCs w:val="24"/>
        </w:rPr>
        <w:t>The three reports show two things:</w:t>
      </w:r>
    </w:p>
    <w:p w14:paraId="75C5971A" w14:textId="77777777" w:rsidR="00F9117D" w:rsidRPr="00A22294" w:rsidRDefault="00F9117D" w:rsidP="00F9117D">
      <w:pPr>
        <w:pStyle w:val="ListParagraph"/>
        <w:numPr>
          <w:ilvl w:val="1"/>
          <w:numId w:val="67"/>
        </w:numPr>
        <w:spacing w:after="160" w:line="360" w:lineRule="auto"/>
        <w:jc w:val="both"/>
        <w:rPr>
          <w:rFonts w:ascii="Humnst777 Lt BT" w:hAnsi="Humnst777 Lt BT"/>
          <w:szCs w:val="24"/>
        </w:rPr>
      </w:pPr>
      <w:r w:rsidRPr="00CF0B35">
        <w:rPr>
          <w:rStyle w:val="CommentReference"/>
          <w:rFonts w:ascii="Humnst777 Lt BT" w:hAnsi="Humnst777 Lt BT"/>
          <w:sz w:val="24"/>
          <w:szCs w:val="24"/>
        </w:rPr>
        <w:t xml:space="preserve">That OPBAS has made a positive impact on consistency of approach and </w:t>
      </w:r>
      <w:r w:rsidRPr="00D514D9">
        <w:rPr>
          <w:rFonts w:ascii="Humnst777 Lt BT" w:hAnsi="Humnst777 Lt BT"/>
          <w:szCs w:val="24"/>
        </w:rPr>
        <w:t xml:space="preserve">technical compliance </w:t>
      </w:r>
      <w:r w:rsidRPr="00751213">
        <w:rPr>
          <w:rFonts w:ascii="Humnst777 Lt BT" w:hAnsi="Humnst777 Lt BT"/>
          <w:szCs w:val="24"/>
        </w:rPr>
        <w:t xml:space="preserve">of PBSs in the </w:t>
      </w:r>
      <w:r w:rsidRPr="00A14294">
        <w:rPr>
          <w:rFonts w:ascii="Humnst777 Lt BT" w:hAnsi="Humnst777 Lt BT"/>
          <w:szCs w:val="24"/>
        </w:rPr>
        <w:t xml:space="preserve">varied areas </w:t>
      </w:r>
      <w:r w:rsidRPr="00A22294">
        <w:rPr>
          <w:rFonts w:ascii="Humnst777 Lt BT" w:hAnsi="Humnst777 Lt BT"/>
          <w:szCs w:val="24"/>
        </w:rPr>
        <w:t>of the sourcebook they are measured against.</w:t>
      </w:r>
    </w:p>
    <w:p w14:paraId="3842A812" w14:textId="23B63577" w:rsidR="00F9117D" w:rsidRPr="00A00880" w:rsidRDefault="00F9117D" w:rsidP="00F9117D">
      <w:pPr>
        <w:pStyle w:val="ListParagraph"/>
        <w:numPr>
          <w:ilvl w:val="1"/>
          <w:numId w:val="67"/>
        </w:numPr>
        <w:spacing w:after="160" w:line="360" w:lineRule="auto"/>
        <w:jc w:val="both"/>
        <w:rPr>
          <w:rFonts w:ascii="Humnst777 Lt BT" w:hAnsi="Humnst777 Lt BT"/>
          <w:szCs w:val="24"/>
        </w:rPr>
      </w:pPr>
      <w:r w:rsidRPr="00A00880">
        <w:rPr>
          <w:rFonts w:ascii="Humnst777 Lt BT" w:hAnsi="Humnst777 Lt BT"/>
          <w:szCs w:val="24"/>
        </w:rPr>
        <w:t xml:space="preserve">That a lot more work can, and should, be done in the area of effectiveness to ensure that the </w:t>
      </w:r>
      <w:r w:rsidR="00EB0214">
        <w:rPr>
          <w:rFonts w:ascii="Humnst777 Lt BT" w:hAnsi="Humnst777 Lt BT"/>
          <w:szCs w:val="24"/>
        </w:rPr>
        <w:t xml:space="preserve">MLRs? </w:t>
      </w:r>
      <w:r w:rsidRPr="00A00880">
        <w:rPr>
          <w:rFonts w:ascii="Humnst777 Lt BT" w:hAnsi="Humnst777 Lt BT"/>
          <w:szCs w:val="24"/>
        </w:rPr>
        <w:t xml:space="preserve"> are producing consistent outcomes. </w:t>
      </w:r>
    </w:p>
    <w:p w14:paraId="459582E1" w14:textId="17C37ECF" w:rsidR="0084627F" w:rsidRPr="00737348" w:rsidRDefault="0084627F" w:rsidP="00737348">
      <w:pPr>
        <w:pStyle w:val="Heading2"/>
        <w:rPr>
          <w:rFonts w:ascii="Humnst777 Lt BT" w:hAnsi="Humnst777 Lt BT"/>
        </w:rPr>
      </w:pPr>
      <w:bookmarkStart w:id="47" w:name="_Toc104977818"/>
      <w:bookmarkStart w:id="48" w:name="_Toc1229003714"/>
      <w:r w:rsidRPr="00737348">
        <w:rPr>
          <w:rFonts w:ascii="Humnst777 Lt BT" w:hAnsi="Humnst777 Lt BT"/>
        </w:rPr>
        <w:t>Regulation 46A reports</w:t>
      </w:r>
      <w:bookmarkEnd w:id="47"/>
      <w:r w:rsidRPr="00737348">
        <w:rPr>
          <w:rFonts w:ascii="Humnst777 Lt BT" w:hAnsi="Humnst777 Lt BT"/>
        </w:rPr>
        <w:t xml:space="preserve"> </w:t>
      </w:r>
      <w:bookmarkEnd w:id="48"/>
    </w:p>
    <w:p w14:paraId="13CAC6C9" w14:textId="53AA410E" w:rsidR="0084627F" w:rsidRPr="00B76B69" w:rsidRDefault="79C6C3F3"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 xml:space="preserve">The publication of the first iteration of the reports in </w:t>
      </w:r>
      <w:r w:rsidR="00150EA2">
        <w:rPr>
          <w:rFonts w:ascii="Humnst777 Lt BT" w:hAnsi="Humnst777 Lt BT"/>
        </w:rPr>
        <w:t xml:space="preserve">November </w:t>
      </w:r>
      <w:r w:rsidRPr="6BD975F8">
        <w:rPr>
          <w:rFonts w:ascii="Humnst777 Lt BT" w:hAnsi="Humnst777 Lt BT"/>
        </w:rPr>
        <w:t>2021 shows direct action by OPBAS that has increased consistency in PBS</w:t>
      </w:r>
      <w:r w:rsidR="7F5C2CCF" w:rsidRPr="6BD975F8">
        <w:rPr>
          <w:rFonts w:ascii="Humnst777 Lt BT" w:hAnsi="Humnst777 Lt BT"/>
        </w:rPr>
        <w:t>s’</w:t>
      </w:r>
      <w:r w:rsidRPr="6BD975F8">
        <w:rPr>
          <w:rFonts w:ascii="Humnst777 Lt BT" w:hAnsi="Humnst777 Lt BT"/>
        </w:rPr>
        <w:t xml:space="preserve"> approach to supervision.</w:t>
      </w:r>
    </w:p>
    <w:p w14:paraId="6538C6B6" w14:textId="1D018A30" w:rsidR="0084627F" w:rsidRPr="00B76B69" w:rsidRDefault="0E6D5AD1"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 xml:space="preserve"> </w:t>
      </w:r>
      <w:r w:rsidR="00F053D2">
        <w:rPr>
          <w:rFonts w:ascii="Humnst777 Lt BT" w:hAnsi="Humnst777 Lt BT"/>
        </w:rPr>
        <w:t xml:space="preserve">HMT and OPBAS have reviewed the first </w:t>
      </w:r>
      <w:r w:rsidR="00B466DD">
        <w:rPr>
          <w:rFonts w:ascii="Humnst777 Lt BT" w:hAnsi="Humnst777 Lt BT"/>
        </w:rPr>
        <w:t>set of PBS reports and have provided feedback to the PBSs</w:t>
      </w:r>
      <w:r w:rsidR="000D7620">
        <w:rPr>
          <w:rFonts w:ascii="Humnst777 Lt BT" w:hAnsi="Humnst777 Lt BT"/>
        </w:rPr>
        <w:t xml:space="preserve"> </w:t>
      </w:r>
      <w:r w:rsidR="0AAC8094" w:rsidRPr="6BD975F8">
        <w:rPr>
          <w:rFonts w:ascii="Humnst777 Lt BT" w:hAnsi="Humnst777 Lt BT"/>
        </w:rPr>
        <w:t xml:space="preserve">on how they can improve </w:t>
      </w:r>
      <w:r w:rsidR="00593300">
        <w:rPr>
          <w:rFonts w:ascii="Humnst777 Lt BT" w:hAnsi="Humnst777 Lt BT"/>
        </w:rPr>
        <w:t xml:space="preserve">these </w:t>
      </w:r>
      <w:r w:rsidR="0AAC8094" w:rsidRPr="6BD975F8">
        <w:rPr>
          <w:rFonts w:ascii="Humnst777 Lt BT" w:hAnsi="Humnst777 Lt BT"/>
        </w:rPr>
        <w:t>reports</w:t>
      </w:r>
      <w:r w:rsidR="000D7620">
        <w:rPr>
          <w:rFonts w:ascii="Humnst777 Lt BT" w:hAnsi="Humnst777 Lt BT"/>
        </w:rPr>
        <w:t xml:space="preserve"> </w:t>
      </w:r>
      <w:r w:rsidR="2EA8B52B" w:rsidRPr="6BD975F8">
        <w:rPr>
          <w:rFonts w:ascii="Humnst777 Lt BT" w:hAnsi="Humnst777 Lt BT"/>
        </w:rPr>
        <w:t>ahead of the next iterations</w:t>
      </w:r>
      <w:r w:rsidR="42DE861C" w:rsidRPr="6BD975F8">
        <w:rPr>
          <w:rFonts w:ascii="Humnst777 Lt BT" w:hAnsi="Humnst777 Lt BT"/>
        </w:rPr>
        <w:t xml:space="preserve"> </w:t>
      </w:r>
      <w:r w:rsidR="4C0DFA04" w:rsidRPr="6BD975F8">
        <w:rPr>
          <w:rFonts w:ascii="Humnst777 Lt BT" w:hAnsi="Humnst777 Lt BT"/>
        </w:rPr>
        <w:t xml:space="preserve">that will be published </w:t>
      </w:r>
      <w:r w:rsidR="000D7620">
        <w:rPr>
          <w:rFonts w:ascii="Humnst777 Lt BT" w:hAnsi="Humnst777 Lt BT"/>
        </w:rPr>
        <w:t>by 1</w:t>
      </w:r>
      <w:r w:rsidR="42DE861C" w:rsidRPr="6BD975F8">
        <w:rPr>
          <w:rFonts w:ascii="Humnst777 Lt BT" w:hAnsi="Humnst777 Lt BT"/>
        </w:rPr>
        <w:t xml:space="preserve"> November 2022</w:t>
      </w:r>
      <w:r w:rsidR="4C0DFA04" w:rsidRPr="6BD975F8">
        <w:rPr>
          <w:rFonts w:ascii="Humnst777 Lt BT" w:hAnsi="Humnst777 Lt BT"/>
        </w:rPr>
        <w:t>.</w:t>
      </w:r>
    </w:p>
    <w:p w14:paraId="4E2C2F13" w14:textId="11D51508" w:rsidR="0084627F" w:rsidRPr="00B76B69" w:rsidRDefault="246B1D24" w:rsidP="00BD3CFA">
      <w:pPr>
        <w:pStyle w:val="ListParagraph"/>
        <w:numPr>
          <w:ilvl w:val="0"/>
          <w:numId w:val="66"/>
        </w:numPr>
        <w:spacing w:after="160" w:line="360" w:lineRule="auto"/>
        <w:jc w:val="both"/>
        <w:rPr>
          <w:rFonts w:ascii="Humnst777 Lt BT" w:hAnsi="Humnst777 Lt BT"/>
        </w:rPr>
      </w:pPr>
      <w:r w:rsidRPr="7A398C72">
        <w:rPr>
          <w:rFonts w:ascii="Humnst777 Lt BT" w:hAnsi="Humnst777 Lt BT"/>
        </w:rPr>
        <w:t xml:space="preserve">The reports have proved a useful tool for PBSs to assess their own progress, as well as </w:t>
      </w:r>
      <w:r w:rsidR="3025D11D" w:rsidRPr="7A398C72">
        <w:rPr>
          <w:rFonts w:ascii="Humnst777 Lt BT" w:hAnsi="Humnst777 Lt BT"/>
        </w:rPr>
        <w:t xml:space="preserve">benchmark of their supervisory approaches </w:t>
      </w:r>
      <w:r w:rsidR="376E6726" w:rsidRPr="7A398C72">
        <w:rPr>
          <w:rFonts w:ascii="Humnst777 Lt BT" w:hAnsi="Humnst777 Lt BT"/>
        </w:rPr>
        <w:t xml:space="preserve">against their peers. The reports have also </w:t>
      </w:r>
      <w:r w:rsidRPr="7A398C72">
        <w:rPr>
          <w:rFonts w:ascii="Humnst777 Lt BT" w:hAnsi="Humnst777 Lt BT"/>
        </w:rPr>
        <w:t>provid</w:t>
      </w:r>
      <w:r w:rsidR="376E6726" w:rsidRPr="7A398C72">
        <w:rPr>
          <w:rFonts w:ascii="Humnst777 Lt BT" w:hAnsi="Humnst777 Lt BT"/>
        </w:rPr>
        <w:t xml:space="preserve">ed law enforcement and other government agencies with insight into the PBSs activities and their role in the intelligence and information sharing landscape. </w:t>
      </w:r>
    </w:p>
    <w:p w14:paraId="454D262F" w14:textId="3D6D6B15" w:rsidR="000A57F5" w:rsidRPr="00737348" w:rsidRDefault="000A57F5" w:rsidP="00737348">
      <w:pPr>
        <w:pStyle w:val="Heading2"/>
        <w:rPr>
          <w:rFonts w:ascii="Humnst777 Lt BT" w:hAnsi="Humnst777 Lt BT"/>
        </w:rPr>
      </w:pPr>
      <w:bookmarkStart w:id="49" w:name="_Toc2013120090"/>
      <w:bookmarkStart w:id="50" w:name="_Toc104977819"/>
      <w:r w:rsidRPr="00737348">
        <w:rPr>
          <w:rFonts w:ascii="Humnst777 Lt BT" w:hAnsi="Humnst777 Lt BT"/>
        </w:rPr>
        <w:t>ISEWGs</w:t>
      </w:r>
      <w:bookmarkEnd w:id="49"/>
      <w:bookmarkEnd w:id="50"/>
    </w:p>
    <w:p w14:paraId="5A4D8FED" w14:textId="1737344A" w:rsidR="00B35029" w:rsidRDefault="0E7EACB7"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 xml:space="preserve">Since 2018, </w:t>
      </w:r>
      <w:r w:rsidR="001C1FB0">
        <w:rPr>
          <w:rFonts w:ascii="Humnst777 Lt BT" w:hAnsi="Humnst777 Lt BT"/>
        </w:rPr>
        <w:t>the</w:t>
      </w:r>
      <w:r w:rsidRPr="6BD975F8">
        <w:rPr>
          <w:rFonts w:ascii="Humnst777 Lt BT" w:hAnsi="Humnst777 Lt BT"/>
        </w:rPr>
        <w:t xml:space="preserve"> ISEWGs have been held</w:t>
      </w:r>
      <w:r w:rsidR="001C1FB0">
        <w:rPr>
          <w:rFonts w:ascii="Humnst777 Lt BT" w:hAnsi="Humnst777 Lt BT"/>
        </w:rPr>
        <w:t xml:space="preserve"> qua</w:t>
      </w:r>
      <w:r w:rsidR="00704214">
        <w:rPr>
          <w:rFonts w:ascii="Humnst777 Lt BT" w:hAnsi="Humnst777 Lt BT"/>
        </w:rPr>
        <w:t>r</w:t>
      </w:r>
      <w:r w:rsidR="001C1FB0">
        <w:rPr>
          <w:rFonts w:ascii="Humnst777 Lt BT" w:hAnsi="Humnst777 Lt BT"/>
        </w:rPr>
        <w:t>terly</w:t>
      </w:r>
      <w:r w:rsidR="00D82AF1">
        <w:rPr>
          <w:rFonts w:ascii="Humnst777 Lt BT" w:hAnsi="Humnst777 Lt BT"/>
        </w:rPr>
        <w:t xml:space="preserve"> and have adapted to the restrictions around remote and hybrid working to ensure </w:t>
      </w:r>
      <w:r w:rsidR="00E63A7E">
        <w:rPr>
          <w:rFonts w:ascii="Humnst777 Lt BT" w:hAnsi="Humnst777 Lt BT"/>
        </w:rPr>
        <w:t xml:space="preserve">their </w:t>
      </w:r>
      <w:r w:rsidR="00D82AF1">
        <w:rPr>
          <w:rFonts w:ascii="Humnst777 Lt BT" w:hAnsi="Humnst777 Lt BT"/>
        </w:rPr>
        <w:t>continuity. The ISEWGs have also evolved to include dedicated sessions focused on sectorial input into the N</w:t>
      </w:r>
      <w:r w:rsidR="00EE6E51">
        <w:rPr>
          <w:rFonts w:ascii="Humnst777 Lt BT" w:hAnsi="Humnst777 Lt BT"/>
        </w:rPr>
        <w:t xml:space="preserve">ational </w:t>
      </w:r>
      <w:r w:rsidR="00D82AF1">
        <w:rPr>
          <w:rFonts w:ascii="Humnst777 Lt BT" w:hAnsi="Humnst777 Lt BT"/>
        </w:rPr>
        <w:t>R</w:t>
      </w:r>
      <w:r w:rsidR="00EE6E51">
        <w:rPr>
          <w:rFonts w:ascii="Humnst777 Lt BT" w:hAnsi="Humnst777 Lt BT"/>
        </w:rPr>
        <w:t xml:space="preserve">isk </w:t>
      </w:r>
      <w:r w:rsidR="00D82AF1">
        <w:rPr>
          <w:rFonts w:ascii="Humnst777 Lt BT" w:hAnsi="Humnst777 Lt BT"/>
        </w:rPr>
        <w:t>A</w:t>
      </w:r>
      <w:r w:rsidR="00EE6E51">
        <w:rPr>
          <w:rFonts w:ascii="Humnst777 Lt BT" w:hAnsi="Humnst777 Lt BT"/>
        </w:rPr>
        <w:t>ssessment</w:t>
      </w:r>
      <w:r w:rsidR="00D82AF1">
        <w:rPr>
          <w:rFonts w:ascii="Humnst777 Lt BT" w:hAnsi="Humnst777 Lt BT"/>
        </w:rPr>
        <w:t xml:space="preserve"> and, more recently, </w:t>
      </w:r>
      <w:r w:rsidR="00670AA9">
        <w:rPr>
          <w:rFonts w:ascii="Humnst777 Lt BT" w:hAnsi="Humnst777 Lt BT"/>
        </w:rPr>
        <w:t xml:space="preserve">smaller </w:t>
      </w:r>
      <w:r w:rsidR="00D82AF1">
        <w:rPr>
          <w:rFonts w:ascii="Humnst777 Lt BT" w:hAnsi="Humnst777 Lt BT"/>
        </w:rPr>
        <w:t xml:space="preserve">Regional </w:t>
      </w:r>
      <w:r w:rsidR="00670AA9">
        <w:rPr>
          <w:rFonts w:ascii="Humnst777 Lt BT" w:hAnsi="Humnst777 Lt BT"/>
        </w:rPr>
        <w:t>versions to consider specific</w:t>
      </w:r>
      <w:r w:rsidR="00DC7D7F">
        <w:rPr>
          <w:rFonts w:ascii="Humnst777 Lt BT" w:hAnsi="Humnst777 Lt BT"/>
        </w:rPr>
        <w:t xml:space="preserve"> ML and TF threats faced by the legal and accountancy sectors in Scotland and Northern Ireland.</w:t>
      </w:r>
      <w:r w:rsidR="00670AA9">
        <w:rPr>
          <w:rFonts w:ascii="Humnst777 Lt BT" w:hAnsi="Humnst777 Lt BT"/>
        </w:rPr>
        <w:t xml:space="preserve"> </w:t>
      </w:r>
      <w:r w:rsidR="00D82AF1">
        <w:rPr>
          <w:rFonts w:ascii="Humnst777 Lt BT" w:hAnsi="Humnst777 Lt BT"/>
        </w:rPr>
        <w:t xml:space="preserve"> </w:t>
      </w:r>
      <w:r w:rsidR="00DC7D7F">
        <w:rPr>
          <w:rFonts w:ascii="Humnst777 Lt BT" w:hAnsi="Humnst777 Lt BT"/>
        </w:rPr>
        <w:t>ISEWG</w:t>
      </w:r>
      <w:r w:rsidR="006C3664">
        <w:rPr>
          <w:rFonts w:ascii="Humnst777 Lt BT" w:hAnsi="Humnst777 Lt BT"/>
        </w:rPr>
        <w:t>s</w:t>
      </w:r>
      <w:r w:rsidR="00DC7D7F">
        <w:rPr>
          <w:rFonts w:ascii="Humnst777 Lt BT" w:hAnsi="Humnst777 Lt BT"/>
        </w:rPr>
        <w:t xml:space="preserve"> </w:t>
      </w:r>
      <w:r w:rsidRPr="6BD975F8">
        <w:rPr>
          <w:rFonts w:ascii="Humnst777 Lt BT" w:hAnsi="Humnst777 Lt BT"/>
        </w:rPr>
        <w:t>ha</w:t>
      </w:r>
      <w:r w:rsidR="006C3664">
        <w:rPr>
          <w:rFonts w:ascii="Humnst777 Lt BT" w:hAnsi="Humnst777 Lt BT"/>
        </w:rPr>
        <w:t>ve</w:t>
      </w:r>
      <w:r w:rsidRPr="6BD975F8">
        <w:rPr>
          <w:rFonts w:ascii="Humnst777 Lt BT" w:hAnsi="Humnst777 Lt BT"/>
        </w:rPr>
        <w:t xml:space="preserve"> been recognised </w:t>
      </w:r>
      <w:r w:rsidR="7B6DB64E" w:rsidRPr="6BD975F8">
        <w:rPr>
          <w:rFonts w:ascii="Humnst777 Lt BT" w:hAnsi="Humnst777 Lt BT"/>
        </w:rPr>
        <w:t xml:space="preserve">by sector supervisors in Call for Evidence responses </w:t>
      </w:r>
      <w:r w:rsidRPr="6BD975F8">
        <w:rPr>
          <w:rFonts w:ascii="Humnst777 Lt BT" w:hAnsi="Humnst777 Lt BT"/>
        </w:rPr>
        <w:t>for their role in increasing public-private information</w:t>
      </w:r>
      <w:r w:rsidR="006C3664">
        <w:rPr>
          <w:rFonts w:ascii="Humnst777 Lt BT" w:hAnsi="Humnst777 Lt BT"/>
        </w:rPr>
        <w:t xml:space="preserve"> and intelligence </w:t>
      </w:r>
      <w:r w:rsidRPr="6BD975F8">
        <w:rPr>
          <w:rFonts w:ascii="Humnst777 Lt BT" w:hAnsi="Humnst777 Lt BT"/>
        </w:rPr>
        <w:t>sharing.</w:t>
      </w:r>
    </w:p>
    <w:p w14:paraId="55FB00E7" w14:textId="4AB671B0" w:rsidR="00197978" w:rsidRDefault="66E24994"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 xml:space="preserve">A few </w:t>
      </w:r>
      <w:r w:rsidR="0267D22B" w:rsidRPr="6BD975F8">
        <w:rPr>
          <w:rFonts w:ascii="Humnst777 Lt BT" w:hAnsi="Humnst777 Lt BT"/>
        </w:rPr>
        <w:t xml:space="preserve">accountancy sector </w:t>
      </w:r>
      <w:r w:rsidRPr="6BD975F8">
        <w:rPr>
          <w:rFonts w:ascii="Humnst777 Lt BT" w:hAnsi="Humnst777 Lt BT"/>
        </w:rPr>
        <w:t>r</w:t>
      </w:r>
      <w:r w:rsidR="1808E832" w:rsidRPr="6BD975F8">
        <w:rPr>
          <w:rFonts w:ascii="Humnst777 Lt BT" w:hAnsi="Humnst777 Lt BT"/>
        </w:rPr>
        <w:t>espondents to the CfE cited ISEWGs</w:t>
      </w:r>
      <w:r w:rsidR="11A235B8" w:rsidRPr="6BD975F8">
        <w:rPr>
          <w:rFonts w:ascii="Humnst777 Lt BT" w:hAnsi="Humnst777 Lt BT"/>
        </w:rPr>
        <w:t>,</w:t>
      </w:r>
      <w:r w:rsidR="1808E832" w:rsidRPr="6BD975F8">
        <w:rPr>
          <w:rFonts w:ascii="Humnst777 Lt BT" w:hAnsi="Humnst777 Lt BT"/>
        </w:rPr>
        <w:t xml:space="preserve"> </w:t>
      </w:r>
      <w:r w:rsidR="11A235B8" w:rsidRPr="6BD975F8">
        <w:rPr>
          <w:rFonts w:ascii="Humnst777 Lt BT" w:hAnsi="Humnst777 Lt BT"/>
        </w:rPr>
        <w:t xml:space="preserve">amongst other </w:t>
      </w:r>
      <w:r w:rsidR="28BDEBA0" w:rsidRPr="6BD975F8">
        <w:rPr>
          <w:rFonts w:ascii="Humnst777 Lt BT" w:hAnsi="Humnst777 Lt BT"/>
        </w:rPr>
        <w:t>risk sharing platforms such as the Public Private Threat Group,</w:t>
      </w:r>
      <w:r w:rsidR="11A235B8" w:rsidRPr="6BD975F8">
        <w:rPr>
          <w:rFonts w:ascii="Humnst777 Lt BT" w:hAnsi="Humnst777 Lt BT"/>
        </w:rPr>
        <w:t xml:space="preserve"> </w:t>
      </w:r>
      <w:r w:rsidR="1808E832" w:rsidRPr="6BD975F8">
        <w:rPr>
          <w:rFonts w:ascii="Humnst777 Lt BT" w:hAnsi="Humnst777 Lt BT"/>
        </w:rPr>
        <w:t xml:space="preserve">as </w:t>
      </w:r>
      <w:r w:rsidR="0FF61392" w:rsidRPr="6BD975F8">
        <w:rPr>
          <w:rFonts w:ascii="Humnst777 Lt BT" w:hAnsi="Humnst777 Lt BT"/>
        </w:rPr>
        <w:t xml:space="preserve">having enabled a ‘significant improvement’ in </w:t>
      </w:r>
      <w:r w:rsidR="374BB22C" w:rsidRPr="6BD975F8">
        <w:rPr>
          <w:rFonts w:ascii="Humnst777 Lt BT" w:hAnsi="Humnst777 Lt BT"/>
        </w:rPr>
        <w:t xml:space="preserve">information and intelligence sharing. </w:t>
      </w:r>
    </w:p>
    <w:p w14:paraId="30B5C387" w14:textId="646FD333" w:rsidR="00D944EC" w:rsidRPr="00B35029" w:rsidRDefault="053477FD"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Other</w:t>
      </w:r>
      <w:r w:rsidR="0267D22B" w:rsidRPr="6BD975F8">
        <w:rPr>
          <w:rFonts w:ascii="Humnst777 Lt BT" w:hAnsi="Humnst777 Lt BT"/>
        </w:rPr>
        <w:t xml:space="preserve"> accountancy sector</w:t>
      </w:r>
      <w:r w:rsidRPr="6BD975F8">
        <w:rPr>
          <w:rFonts w:ascii="Humnst777 Lt BT" w:hAnsi="Humnst777 Lt BT"/>
        </w:rPr>
        <w:t xml:space="preserve"> respondents </w:t>
      </w:r>
      <w:r w:rsidR="0267D22B" w:rsidRPr="6BD975F8">
        <w:rPr>
          <w:rFonts w:ascii="Humnst777 Lt BT" w:hAnsi="Humnst777 Lt BT"/>
        </w:rPr>
        <w:t xml:space="preserve">mentioned that they </w:t>
      </w:r>
      <w:r w:rsidRPr="6BD975F8">
        <w:rPr>
          <w:rFonts w:ascii="Humnst777 Lt BT" w:hAnsi="Humnst777 Lt BT"/>
        </w:rPr>
        <w:t xml:space="preserve">were keen to see an assessment of the </w:t>
      </w:r>
      <w:r w:rsidR="64A139BD" w:rsidRPr="6BD975F8">
        <w:rPr>
          <w:rFonts w:ascii="Humnst777 Lt BT" w:hAnsi="Humnst777 Lt BT"/>
        </w:rPr>
        <w:t>impact</w:t>
      </w:r>
      <w:r w:rsidR="6BDCA491" w:rsidRPr="6BD975F8">
        <w:rPr>
          <w:rFonts w:ascii="Humnst777 Lt BT" w:hAnsi="Humnst777 Lt BT"/>
        </w:rPr>
        <w:t xml:space="preserve"> that ISEWGs </w:t>
      </w:r>
      <w:r w:rsidR="0267D22B" w:rsidRPr="6BD975F8">
        <w:rPr>
          <w:rFonts w:ascii="Humnst777 Lt BT" w:hAnsi="Humnst777 Lt BT"/>
        </w:rPr>
        <w:t>and other</w:t>
      </w:r>
      <w:r w:rsidR="007C6BC7">
        <w:rPr>
          <w:rFonts w:ascii="Humnst777 Lt BT" w:hAnsi="Humnst777 Lt BT"/>
        </w:rPr>
        <w:t xml:space="preserve"> intelligence and</w:t>
      </w:r>
      <w:r w:rsidR="0267D22B" w:rsidRPr="6BD975F8">
        <w:rPr>
          <w:rFonts w:ascii="Humnst777 Lt BT" w:hAnsi="Humnst777 Lt BT"/>
        </w:rPr>
        <w:t xml:space="preserve"> information</w:t>
      </w:r>
      <w:r w:rsidR="007C6BC7">
        <w:rPr>
          <w:rFonts w:ascii="Humnst777 Lt BT" w:hAnsi="Humnst777 Lt BT"/>
        </w:rPr>
        <w:t xml:space="preserve"> </w:t>
      </w:r>
      <w:r w:rsidR="0267D22B" w:rsidRPr="6BD975F8">
        <w:rPr>
          <w:rFonts w:ascii="Humnst777 Lt BT" w:hAnsi="Humnst777 Lt BT"/>
        </w:rPr>
        <w:t xml:space="preserve">sharing forums </w:t>
      </w:r>
      <w:r w:rsidR="6BDCA491" w:rsidRPr="6BD975F8">
        <w:rPr>
          <w:rFonts w:ascii="Humnst777 Lt BT" w:hAnsi="Humnst777 Lt BT"/>
        </w:rPr>
        <w:t>have had in terms of the reduction of economic crime.</w:t>
      </w:r>
    </w:p>
    <w:p w14:paraId="44300C7F" w14:textId="3F615100" w:rsidR="00E367E3" w:rsidRPr="00737348" w:rsidRDefault="00C4771E" w:rsidP="00737348">
      <w:pPr>
        <w:pStyle w:val="Heading2"/>
        <w:rPr>
          <w:rFonts w:ascii="Humnst777 Lt BT" w:hAnsi="Humnst777 Lt BT"/>
        </w:rPr>
      </w:pPr>
      <w:bookmarkStart w:id="51" w:name="_Toc1439522085"/>
      <w:bookmarkStart w:id="52" w:name="_Toc104977820"/>
      <w:r w:rsidRPr="00737348">
        <w:rPr>
          <w:rFonts w:ascii="Humnst777 Lt BT" w:hAnsi="Humnst777 Lt BT"/>
        </w:rPr>
        <w:lastRenderedPageBreak/>
        <w:t xml:space="preserve">Supervision </w:t>
      </w:r>
      <w:r w:rsidR="00E367E3" w:rsidRPr="00737348">
        <w:rPr>
          <w:rFonts w:ascii="Humnst777 Lt BT" w:hAnsi="Humnst777 Lt BT"/>
        </w:rPr>
        <w:t xml:space="preserve">data and </w:t>
      </w:r>
      <w:r w:rsidRPr="00737348">
        <w:rPr>
          <w:rFonts w:ascii="Humnst777 Lt BT" w:hAnsi="Humnst777 Lt BT"/>
        </w:rPr>
        <w:t>report</w:t>
      </w:r>
      <w:r w:rsidR="00E367E3" w:rsidRPr="00737348">
        <w:rPr>
          <w:rFonts w:ascii="Humnst777 Lt BT" w:hAnsi="Humnst777 Lt BT"/>
        </w:rPr>
        <w:t>s</w:t>
      </w:r>
      <w:bookmarkEnd w:id="51"/>
      <w:bookmarkEnd w:id="52"/>
    </w:p>
    <w:p w14:paraId="6AAF9589" w14:textId="77777777" w:rsidR="009F56A4" w:rsidRDefault="25185756"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 xml:space="preserve">A comparison of the data on enforcement and supervision from before the creation of OPBAS to now shows a significant increase in activity. </w:t>
      </w:r>
    </w:p>
    <w:p w14:paraId="6EC21B7E" w14:textId="3FACFE96" w:rsidR="00CA58EE" w:rsidRPr="00B76B69" w:rsidRDefault="25185756"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Most notably, fines issued have increased in both size and frequency (see below). This increase in enforcement activity can be taken as indicative of a more proactive approach by PBSs as a result of oversight by OPBAS, demonstrating higher supervisory effectiveness as a result of the OPBAS Regulations.</w:t>
      </w:r>
    </w:p>
    <w:p w14:paraId="136D4EDC" w14:textId="6764DB0D" w:rsidR="00CA58EE" w:rsidRDefault="00E16FF6" w:rsidP="0084627F">
      <w:pPr>
        <w:spacing w:line="360" w:lineRule="auto"/>
        <w:jc w:val="both"/>
        <w:rPr>
          <w:rFonts w:ascii="Humnst777 Lt BT" w:hAnsi="Humnst777 Lt BT"/>
          <w:szCs w:val="24"/>
          <w:u w:val="single"/>
        </w:rPr>
      </w:pPr>
      <w:r>
        <w:rPr>
          <w:noProof/>
        </w:rPr>
        <mc:AlternateContent>
          <mc:Choice Requires="cx2">
            <w:drawing>
              <wp:anchor distT="0" distB="0" distL="114300" distR="114300" simplePos="0" relativeHeight="251658241" behindDoc="0" locked="0" layoutInCell="1" allowOverlap="1" wp14:anchorId="18C515F3" wp14:editId="2A6C3AB7">
                <wp:simplePos x="0" y="0"/>
                <wp:positionH relativeFrom="margin">
                  <wp:posOffset>88265</wp:posOffset>
                </wp:positionH>
                <wp:positionV relativeFrom="paragraph">
                  <wp:posOffset>229870</wp:posOffset>
                </wp:positionV>
                <wp:extent cx="6475095" cy="3168015"/>
                <wp:effectExtent l="0" t="0" r="1905" b="13335"/>
                <wp:wrapSquare wrapText="bothSides"/>
                <wp:docPr id="2" name="Chart 2">
                  <a:extLst xmlns:a="http://schemas.openxmlformats.org/drawingml/2006/main">
                    <a:ext uri="{FF2B5EF4-FFF2-40B4-BE49-F238E27FC236}">
                      <a16:creationId xmlns:a16="http://schemas.microsoft.com/office/drawing/2014/main" id="{352534FD-5697-446C-86C7-7ACFC7E040C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58241" behindDoc="0" locked="0" layoutInCell="1" allowOverlap="1" wp14:anchorId="18C515F3" wp14:editId="2A6C3AB7">
                <wp:simplePos x="0" y="0"/>
                <wp:positionH relativeFrom="margin">
                  <wp:posOffset>88265</wp:posOffset>
                </wp:positionH>
                <wp:positionV relativeFrom="paragraph">
                  <wp:posOffset>229870</wp:posOffset>
                </wp:positionV>
                <wp:extent cx="6475095" cy="3168015"/>
                <wp:effectExtent l="0" t="0" r="1905" b="13335"/>
                <wp:wrapSquare wrapText="bothSides"/>
                <wp:docPr id="2" name="Chart 2">
                  <a:extLst xmlns:a="http://schemas.openxmlformats.org/drawingml/2006/main">
                    <a:ext uri="{FF2B5EF4-FFF2-40B4-BE49-F238E27FC236}">
                      <a16:creationId xmlns:a16="http://schemas.microsoft.com/office/drawing/2014/main" id="{352534FD-5697-446C-86C7-7ACFC7E040C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a:extLst>
                            <a:ext uri="{FF2B5EF4-FFF2-40B4-BE49-F238E27FC236}">
                              <a16:creationId xmlns:a16="http://schemas.microsoft.com/office/drawing/2014/main" id="{352534FD-5697-446C-86C7-7ACFC7E040C3}"/>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6475095" cy="3168015"/>
                        </a:xfrm>
                        <a:prstGeom prst="rect">
                          <a:avLst/>
                        </a:prstGeom>
                      </pic:spPr>
                    </pic:pic>
                  </a:graphicData>
                </a:graphic>
                <wp14:sizeRelH relativeFrom="page">
                  <wp14:pctWidth>0</wp14:pctWidth>
                </wp14:sizeRelH>
                <wp14:sizeRelV relativeFrom="page">
                  <wp14:pctHeight>0</wp14:pctHeight>
                </wp14:sizeRelV>
              </wp:anchor>
            </w:drawing>
          </mc:Fallback>
        </mc:AlternateContent>
      </w:r>
    </w:p>
    <w:p w14:paraId="163A1FC0" w14:textId="50501417" w:rsidR="00CA58EE" w:rsidRDefault="00CA58EE" w:rsidP="0084627F">
      <w:pPr>
        <w:spacing w:line="360" w:lineRule="auto"/>
        <w:jc w:val="both"/>
        <w:rPr>
          <w:rFonts w:ascii="Humnst777 Lt BT" w:hAnsi="Humnst777 Lt BT"/>
          <w:szCs w:val="24"/>
          <w:u w:val="single"/>
        </w:rPr>
      </w:pPr>
    </w:p>
    <w:p w14:paraId="0D8885E3" w14:textId="359C7EAE" w:rsidR="00CA58EE" w:rsidRPr="004C4397" w:rsidRDefault="00E16FF6" w:rsidP="00BD3CFA">
      <w:pPr>
        <w:pStyle w:val="ListParagraph"/>
        <w:numPr>
          <w:ilvl w:val="0"/>
          <w:numId w:val="66"/>
        </w:numPr>
        <w:spacing w:after="160" w:line="360" w:lineRule="auto"/>
        <w:jc w:val="both"/>
        <w:rPr>
          <w:rFonts w:ascii="Humnst777 Lt BT" w:hAnsi="Humnst777 Lt BT"/>
        </w:rPr>
      </w:pPr>
      <w:r>
        <w:rPr>
          <w:noProof/>
        </w:rPr>
        <w:lastRenderedPageBreak/>
        <w:drawing>
          <wp:anchor distT="0" distB="0" distL="114300" distR="114300" simplePos="0" relativeHeight="251658240" behindDoc="1" locked="0" layoutInCell="1" allowOverlap="1" wp14:anchorId="4FAB1152" wp14:editId="15153DB9">
            <wp:simplePos x="0" y="0"/>
            <wp:positionH relativeFrom="margin">
              <wp:posOffset>92710</wp:posOffset>
            </wp:positionH>
            <wp:positionV relativeFrom="paragraph">
              <wp:posOffset>0</wp:posOffset>
            </wp:positionV>
            <wp:extent cx="6475095" cy="3189605"/>
            <wp:effectExtent l="0" t="0" r="1905" b="10795"/>
            <wp:wrapTight wrapText="bothSides">
              <wp:wrapPolygon edited="0">
                <wp:start x="0" y="0"/>
                <wp:lineTo x="0" y="21544"/>
                <wp:lineTo x="21543" y="21544"/>
                <wp:lineTo x="21543" y="0"/>
                <wp:lineTo x="0" y="0"/>
              </wp:wrapPolygon>
            </wp:wrapTight>
            <wp:docPr id="1" name="Chart 1">
              <a:extLst xmlns:a="http://schemas.openxmlformats.org/drawingml/2006/main">
                <a:ext uri="{FF2B5EF4-FFF2-40B4-BE49-F238E27FC236}">
                  <a16:creationId xmlns:a16="http://schemas.microsoft.com/office/drawing/2014/main" id="{C6C0E189-FE47-4C5A-A160-D1005E901A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60399679" w:rsidRPr="0058B8E4">
        <w:rPr>
          <w:rFonts w:ascii="Humnst777 Lt BT" w:hAnsi="Humnst777 Lt BT"/>
        </w:rPr>
        <w:t xml:space="preserve">Overall, supervision data collected by HM Treasury and OPBAS </w:t>
      </w:r>
      <w:r w:rsidR="3552FB9E" w:rsidRPr="0058B8E4">
        <w:rPr>
          <w:rFonts w:ascii="Humnst777 Lt BT" w:hAnsi="Humnst777 Lt BT"/>
        </w:rPr>
        <w:t xml:space="preserve">has shown an </w:t>
      </w:r>
      <w:r w:rsidR="5B6F8B9B" w:rsidRPr="0058B8E4">
        <w:rPr>
          <w:rFonts w:ascii="Humnst777 Lt BT" w:hAnsi="Humnst777 Lt BT"/>
        </w:rPr>
        <w:t xml:space="preserve">increase in intensity and effectiveness of supervision by the current metrics of how these </w:t>
      </w:r>
      <w:r w:rsidR="2FEACF8D" w:rsidRPr="0058B8E4">
        <w:rPr>
          <w:rFonts w:ascii="Humnst777 Lt BT" w:hAnsi="Humnst777 Lt BT"/>
        </w:rPr>
        <w:t xml:space="preserve">processes are measured. </w:t>
      </w:r>
    </w:p>
    <w:p w14:paraId="13AC4A2A" w14:textId="3F5607E0" w:rsidR="00CA58EE" w:rsidRPr="00737348" w:rsidRDefault="00A93F7F" w:rsidP="00737348">
      <w:pPr>
        <w:pStyle w:val="Heading2"/>
        <w:rPr>
          <w:rFonts w:ascii="Humnst777 Lt BT" w:hAnsi="Humnst777 Lt BT"/>
        </w:rPr>
      </w:pPr>
      <w:bookmarkStart w:id="53" w:name="_Toc104977821"/>
      <w:bookmarkStart w:id="54" w:name="_Toc1271787136"/>
      <w:r w:rsidRPr="00737348">
        <w:rPr>
          <w:rFonts w:ascii="Humnst777 Lt BT" w:hAnsi="Humnst777 Lt BT"/>
        </w:rPr>
        <w:t>Call for evidence</w:t>
      </w:r>
      <w:bookmarkEnd w:id="53"/>
      <w:r w:rsidR="00C4771E" w:rsidRPr="00737348">
        <w:rPr>
          <w:rFonts w:ascii="Humnst777 Lt BT" w:hAnsi="Humnst777 Lt BT"/>
        </w:rPr>
        <w:t xml:space="preserve"> </w:t>
      </w:r>
      <w:bookmarkEnd w:id="54"/>
    </w:p>
    <w:p w14:paraId="3109A64F" w14:textId="6697FC94" w:rsidR="00373B58" w:rsidRDefault="48E0789C" w:rsidP="00BD3CFA">
      <w:pPr>
        <w:pStyle w:val="ListParagraph"/>
        <w:numPr>
          <w:ilvl w:val="0"/>
          <w:numId w:val="66"/>
        </w:numPr>
        <w:spacing w:line="360" w:lineRule="auto"/>
        <w:jc w:val="both"/>
        <w:rPr>
          <w:rFonts w:ascii="Humnst777 Lt BT" w:hAnsi="Humnst777 Lt BT"/>
        </w:rPr>
      </w:pPr>
      <w:r w:rsidRPr="6BD975F8">
        <w:rPr>
          <w:rFonts w:ascii="Humnst777 Lt BT" w:hAnsi="Humnst777 Lt BT"/>
        </w:rPr>
        <w:t>Both legal and accountancy sectors were generally positive about the progress that had been made by OPBAS</w:t>
      </w:r>
      <w:r w:rsidR="20358436" w:rsidRPr="6BD975F8">
        <w:rPr>
          <w:rFonts w:ascii="Humnst777 Lt BT" w:hAnsi="Humnst777 Lt BT"/>
        </w:rPr>
        <w:t xml:space="preserve">. Both sectors were also keen to </w:t>
      </w:r>
      <w:r w:rsidR="51DD7368" w:rsidRPr="6BD975F8">
        <w:rPr>
          <w:rFonts w:ascii="Humnst777 Lt BT" w:hAnsi="Humnst777 Lt BT"/>
        </w:rPr>
        <w:t xml:space="preserve">note that the remit of OPBAS should not change </w:t>
      </w:r>
      <w:r w:rsidR="6D682E8C" w:rsidRPr="6BD975F8">
        <w:rPr>
          <w:rFonts w:ascii="Humnst777 Lt BT" w:hAnsi="Humnst777 Lt BT"/>
        </w:rPr>
        <w:t xml:space="preserve">very much. </w:t>
      </w:r>
    </w:p>
    <w:p w14:paraId="3B55B9AD" w14:textId="77777777" w:rsidR="000B266F" w:rsidRPr="00737348" w:rsidRDefault="000B266F" w:rsidP="00737348">
      <w:pPr>
        <w:pStyle w:val="Heading3"/>
        <w:rPr>
          <w:rFonts w:ascii="Humnst777 Lt BT" w:hAnsi="Humnst777 Lt BT"/>
        </w:rPr>
      </w:pPr>
      <w:bookmarkStart w:id="55" w:name="_Toc155470046"/>
      <w:bookmarkStart w:id="56" w:name="_Toc104977822"/>
      <w:r w:rsidRPr="00737348">
        <w:rPr>
          <w:rFonts w:ascii="Humnst777 Lt BT" w:hAnsi="Humnst777 Lt BT"/>
        </w:rPr>
        <w:t>Pre-consultation session with OPBAS</w:t>
      </w:r>
      <w:bookmarkEnd w:id="55"/>
      <w:bookmarkEnd w:id="56"/>
    </w:p>
    <w:p w14:paraId="62C0E4E8" w14:textId="453D86F9" w:rsidR="000B266F" w:rsidRPr="00A93F7F" w:rsidRDefault="3C579DC1" w:rsidP="00BD3CFA">
      <w:pPr>
        <w:pStyle w:val="ListParagraph"/>
        <w:numPr>
          <w:ilvl w:val="0"/>
          <w:numId w:val="66"/>
        </w:numPr>
        <w:spacing w:after="160" w:line="360" w:lineRule="auto"/>
        <w:jc w:val="both"/>
        <w:rPr>
          <w:rFonts w:ascii="Humnst777 Lt BT" w:hAnsi="Humnst777 Lt BT"/>
        </w:rPr>
      </w:pPr>
      <w:r w:rsidRPr="75C79BD9">
        <w:rPr>
          <w:rFonts w:ascii="Humnst777 Lt BT" w:hAnsi="Humnst777 Lt BT"/>
        </w:rPr>
        <w:t>OPBAS suggested they had limited powers and tools (public censure and removal) to use on PBSs.</w:t>
      </w:r>
      <w:r w:rsidR="00634043">
        <w:rPr>
          <w:rFonts w:ascii="Humnst777 Lt BT" w:hAnsi="Humnst777 Lt BT"/>
        </w:rPr>
        <w:t xml:space="preserve"> </w:t>
      </w:r>
      <w:r w:rsidRPr="75C79BD9">
        <w:rPr>
          <w:rFonts w:ascii="Humnst777 Lt BT" w:hAnsi="Humnst777 Lt BT"/>
        </w:rPr>
        <w:t>OPBAS sees the forward-looking aspect of the MLRs Review as a great opportunity to explore</w:t>
      </w:r>
      <w:r w:rsidR="03999A82" w:rsidRPr="75C79BD9">
        <w:rPr>
          <w:rFonts w:ascii="Humnst777 Lt BT" w:hAnsi="Humnst777 Lt BT"/>
        </w:rPr>
        <w:t xml:space="preserve"> </w:t>
      </w:r>
      <w:r w:rsidR="7B0F36B4" w:rsidRPr="75C79BD9">
        <w:rPr>
          <w:rFonts w:ascii="Humnst777 Lt BT" w:hAnsi="Humnst777 Lt BT"/>
        </w:rPr>
        <w:t xml:space="preserve">expanding </w:t>
      </w:r>
      <w:r w:rsidR="60406886" w:rsidRPr="75C79BD9">
        <w:rPr>
          <w:rFonts w:ascii="Humnst777 Lt BT" w:hAnsi="Humnst777 Lt BT"/>
        </w:rPr>
        <w:t xml:space="preserve">their powers and tools. </w:t>
      </w:r>
    </w:p>
    <w:p w14:paraId="1D1A87ED" w14:textId="77777777" w:rsidR="000B266F" w:rsidRPr="00737348" w:rsidRDefault="000B266F" w:rsidP="00737348">
      <w:pPr>
        <w:pStyle w:val="Heading3"/>
        <w:rPr>
          <w:rFonts w:ascii="Humnst777 Lt BT" w:hAnsi="Humnst777 Lt BT"/>
        </w:rPr>
      </w:pPr>
      <w:bookmarkStart w:id="57" w:name="_Toc653591792"/>
      <w:bookmarkStart w:id="58" w:name="_Toc104977823"/>
      <w:r w:rsidRPr="00737348">
        <w:rPr>
          <w:rFonts w:ascii="Humnst777 Lt BT" w:hAnsi="Humnst777 Lt BT"/>
        </w:rPr>
        <w:t>Accountancy sector Call for Evidence summary</w:t>
      </w:r>
      <w:bookmarkEnd w:id="57"/>
      <w:bookmarkEnd w:id="58"/>
    </w:p>
    <w:p w14:paraId="1DDD5B4D" w14:textId="77777777" w:rsidR="000B266F" w:rsidRPr="00B76B69" w:rsidRDefault="3C579DC1"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 xml:space="preserve">The accountancy sector in general have reported that OPBAS oversight has been beneficial in improving consistency and effectiveness. </w:t>
      </w:r>
    </w:p>
    <w:p w14:paraId="50046865" w14:textId="77777777" w:rsidR="000B266F" w:rsidRDefault="3C579DC1"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Expanding the remit of OPBAS is generally thought to help with consistency in this area, with respondents pointing out that OPBAS being an overarching observer of the system means the existence of a strategic overview of the landscape that PBSs have found useful.</w:t>
      </w:r>
    </w:p>
    <w:p w14:paraId="5425D936" w14:textId="46956C20" w:rsidR="000B266F" w:rsidRPr="005748B7" w:rsidRDefault="3C579DC1"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A few respondents suggested that OPBAS should be overseeing statutory supervisors as well to improve consistency, citing inconsistency at the point where some accountants are supervised by HMRC and some by PBSs</w:t>
      </w:r>
      <w:r w:rsidR="0F1359B5" w:rsidRPr="6BD975F8">
        <w:rPr>
          <w:rFonts w:ascii="Humnst777 Lt BT" w:hAnsi="Humnst777 Lt BT"/>
        </w:rPr>
        <w:t xml:space="preserve"> which has led to different processes of supervision.</w:t>
      </w:r>
    </w:p>
    <w:p w14:paraId="4B0AC362" w14:textId="77777777" w:rsidR="000B266F" w:rsidRPr="00737348" w:rsidRDefault="000B266F" w:rsidP="00737348">
      <w:pPr>
        <w:pStyle w:val="Heading3"/>
        <w:rPr>
          <w:rFonts w:ascii="Humnst777 Lt BT" w:hAnsi="Humnst777 Lt BT"/>
        </w:rPr>
      </w:pPr>
      <w:bookmarkStart w:id="59" w:name="_Toc1512958368"/>
      <w:bookmarkStart w:id="60" w:name="_Toc104977824"/>
      <w:r w:rsidRPr="00737348">
        <w:rPr>
          <w:rFonts w:ascii="Humnst777 Lt BT" w:hAnsi="Humnst777 Lt BT"/>
        </w:rPr>
        <w:lastRenderedPageBreak/>
        <w:t>Legal sector Call for Evidence responses</w:t>
      </w:r>
      <w:bookmarkEnd w:id="59"/>
      <w:bookmarkEnd w:id="60"/>
    </w:p>
    <w:p w14:paraId="76F66D7A" w14:textId="77777777" w:rsidR="000B266F" w:rsidRPr="00B76B69" w:rsidRDefault="3C579DC1"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 xml:space="preserve">Respondents suggested that OPBAS needed continued funding and resources to retain expertise. </w:t>
      </w:r>
    </w:p>
    <w:p w14:paraId="66D2CA38" w14:textId="55B04BD0" w:rsidR="000B266F" w:rsidRPr="00B76B69" w:rsidRDefault="3C579DC1"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 xml:space="preserve">Respondents said that OPBAS have improved information-sharing by removing clear barriers to effective information-sharing. </w:t>
      </w:r>
      <w:r w:rsidR="77966CFE" w:rsidRPr="6BD975F8">
        <w:rPr>
          <w:rFonts w:ascii="Humnst777 Lt BT" w:hAnsi="Humnst777 Lt BT"/>
        </w:rPr>
        <w:t>Respondents a</w:t>
      </w:r>
      <w:r w:rsidRPr="6BD975F8">
        <w:rPr>
          <w:rFonts w:ascii="Humnst777 Lt BT" w:hAnsi="Humnst777 Lt BT"/>
        </w:rPr>
        <w:t>lso thought that the remit of OPBAS was sufficient for it to carry out its function.</w:t>
      </w:r>
    </w:p>
    <w:p w14:paraId="3FA4AB92" w14:textId="68BB5C75" w:rsidR="000B266F" w:rsidRDefault="3C579DC1"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 xml:space="preserve">Other respondents suggested that OPBAS had done a good job so far, but a change in approach may be needed for them to continue to </w:t>
      </w:r>
      <w:r w:rsidR="2086B1AD" w:rsidRPr="6BD975F8">
        <w:rPr>
          <w:rFonts w:ascii="Humnst777 Lt BT" w:hAnsi="Humnst777 Lt BT"/>
        </w:rPr>
        <w:t xml:space="preserve">perform an effective </w:t>
      </w:r>
      <w:r w:rsidR="15BBD5A2" w:rsidRPr="6BD975F8">
        <w:rPr>
          <w:rFonts w:ascii="Humnst777 Lt BT" w:hAnsi="Humnst777 Lt BT"/>
        </w:rPr>
        <w:t>oversight function</w:t>
      </w:r>
      <w:r w:rsidR="14F3E24A" w:rsidRPr="6BD975F8">
        <w:rPr>
          <w:rFonts w:ascii="Humnst777 Lt BT" w:hAnsi="Humnst777 Lt BT"/>
        </w:rPr>
        <w:t>.</w:t>
      </w:r>
      <w:r w:rsidR="15BBD5A2" w:rsidRPr="6BD975F8">
        <w:rPr>
          <w:rFonts w:ascii="Humnst777 Lt BT" w:hAnsi="Humnst777 Lt BT"/>
        </w:rPr>
        <w:t xml:space="preserve"> </w:t>
      </w:r>
    </w:p>
    <w:p w14:paraId="54C8B766" w14:textId="168F1708" w:rsidR="000B266F" w:rsidRPr="002C335B" w:rsidRDefault="3C579DC1"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Legal respondents showed less appetite for increasing the remit of OPBAS than accountancy respondents.</w:t>
      </w:r>
    </w:p>
    <w:p w14:paraId="7A107E4B" w14:textId="0F0F309D" w:rsidR="000B266F" w:rsidRPr="00737348" w:rsidRDefault="000B266F" w:rsidP="00737348">
      <w:pPr>
        <w:pStyle w:val="Heading3"/>
        <w:rPr>
          <w:rFonts w:ascii="Humnst777 Lt BT" w:hAnsi="Humnst777 Lt BT"/>
        </w:rPr>
      </w:pPr>
      <w:bookmarkStart w:id="61" w:name="_Toc1398618408"/>
      <w:bookmarkStart w:id="62" w:name="_Toc104977825"/>
      <w:r w:rsidRPr="00737348">
        <w:rPr>
          <w:rFonts w:ascii="Humnst777 Lt BT" w:hAnsi="Humnst777 Lt BT"/>
        </w:rPr>
        <w:t>FCA response to the Call for Evidence</w:t>
      </w:r>
      <w:bookmarkEnd w:id="61"/>
      <w:bookmarkEnd w:id="62"/>
    </w:p>
    <w:p w14:paraId="0FAE7EA7" w14:textId="0FA5E3FC" w:rsidR="000B266F" w:rsidRPr="00686CB6" w:rsidRDefault="3C579DC1"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OPBAS has seen a direct correlation between holding workshops for PBSs on common weaknesses in supervision and the risk-based approach, and their performance in these areas. This has improved consistency across the supervision regime.</w:t>
      </w:r>
      <w:r w:rsidR="7422A516" w:rsidRPr="6BD975F8">
        <w:rPr>
          <w:rFonts w:ascii="Humnst777 Lt BT" w:hAnsi="Humnst777 Lt BT"/>
        </w:rPr>
        <w:t xml:space="preserve"> </w:t>
      </w:r>
      <w:r w:rsidRPr="6BD975F8">
        <w:rPr>
          <w:rFonts w:ascii="Humnst777 Lt BT" w:hAnsi="Humnst777 Lt BT"/>
        </w:rPr>
        <w:t>Common weaknesses in supervision refer to areas such as a lack of staff-training or a fully effective implementation of the risk-based approach. See Annex A for full breakdown of OPBAS-identified weaknesses that were highlighted in the FCA CfE and past OPBAS reports.</w:t>
      </w:r>
    </w:p>
    <w:p w14:paraId="343D7B20" w14:textId="77777777" w:rsidR="000B266F" w:rsidRPr="00B76B69" w:rsidRDefault="3C579DC1"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Since 2018, OPBAS has issued directions under Regulation 14 of the OPBAS Regs to 5 different PBSs across both the legal and accountancy sector. It has also on one occasion used its powers under Regulation 7 to require a PBS to provide information.</w:t>
      </w:r>
    </w:p>
    <w:p w14:paraId="35A945C7" w14:textId="67174A5C" w:rsidR="000B266F" w:rsidRPr="00B76B69" w:rsidRDefault="60782229" w:rsidP="00BD3CFA">
      <w:pPr>
        <w:pStyle w:val="ListParagraph"/>
        <w:numPr>
          <w:ilvl w:val="0"/>
          <w:numId w:val="66"/>
        </w:numPr>
        <w:spacing w:after="160" w:line="360" w:lineRule="auto"/>
        <w:jc w:val="both"/>
        <w:rPr>
          <w:rFonts w:ascii="Humnst777 Lt BT" w:hAnsi="Humnst777 Lt BT"/>
        </w:rPr>
      </w:pPr>
      <w:r w:rsidRPr="7A398C72">
        <w:rPr>
          <w:rFonts w:ascii="Humnst777 Lt BT" w:hAnsi="Humnst777 Lt BT"/>
        </w:rPr>
        <w:t>PBS responses to OPBAS findings have meant that OPBAS has not so far needed to use its powers to publicly censure or recommend to the Treasury that a PBS should be removed from Schedule 1 of the MLRs.</w:t>
      </w:r>
    </w:p>
    <w:p w14:paraId="6503A6BC" w14:textId="489D4522" w:rsidR="000B266F" w:rsidRPr="007F39AA" w:rsidRDefault="3C579DC1" w:rsidP="00BD3CFA">
      <w:pPr>
        <w:pStyle w:val="ListParagraph"/>
        <w:numPr>
          <w:ilvl w:val="0"/>
          <w:numId w:val="66"/>
        </w:numPr>
        <w:spacing w:after="160" w:line="360" w:lineRule="auto"/>
        <w:jc w:val="both"/>
        <w:rPr>
          <w:rFonts w:ascii="Humnst777 Lt BT" w:hAnsi="Humnst777 Lt BT"/>
        </w:rPr>
      </w:pPr>
      <w:r w:rsidRPr="6BD975F8">
        <w:rPr>
          <w:rFonts w:ascii="Humnst777 Lt BT" w:hAnsi="Humnst777 Lt BT"/>
        </w:rPr>
        <w:t xml:space="preserve">OPBAS supervisory tools, so far, have been sufficient in improving PBS compliance with the MLRs and they have not needed to use their enforcement powers. </w:t>
      </w:r>
    </w:p>
    <w:p w14:paraId="5820722E" w14:textId="77777777" w:rsidR="000B266F" w:rsidRPr="00CD0A32" w:rsidRDefault="3C579DC1" w:rsidP="00BD3CFA">
      <w:pPr>
        <w:pStyle w:val="ListParagraph"/>
        <w:numPr>
          <w:ilvl w:val="0"/>
          <w:numId w:val="66"/>
        </w:numPr>
        <w:spacing w:line="360" w:lineRule="auto"/>
        <w:jc w:val="both"/>
        <w:rPr>
          <w:rFonts w:ascii="Humnst777 Lt BT" w:hAnsi="Humnst777 Lt BT"/>
        </w:rPr>
      </w:pPr>
      <w:r w:rsidRPr="6BD975F8">
        <w:rPr>
          <w:rFonts w:ascii="Humnst777 Lt BT" w:hAnsi="Humnst777 Lt BT"/>
        </w:rPr>
        <w:t xml:space="preserve">These actions provide evidence that there has been an increase in overall proactive supervisory activity as a result of the creation of OPBAS. </w:t>
      </w:r>
    </w:p>
    <w:p w14:paraId="6FC94086" w14:textId="77777777" w:rsidR="00D06435" w:rsidRDefault="3C579DC1" w:rsidP="00BD3CFA">
      <w:pPr>
        <w:pStyle w:val="ListParagraph"/>
        <w:numPr>
          <w:ilvl w:val="0"/>
          <w:numId w:val="66"/>
        </w:numPr>
        <w:spacing w:line="360" w:lineRule="auto"/>
        <w:jc w:val="both"/>
        <w:rPr>
          <w:rFonts w:ascii="Humnst777 Lt BT" w:hAnsi="Humnst777 Lt BT"/>
        </w:rPr>
      </w:pPr>
      <w:r w:rsidRPr="6BD975F8">
        <w:rPr>
          <w:rFonts w:ascii="Humnst777 Lt BT" w:hAnsi="Humnst777 Lt BT"/>
        </w:rPr>
        <w:t>PBSs are much more technically compliant with the MLRs, but there is limited evidence of the impact on supervision leading to more effective AML outcomes.</w:t>
      </w:r>
    </w:p>
    <w:p w14:paraId="5B1765C1" w14:textId="77777777" w:rsidR="00D06435" w:rsidRDefault="00D06435" w:rsidP="00D06435">
      <w:pPr>
        <w:spacing w:line="360" w:lineRule="auto"/>
        <w:jc w:val="both"/>
        <w:rPr>
          <w:rFonts w:ascii="Humnst777 Lt BT" w:hAnsi="Humnst777 Lt BT"/>
          <w:szCs w:val="24"/>
        </w:rPr>
      </w:pPr>
    </w:p>
    <w:p w14:paraId="32482B71" w14:textId="6D73EBBE" w:rsidR="00D06435" w:rsidRPr="00737348" w:rsidRDefault="00D06435" w:rsidP="00737348">
      <w:pPr>
        <w:pStyle w:val="Heading2"/>
        <w:rPr>
          <w:rFonts w:ascii="Humnst777 Lt BT" w:hAnsi="Humnst777 Lt BT"/>
        </w:rPr>
      </w:pPr>
      <w:bookmarkStart w:id="63" w:name="_Toc1837267104"/>
      <w:bookmarkStart w:id="64" w:name="_Toc104977826"/>
      <w:r w:rsidRPr="00737348">
        <w:rPr>
          <w:rFonts w:ascii="Humnst777 Lt BT" w:hAnsi="Humnst777 Lt BT"/>
        </w:rPr>
        <w:t xml:space="preserve">How appropriate </w:t>
      </w:r>
      <w:r w:rsidR="00713966" w:rsidRPr="00737348">
        <w:rPr>
          <w:rFonts w:ascii="Humnst777 Lt BT" w:hAnsi="Humnst777 Lt BT"/>
        </w:rPr>
        <w:t>regulation</w:t>
      </w:r>
      <w:r w:rsidRPr="00737348">
        <w:rPr>
          <w:rFonts w:ascii="Humnst777 Lt BT" w:hAnsi="Humnst777 Lt BT"/>
        </w:rPr>
        <w:t xml:space="preserve"> objectives remain</w:t>
      </w:r>
      <w:bookmarkEnd w:id="63"/>
      <w:bookmarkEnd w:id="64"/>
    </w:p>
    <w:p w14:paraId="1F08F883" w14:textId="46D21EEA" w:rsidR="00C97C9B" w:rsidRPr="00CF0B35" w:rsidRDefault="00D362FC" w:rsidP="00CF0B35">
      <w:pPr>
        <w:pStyle w:val="ListParagraph"/>
        <w:numPr>
          <w:ilvl w:val="0"/>
          <w:numId w:val="68"/>
        </w:numPr>
        <w:spacing w:line="360" w:lineRule="auto"/>
        <w:rPr>
          <w:rFonts w:ascii="Humnst777 Lt BT" w:hAnsi="Humnst777 Lt BT"/>
        </w:rPr>
      </w:pPr>
      <w:r>
        <w:rPr>
          <w:rFonts w:ascii="Humnst777 Lt BT" w:hAnsi="Humnst777 Lt BT"/>
        </w:rPr>
        <w:t>Supervisory</w:t>
      </w:r>
      <w:r w:rsidRPr="00D362FC">
        <w:rPr>
          <w:rFonts w:ascii="Humnst777 Lt BT" w:hAnsi="Humnst777 Lt BT"/>
        </w:rPr>
        <w:t xml:space="preserve"> authorities </w:t>
      </w:r>
      <w:r>
        <w:rPr>
          <w:rFonts w:ascii="Humnst777 Lt BT" w:hAnsi="Humnst777 Lt BT"/>
        </w:rPr>
        <w:t xml:space="preserve">continue to </w:t>
      </w:r>
      <w:r w:rsidRPr="00D362FC">
        <w:rPr>
          <w:rFonts w:ascii="Humnst777 Lt BT" w:hAnsi="Humnst777 Lt BT"/>
        </w:rPr>
        <w:t>comply with their AML obligations, to make the UK’s financial system a hostile environment for illicit finance</w:t>
      </w:r>
      <w:r>
        <w:rPr>
          <w:rFonts w:ascii="Humnst777 Lt BT" w:hAnsi="Humnst777 Lt BT"/>
        </w:rPr>
        <w:t xml:space="preserve">. </w:t>
      </w:r>
      <w:r w:rsidR="00C97C9B" w:rsidRPr="00CF0B35">
        <w:rPr>
          <w:rFonts w:ascii="Humnst777 Lt BT" w:hAnsi="Humnst777 Lt BT"/>
        </w:rPr>
        <w:t>This objective remains relevant.</w:t>
      </w:r>
    </w:p>
    <w:p w14:paraId="100A7F61" w14:textId="63415D20" w:rsidR="0041638B" w:rsidRDefault="1F3A0B63" w:rsidP="00C97C9B">
      <w:pPr>
        <w:pStyle w:val="ListParagraph"/>
        <w:numPr>
          <w:ilvl w:val="0"/>
          <w:numId w:val="68"/>
        </w:numPr>
        <w:spacing w:line="360" w:lineRule="auto"/>
        <w:jc w:val="both"/>
        <w:rPr>
          <w:rFonts w:ascii="Humnst777 Lt BT" w:hAnsi="Humnst777 Lt BT"/>
        </w:rPr>
      </w:pPr>
      <w:r w:rsidRPr="3EB4B684">
        <w:rPr>
          <w:rFonts w:ascii="Humnst777 Lt BT" w:hAnsi="Humnst777 Lt BT"/>
        </w:rPr>
        <w:lastRenderedPageBreak/>
        <w:t>There are still weaknesses in the UK’s AML/CTF supervision regime</w:t>
      </w:r>
      <w:r w:rsidR="1DF3B81B" w:rsidRPr="3EB4B684">
        <w:rPr>
          <w:rFonts w:ascii="Humnst777 Lt BT" w:hAnsi="Humnst777 Lt BT"/>
        </w:rPr>
        <w:t>, as assessed by a number of different bodies. This remains a highly appropriate objective.</w:t>
      </w:r>
    </w:p>
    <w:p w14:paraId="144E2F3B" w14:textId="20F9000F" w:rsidR="00713966" w:rsidRPr="00915B42" w:rsidRDefault="0FBD2F91" w:rsidP="00C97C9B">
      <w:pPr>
        <w:pStyle w:val="ListParagraph"/>
        <w:numPr>
          <w:ilvl w:val="0"/>
          <w:numId w:val="68"/>
        </w:numPr>
        <w:spacing w:line="360" w:lineRule="auto"/>
        <w:jc w:val="both"/>
        <w:rPr>
          <w:rFonts w:ascii="Humnst777 Lt BT" w:hAnsi="Humnst777 Lt BT"/>
        </w:rPr>
      </w:pPr>
      <w:r w:rsidRPr="6BD975F8">
        <w:rPr>
          <w:rFonts w:ascii="Humnst777 Lt BT" w:hAnsi="Humnst777 Lt BT"/>
        </w:rPr>
        <w:t xml:space="preserve">Minimising </w:t>
      </w:r>
      <w:r w:rsidR="3AD28EEF" w:rsidRPr="6BD975F8">
        <w:rPr>
          <w:rFonts w:ascii="Humnst777 Lt BT" w:hAnsi="Humnst777 Lt BT"/>
        </w:rPr>
        <w:t>unnecessary</w:t>
      </w:r>
      <w:r w:rsidRPr="6BD975F8">
        <w:rPr>
          <w:rFonts w:ascii="Humnst777 Lt BT" w:hAnsi="Humnst777 Lt BT"/>
        </w:rPr>
        <w:t xml:space="preserve"> </w:t>
      </w:r>
      <w:r w:rsidR="238649D1" w:rsidRPr="6BD975F8">
        <w:rPr>
          <w:rFonts w:ascii="Humnst777 Lt BT" w:hAnsi="Humnst777 Lt BT"/>
        </w:rPr>
        <w:t>burden on businesses</w:t>
      </w:r>
      <w:r w:rsidR="3AD28EEF" w:rsidRPr="6BD975F8">
        <w:rPr>
          <w:rFonts w:ascii="Humnst777 Lt BT" w:hAnsi="Humnst777 Lt BT"/>
        </w:rPr>
        <w:t xml:space="preserve"> </w:t>
      </w:r>
      <w:r w:rsidR="002D7E70">
        <w:rPr>
          <w:rFonts w:ascii="Humnst777 Lt BT" w:hAnsi="Humnst777 Lt BT"/>
        </w:rPr>
        <w:t>relies on the</w:t>
      </w:r>
      <w:r w:rsidR="3410E101" w:rsidRPr="6BD975F8">
        <w:rPr>
          <w:rFonts w:ascii="Humnst777 Lt BT" w:hAnsi="Humnst777 Lt BT"/>
        </w:rPr>
        <w:t xml:space="preserve"> use of the risk-based approach</w:t>
      </w:r>
      <w:r w:rsidR="7D988D05" w:rsidRPr="6BD975F8">
        <w:rPr>
          <w:rFonts w:ascii="Humnst777 Lt BT" w:hAnsi="Humnst777 Lt BT"/>
        </w:rPr>
        <w:t xml:space="preserve">, which requires regulated entities to apply the MLRs </w:t>
      </w:r>
      <w:r w:rsidR="3C1D9AD7" w:rsidRPr="6BD975F8">
        <w:rPr>
          <w:rFonts w:ascii="Humnst777 Lt BT" w:hAnsi="Humnst777 Lt BT"/>
        </w:rPr>
        <w:t>according to the risk that</w:t>
      </w:r>
      <w:r w:rsidR="15258A36" w:rsidRPr="6BD975F8">
        <w:rPr>
          <w:rFonts w:ascii="Humnst777 Lt BT" w:hAnsi="Humnst777 Lt BT"/>
        </w:rPr>
        <w:t xml:space="preserve"> countries, customers and services present to them. F</w:t>
      </w:r>
      <w:r w:rsidR="6F57A4AB" w:rsidRPr="6BD975F8">
        <w:rPr>
          <w:rFonts w:ascii="Humnst777 Lt BT" w:hAnsi="Humnst777 Lt BT"/>
        </w:rPr>
        <w:t xml:space="preserve">inding the balance </w:t>
      </w:r>
      <w:r w:rsidR="137F883E" w:rsidRPr="6BD975F8">
        <w:rPr>
          <w:rFonts w:ascii="Humnst777 Lt BT" w:hAnsi="Humnst777 Lt BT"/>
        </w:rPr>
        <w:t>between burden</w:t>
      </w:r>
      <w:r w:rsidR="4DDC664A" w:rsidRPr="6BD975F8">
        <w:rPr>
          <w:rFonts w:ascii="Humnst777 Lt BT" w:hAnsi="Humnst777 Lt BT"/>
        </w:rPr>
        <w:t xml:space="preserve"> and necessity of AML/CTF</w:t>
      </w:r>
      <w:r w:rsidR="137F883E" w:rsidRPr="6BD975F8">
        <w:rPr>
          <w:rFonts w:ascii="Humnst777 Lt BT" w:hAnsi="Humnst777 Lt BT"/>
        </w:rPr>
        <w:t xml:space="preserve"> regulations </w:t>
      </w:r>
      <w:r w:rsidR="4DDC664A" w:rsidRPr="6BD975F8">
        <w:rPr>
          <w:rFonts w:ascii="Humnst777 Lt BT" w:hAnsi="Humnst777 Lt BT"/>
        </w:rPr>
        <w:t>is a constant policy priority.</w:t>
      </w:r>
    </w:p>
    <w:p w14:paraId="0BAF0ABA" w14:textId="77777777" w:rsidR="0007453E" w:rsidRPr="0007453E" w:rsidRDefault="0007453E" w:rsidP="0007453E">
      <w:pPr>
        <w:pStyle w:val="ListParagraph"/>
        <w:spacing w:line="360" w:lineRule="auto"/>
        <w:ind w:left="785"/>
        <w:jc w:val="both"/>
        <w:rPr>
          <w:rFonts w:ascii="Humnst777 Lt BT" w:hAnsi="Humnst777 Lt BT"/>
          <w:szCs w:val="24"/>
        </w:rPr>
      </w:pPr>
    </w:p>
    <w:p w14:paraId="4837AE0F" w14:textId="77777777" w:rsidR="00854A25" w:rsidRPr="00D06435" w:rsidRDefault="00854A25" w:rsidP="0007453E">
      <w:pPr>
        <w:pStyle w:val="ListParagraph"/>
        <w:spacing w:line="360" w:lineRule="auto"/>
        <w:ind w:left="785"/>
        <w:jc w:val="both"/>
        <w:rPr>
          <w:rFonts w:ascii="Humnst777 Lt BT" w:hAnsi="Humnst777 Lt BT"/>
          <w:szCs w:val="24"/>
        </w:rPr>
      </w:pPr>
    </w:p>
    <w:p w14:paraId="1370F946" w14:textId="77777777" w:rsidR="00D06435" w:rsidRPr="00D06435" w:rsidRDefault="00D06435" w:rsidP="00D06435">
      <w:pPr>
        <w:spacing w:line="360" w:lineRule="auto"/>
        <w:jc w:val="both"/>
        <w:rPr>
          <w:rFonts w:ascii="Humnst777 Lt BT" w:hAnsi="Humnst777 Lt BT"/>
          <w:szCs w:val="24"/>
        </w:rPr>
      </w:pPr>
    </w:p>
    <w:p w14:paraId="7481A64B" w14:textId="77777777" w:rsidR="00D06435" w:rsidRPr="00D06435" w:rsidRDefault="00D06435" w:rsidP="00D06435">
      <w:pPr>
        <w:spacing w:line="360" w:lineRule="auto"/>
        <w:jc w:val="both"/>
        <w:rPr>
          <w:rFonts w:ascii="Humnst777 Lt BT" w:hAnsi="Humnst777 Lt BT"/>
          <w:szCs w:val="24"/>
        </w:rPr>
      </w:pPr>
    </w:p>
    <w:p w14:paraId="6B0BF815" w14:textId="77777777" w:rsidR="0027716E" w:rsidRDefault="0027716E" w:rsidP="0027716E">
      <w:pPr>
        <w:spacing w:line="360" w:lineRule="auto"/>
        <w:jc w:val="both"/>
        <w:rPr>
          <w:rFonts w:ascii="Humnst777 Lt BT" w:hAnsi="Humnst777 Lt BT"/>
          <w:szCs w:val="24"/>
        </w:rPr>
      </w:pPr>
    </w:p>
    <w:p w14:paraId="72C9E618" w14:textId="77777777" w:rsidR="00DC6EBB" w:rsidRDefault="00DC6EBB" w:rsidP="0027716E">
      <w:pPr>
        <w:spacing w:line="360" w:lineRule="auto"/>
        <w:jc w:val="both"/>
        <w:rPr>
          <w:rFonts w:ascii="Humnst777 Lt BT" w:hAnsi="Humnst777 Lt BT"/>
          <w:szCs w:val="24"/>
        </w:rPr>
      </w:pPr>
    </w:p>
    <w:p w14:paraId="43A71ADA" w14:textId="77777777" w:rsidR="00E63959" w:rsidRPr="00E63959" w:rsidRDefault="00E63959" w:rsidP="0027716E">
      <w:pPr>
        <w:spacing w:line="360" w:lineRule="auto"/>
        <w:jc w:val="both"/>
        <w:rPr>
          <w:rFonts w:ascii="Humnst777 Lt BT" w:hAnsi="Humnst777 Lt BT"/>
          <w:szCs w:val="24"/>
        </w:rPr>
      </w:pPr>
    </w:p>
    <w:p w14:paraId="2E901181" w14:textId="0CEBFE09" w:rsidR="00CA58EE" w:rsidRDefault="00CA58EE">
      <w:pPr>
        <w:rPr>
          <w:rFonts w:ascii="Humnst777 Lt BT" w:hAnsi="Humnst777 Lt BT"/>
          <w:b/>
          <w:bCs/>
          <w:szCs w:val="24"/>
          <w:u w:val="single"/>
        </w:rPr>
      </w:pPr>
      <w:r>
        <w:rPr>
          <w:rFonts w:ascii="Humnst777 Lt BT" w:hAnsi="Humnst777 Lt BT"/>
          <w:b/>
          <w:bCs/>
          <w:szCs w:val="24"/>
          <w:u w:val="single"/>
        </w:rPr>
        <w:br w:type="page"/>
      </w:r>
    </w:p>
    <w:p w14:paraId="6278FC48" w14:textId="24320900" w:rsidR="00CA58EE" w:rsidRPr="00737348" w:rsidRDefault="00CA58EE" w:rsidP="00737348">
      <w:pPr>
        <w:pStyle w:val="Heading1"/>
        <w:rPr>
          <w:rFonts w:ascii="Humnst777 Lt BT" w:hAnsi="Humnst777 Lt BT"/>
        </w:rPr>
      </w:pPr>
      <w:bookmarkStart w:id="65" w:name="_Toc1403702256"/>
      <w:bookmarkStart w:id="66" w:name="_Toc104977827"/>
      <w:r w:rsidRPr="00737348">
        <w:rPr>
          <w:rFonts w:ascii="Humnst777 Lt BT" w:hAnsi="Humnst777 Lt BT"/>
        </w:rPr>
        <w:lastRenderedPageBreak/>
        <w:t>Conclusion</w:t>
      </w:r>
      <w:bookmarkEnd w:id="65"/>
      <w:bookmarkEnd w:id="66"/>
    </w:p>
    <w:p w14:paraId="523A8968" w14:textId="190DF967" w:rsidR="0017556E" w:rsidRDefault="7691C0ED" w:rsidP="00C97C9B">
      <w:pPr>
        <w:pStyle w:val="ListParagraph"/>
        <w:numPr>
          <w:ilvl w:val="0"/>
          <w:numId w:val="68"/>
        </w:numPr>
        <w:spacing w:line="360" w:lineRule="auto"/>
        <w:jc w:val="both"/>
        <w:rPr>
          <w:rFonts w:ascii="Humnst777 Lt BT" w:hAnsi="Humnst777 Lt BT"/>
        </w:rPr>
      </w:pPr>
      <w:r w:rsidRPr="6BD975F8">
        <w:rPr>
          <w:rFonts w:ascii="Humnst777 Lt BT" w:hAnsi="Humnst777 Lt BT"/>
        </w:rPr>
        <w:t>The evidence available has been considered a</w:t>
      </w:r>
      <w:r w:rsidR="591A5F32" w:rsidRPr="6BD975F8">
        <w:rPr>
          <w:rFonts w:ascii="Humnst777 Lt BT" w:hAnsi="Humnst777 Lt BT"/>
        </w:rPr>
        <w:t xml:space="preserve">gainst the objectives </w:t>
      </w:r>
      <w:r w:rsidR="6B1BB009" w:rsidRPr="6BD975F8">
        <w:rPr>
          <w:rFonts w:ascii="Humnst777 Lt BT" w:hAnsi="Humnst777 Lt BT"/>
        </w:rPr>
        <w:t xml:space="preserve">of improving </w:t>
      </w:r>
      <w:r w:rsidR="6B1BB009" w:rsidRPr="6BD975F8">
        <w:rPr>
          <w:rFonts w:ascii="Humnst777 Lt BT" w:hAnsi="Humnst777 Lt BT"/>
          <w:u w:val="single"/>
        </w:rPr>
        <w:t>consistency</w:t>
      </w:r>
      <w:r w:rsidR="014D21BE" w:rsidRPr="6BD975F8">
        <w:rPr>
          <w:rFonts w:ascii="Humnst777 Lt BT" w:hAnsi="Humnst777 Lt BT"/>
          <w:u w:val="single"/>
        </w:rPr>
        <w:t xml:space="preserve"> of AML/CTF</w:t>
      </w:r>
      <w:r w:rsidR="1E9E9131" w:rsidRPr="6BD975F8">
        <w:rPr>
          <w:rFonts w:ascii="Humnst777 Lt BT" w:hAnsi="Humnst777 Lt BT"/>
          <w:u w:val="single"/>
        </w:rPr>
        <w:t xml:space="preserve"> supervision</w:t>
      </w:r>
      <w:r w:rsidR="6B1BB009" w:rsidRPr="6BD975F8">
        <w:rPr>
          <w:rFonts w:ascii="Humnst777 Lt BT" w:hAnsi="Humnst777 Lt BT"/>
        </w:rPr>
        <w:t xml:space="preserve">, facilitating </w:t>
      </w:r>
      <w:r w:rsidR="6B1BB009" w:rsidRPr="6BD975F8">
        <w:rPr>
          <w:rFonts w:ascii="Humnst777 Lt BT" w:hAnsi="Humnst777 Lt BT"/>
          <w:u w:val="single"/>
        </w:rPr>
        <w:t>sharing of information and intelligence</w:t>
      </w:r>
      <w:r w:rsidR="6B1BB009" w:rsidRPr="6BD975F8">
        <w:rPr>
          <w:rFonts w:ascii="Humnst777 Lt BT" w:hAnsi="Humnst777 Lt BT"/>
        </w:rPr>
        <w:t xml:space="preserve"> across supervis</w:t>
      </w:r>
      <w:r w:rsidR="1E9E9131" w:rsidRPr="6BD975F8">
        <w:rPr>
          <w:rFonts w:ascii="Humnst777 Lt BT" w:hAnsi="Humnst777 Lt BT"/>
        </w:rPr>
        <w:t>ors</w:t>
      </w:r>
      <w:r w:rsidR="6B1BB009" w:rsidRPr="6BD975F8">
        <w:rPr>
          <w:rFonts w:ascii="Humnst777 Lt BT" w:hAnsi="Humnst777 Lt BT"/>
        </w:rPr>
        <w:t xml:space="preserve"> and improving </w:t>
      </w:r>
      <w:r w:rsidR="6B1BB009" w:rsidRPr="6BD975F8">
        <w:rPr>
          <w:rFonts w:ascii="Humnst777 Lt BT" w:hAnsi="Humnst777 Lt BT"/>
          <w:u w:val="single"/>
        </w:rPr>
        <w:t>PBS compliance with the MLRs and their subsequent effectiveness</w:t>
      </w:r>
      <w:r w:rsidR="6B1BB009" w:rsidRPr="6BD975F8">
        <w:rPr>
          <w:rFonts w:ascii="Humnst777 Lt BT" w:hAnsi="Humnst777 Lt BT"/>
        </w:rPr>
        <w:t xml:space="preserve">. </w:t>
      </w:r>
    </w:p>
    <w:p w14:paraId="2AB64375" w14:textId="0E978682" w:rsidR="0017556E" w:rsidRDefault="6A76FC5D" w:rsidP="00C97C9B">
      <w:pPr>
        <w:pStyle w:val="ListParagraph"/>
        <w:numPr>
          <w:ilvl w:val="0"/>
          <w:numId w:val="68"/>
        </w:numPr>
        <w:spacing w:line="360" w:lineRule="auto"/>
        <w:jc w:val="both"/>
        <w:rPr>
          <w:rFonts w:ascii="Humnst777 Lt BT" w:hAnsi="Humnst777 Lt BT"/>
        </w:rPr>
      </w:pPr>
      <w:r w:rsidRPr="6BD975F8">
        <w:rPr>
          <w:rFonts w:ascii="Humnst777 Lt BT" w:hAnsi="Humnst777 Lt BT"/>
        </w:rPr>
        <w:t>Having assessed available evidence alongside the three objectives of OPBAS, as laid out in this PIR, the progress that has been made as a result of the inception and work of OPBAS is significant</w:t>
      </w:r>
      <w:r w:rsidR="5CCB41C2" w:rsidRPr="6BD975F8">
        <w:rPr>
          <w:rFonts w:ascii="Humnst777 Lt BT" w:hAnsi="Humnst777 Lt BT"/>
        </w:rPr>
        <w:t>.</w:t>
      </w:r>
      <w:r w:rsidRPr="6BD975F8">
        <w:rPr>
          <w:rFonts w:ascii="Humnst777 Lt BT" w:hAnsi="Humnst777 Lt BT"/>
        </w:rPr>
        <w:t xml:space="preserve"> OPBAS </w:t>
      </w:r>
      <w:r w:rsidR="5576578F" w:rsidRPr="6BD975F8">
        <w:rPr>
          <w:rFonts w:ascii="Humnst777 Lt BT" w:hAnsi="Humnst777 Lt BT"/>
        </w:rPr>
        <w:t xml:space="preserve">has now evolved its focus, from compliance to effectiveness, </w:t>
      </w:r>
      <w:r w:rsidRPr="6BD975F8">
        <w:rPr>
          <w:rFonts w:ascii="Humnst777 Lt BT" w:hAnsi="Humnst777 Lt BT"/>
        </w:rPr>
        <w:t xml:space="preserve">when holding supervisors to account </w:t>
      </w:r>
      <w:r w:rsidR="5576578F" w:rsidRPr="6BD975F8">
        <w:rPr>
          <w:rFonts w:ascii="Humnst777 Lt BT" w:hAnsi="Humnst777 Lt BT"/>
        </w:rPr>
        <w:t xml:space="preserve">and is demonstrating some </w:t>
      </w:r>
      <w:r w:rsidRPr="6BD975F8">
        <w:rPr>
          <w:rFonts w:ascii="Humnst777 Lt BT" w:hAnsi="Humnst777 Lt BT"/>
        </w:rPr>
        <w:t>initial progress</w:t>
      </w:r>
      <w:r w:rsidR="0FB65C43" w:rsidRPr="6BD975F8">
        <w:rPr>
          <w:rFonts w:ascii="Humnst777 Lt BT" w:hAnsi="Humnst777 Lt BT"/>
        </w:rPr>
        <w:t xml:space="preserve"> in this</w:t>
      </w:r>
      <w:r w:rsidRPr="6BD975F8">
        <w:rPr>
          <w:rFonts w:ascii="Humnst777 Lt BT" w:hAnsi="Humnst777 Lt BT"/>
        </w:rPr>
        <w:t>.</w:t>
      </w:r>
    </w:p>
    <w:p w14:paraId="26E66229" w14:textId="3C06215C" w:rsidR="00684AD3" w:rsidRDefault="77D41BCC" w:rsidP="00C97C9B">
      <w:pPr>
        <w:pStyle w:val="ListParagraph"/>
        <w:numPr>
          <w:ilvl w:val="0"/>
          <w:numId w:val="68"/>
        </w:numPr>
        <w:spacing w:line="360" w:lineRule="auto"/>
        <w:jc w:val="both"/>
        <w:rPr>
          <w:rFonts w:ascii="Humnst777 Lt BT" w:hAnsi="Humnst777 Lt BT"/>
        </w:rPr>
      </w:pPr>
      <w:r w:rsidRPr="6BD975F8">
        <w:rPr>
          <w:rFonts w:ascii="Humnst777 Lt BT" w:hAnsi="Humnst777 Lt BT"/>
        </w:rPr>
        <w:t>The analysis of the PIR suggests these three key findings:</w:t>
      </w:r>
    </w:p>
    <w:p w14:paraId="509DDE22" w14:textId="77777777" w:rsidR="00CE1252" w:rsidRPr="00CE1252" w:rsidRDefault="00CE1252" w:rsidP="000944DC">
      <w:pPr>
        <w:pStyle w:val="ListParagraph"/>
        <w:numPr>
          <w:ilvl w:val="1"/>
          <w:numId w:val="37"/>
        </w:numPr>
        <w:spacing w:line="360" w:lineRule="auto"/>
        <w:jc w:val="both"/>
        <w:rPr>
          <w:rFonts w:ascii="Humnst777 Lt BT" w:hAnsi="Humnst777 Lt BT"/>
          <w:szCs w:val="24"/>
        </w:rPr>
      </w:pPr>
      <w:r w:rsidRPr="00CE1252">
        <w:rPr>
          <w:rFonts w:ascii="Humnst777 Lt BT" w:hAnsi="Humnst777 Lt BT"/>
          <w:szCs w:val="24"/>
        </w:rPr>
        <w:t>Consistency of approach to supervision is still limited in PBSs, despite many improvements that have been seen since the creation of OPBAS. There are more improvements to be made in this area in order to meet the policy objective of the Regulations. General improvements to PBS application of the risk-based approach, publications of Regulation 46A reports and qualitative data in responses to the Call for Evidence can all be used to demonstrate this overall progress in meeting the consistency objective.</w:t>
      </w:r>
    </w:p>
    <w:p w14:paraId="37447701" w14:textId="77777777" w:rsidR="00CE1252" w:rsidRPr="00CE1252" w:rsidRDefault="00CE1252" w:rsidP="000944DC">
      <w:pPr>
        <w:pStyle w:val="ListParagraph"/>
        <w:numPr>
          <w:ilvl w:val="1"/>
          <w:numId w:val="37"/>
        </w:numPr>
        <w:spacing w:line="360" w:lineRule="auto"/>
        <w:jc w:val="both"/>
        <w:rPr>
          <w:rFonts w:ascii="Humnst777 Lt BT" w:hAnsi="Humnst777 Lt BT"/>
          <w:szCs w:val="24"/>
        </w:rPr>
      </w:pPr>
      <w:r w:rsidRPr="00CE1252">
        <w:rPr>
          <w:rFonts w:ascii="Humnst777 Lt BT" w:hAnsi="Humnst777 Lt BT"/>
          <w:szCs w:val="24"/>
        </w:rPr>
        <w:t>Information and intelligence sharing has significantly improved, much as a result of the work OPBAS has done in creating, and encouraging use of, sharing forums. OPBAS have therefore been more effective in reaching this policy objective.</w:t>
      </w:r>
    </w:p>
    <w:p w14:paraId="58962360" w14:textId="5197DB0C" w:rsidR="00CE1252" w:rsidRPr="00CE1252" w:rsidRDefault="00CE1252" w:rsidP="00CE1252">
      <w:pPr>
        <w:pStyle w:val="ListParagraph"/>
        <w:spacing w:line="360" w:lineRule="auto"/>
        <w:ind w:left="1440"/>
        <w:jc w:val="both"/>
        <w:rPr>
          <w:rFonts w:ascii="Humnst777 Lt BT" w:hAnsi="Humnst777 Lt BT"/>
          <w:szCs w:val="24"/>
        </w:rPr>
      </w:pPr>
      <w:r w:rsidRPr="00CE1252">
        <w:rPr>
          <w:rFonts w:ascii="Humnst777 Lt BT" w:hAnsi="Humnst777 Lt BT"/>
          <w:szCs w:val="24"/>
        </w:rPr>
        <w:t>This is demonstrated through the much-increased activity of PBSs in this area, heightened engagement with SIS and FIN-NET shows improvements</w:t>
      </w:r>
      <w:r w:rsidR="00E63AFA">
        <w:rPr>
          <w:rFonts w:ascii="Humnst777 Lt BT" w:hAnsi="Humnst777 Lt BT"/>
          <w:szCs w:val="24"/>
        </w:rPr>
        <w:t xml:space="preserve"> in engagement</w:t>
      </w:r>
      <w:r w:rsidRPr="00CE1252">
        <w:rPr>
          <w:rFonts w:ascii="Humnst777 Lt BT" w:hAnsi="Humnst777 Lt BT"/>
          <w:szCs w:val="24"/>
        </w:rPr>
        <w:t xml:space="preserve"> as a result of OPBAS requirements. Equally, the establishment of Intelligence Sharing Expert Working Groups (ISWEGs) is a key piece of evidence that shows the creation of OPBAS moving towards meeting this policy objective of the Regulations.</w:t>
      </w:r>
      <w:r w:rsidR="00E63AFA">
        <w:rPr>
          <w:rFonts w:ascii="Humnst777 Lt BT" w:hAnsi="Humnst777 Lt BT"/>
          <w:szCs w:val="24"/>
        </w:rPr>
        <w:t xml:space="preserve"> The next step </w:t>
      </w:r>
      <w:r w:rsidR="00846E77">
        <w:rPr>
          <w:rFonts w:ascii="Humnst777 Lt BT" w:hAnsi="Humnst777 Lt BT"/>
          <w:szCs w:val="24"/>
        </w:rPr>
        <w:t xml:space="preserve">will be to </w:t>
      </w:r>
      <w:r w:rsidR="009C356B">
        <w:rPr>
          <w:rFonts w:ascii="Humnst777 Lt BT" w:hAnsi="Humnst777 Lt BT"/>
          <w:szCs w:val="24"/>
        </w:rPr>
        <w:t xml:space="preserve">work out a substantive method of testing how </w:t>
      </w:r>
      <w:r w:rsidR="00FB4EFD">
        <w:rPr>
          <w:rFonts w:ascii="Humnst777 Lt BT" w:hAnsi="Humnst777 Lt BT"/>
          <w:szCs w:val="24"/>
        </w:rPr>
        <w:t>impactful these fo</w:t>
      </w:r>
      <w:r w:rsidR="009C356B">
        <w:rPr>
          <w:rFonts w:ascii="Humnst777 Lt BT" w:hAnsi="Humnst777 Lt BT"/>
          <w:szCs w:val="24"/>
        </w:rPr>
        <w:t xml:space="preserve">rums are in </w:t>
      </w:r>
      <w:r w:rsidR="008937EC">
        <w:rPr>
          <w:rFonts w:ascii="Humnst777 Lt BT" w:hAnsi="Humnst777 Lt BT"/>
          <w:szCs w:val="24"/>
        </w:rPr>
        <w:t>combatting economic crime.</w:t>
      </w:r>
      <w:r w:rsidR="009C356B">
        <w:rPr>
          <w:rFonts w:ascii="Humnst777 Lt BT" w:hAnsi="Humnst777 Lt BT"/>
          <w:szCs w:val="24"/>
        </w:rPr>
        <w:t xml:space="preserve"> </w:t>
      </w:r>
    </w:p>
    <w:p w14:paraId="29D4C59D" w14:textId="797B7C44" w:rsidR="00CE1252" w:rsidRPr="00CE1252" w:rsidRDefault="00CE1252" w:rsidP="000944DC">
      <w:pPr>
        <w:pStyle w:val="ListParagraph"/>
        <w:numPr>
          <w:ilvl w:val="1"/>
          <w:numId w:val="37"/>
        </w:numPr>
        <w:spacing w:line="360" w:lineRule="auto"/>
        <w:jc w:val="both"/>
        <w:rPr>
          <w:rFonts w:ascii="Humnst777 Lt BT" w:hAnsi="Humnst777 Lt BT"/>
          <w:szCs w:val="24"/>
        </w:rPr>
      </w:pPr>
      <w:r w:rsidRPr="00CE1252">
        <w:rPr>
          <w:rFonts w:ascii="Humnst777 Lt BT" w:hAnsi="Humnst777 Lt BT"/>
          <w:szCs w:val="24"/>
        </w:rPr>
        <w:t xml:space="preserve">There have been improvements in the effectiveness of the UK supervisory regime since the inception of OPBAS in 2018, as is reflected in relevant sector feedback and the overall improvements in enforcement. While these improvements are welcome, the findings from the third OPBAS report, which focused on effectiveness, demonstrate </w:t>
      </w:r>
      <w:r w:rsidR="00D90770">
        <w:rPr>
          <w:rFonts w:ascii="Humnst777 Lt BT" w:hAnsi="Humnst777 Lt BT"/>
          <w:szCs w:val="24"/>
        </w:rPr>
        <w:t xml:space="preserve">that </w:t>
      </w:r>
      <w:r w:rsidRPr="00CE1252">
        <w:rPr>
          <w:rFonts w:ascii="Humnst777 Lt BT" w:hAnsi="Humnst777 Lt BT"/>
          <w:szCs w:val="24"/>
        </w:rPr>
        <w:t xml:space="preserve">there remain significant weaknesses in the regime which must be addressed. The objectives remain appropriate, with some scope to explore how to make them less </w:t>
      </w:r>
      <w:r w:rsidRPr="00CE1252">
        <w:rPr>
          <w:rFonts w:ascii="Humnst777 Lt BT" w:hAnsi="Humnst777 Lt BT"/>
          <w:szCs w:val="24"/>
        </w:rPr>
        <w:lastRenderedPageBreak/>
        <w:t>burdensome on supervisors</w:t>
      </w:r>
      <w:r w:rsidR="00975B20">
        <w:rPr>
          <w:rFonts w:ascii="Humnst777 Lt BT" w:hAnsi="Humnst777 Lt BT"/>
          <w:szCs w:val="24"/>
        </w:rPr>
        <w:t xml:space="preserve"> </w:t>
      </w:r>
      <w:r w:rsidR="00D90770">
        <w:rPr>
          <w:rFonts w:ascii="Humnst777 Lt BT" w:hAnsi="Humnst777 Lt BT"/>
          <w:szCs w:val="24"/>
        </w:rPr>
        <w:t xml:space="preserve">in encouraging a </w:t>
      </w:r>
      <w:r w:rsidR="00CF5938">
        <w:rPr>
          <w:rFonts w:ascii="Humnst777 Lt BT" w:hAnsi="Humnst777 Lt BT"/>
          <w:szCs w:val="24"/>
        </w:rPr>
        <w:t>genuine and effective</w:t>
      </w:r>
      <w:r w:rsidR="00D90770">
        <w:rPr>
          <w:rFonts w:ascii="Humnst777 Lt BT" w:hAnsi="Humnst777 Lt BT"/>
          <w:szCs w:val="24"/>
        </w:rPr>
        <w:t xml:space="preserve"> risk-based approach</w:t>
      </w:r>
      <w:r w:rsidR="00F94035">
        <w:rPr>
          <w:rFonts w:ascii="Humnst777 Lt BT" w:hAnsi="Humnst777 Lt BT"/>
          <w:szCs w:val="24"/>
        </w:rPr>
        <w:t>, as</w:t>
      </w:r>
      <w:r w:rsidR="00D90770">
        <w:rPr>
          <w:rFonts w:ascii="Humnst777 Lt BT" w:hAnsi="Humnst777 Lt BT"/>
          <w:szCs w:val="24"/>
        </w:rPr>
        <w:t xml:space="preserve"> explained above</w:t>
      </w:r>
      <w:r w:rsidRPr="00CE1252">
        <w:rPr>
          <w:rFonts w:ascii="Humnst777 Lt BT" w:hAnsi="Humnst777 Lt BT"/>
          <w:szCs w:val="24"/>
        </w:rPr>
        <w:t xml:space="preserve">. </w:t>
      </w:r>
    </w:p>
    <w:p w14:paraId="736F0B84" w14:textId="67922C9B" w:rsidR="0062048E" w:rsidRDefault="00CE1252" w:rsidP="0058B8E4">
      <w:pPr>
        <w:pStyle w:val="ListParagraph"/>
        <w:spacing w:line="360" w:lineRule="auto"/>
        <w:ind w:left="1440"/>
        <w:jc w:val="both"/>
        <w:rPr>
          <w:rFonts w:ascii="Humnst777 Lt BT" w:hAnsi="Humnst777 Lt BT"/>
        </w:rPr>
      </w:pPr>
      <w:r w:rsidRPr="0058B8E4">
        <w:rPr>
          <w:rFonts w:ascii="Humnst777 Lt BT" w:hAnsi="Humnst777 Lt BT"/>
        </w:rPr>
        <w:t xml:space="preserve">PBS compliance is </w:t>
      </w:r>
      <w:r w:rsidR="00E47446" w:rsidRPr="0058B8E4">
        <w:rPr>
          <w:rFonts w:ascii="Humnst777 Lt BT" w:hAnsi="Humnst777 Lt BT"/>
        </w:rPr>
        <w:t xml:space="preserve">now </w:t>
      </w:r>
      <w:r w:rsidRPr="0058B8E4">
        <w:rPr>
          <w:rFonts w:ascii="Humnst777 Lt BT" w:hAnsi="Humnst777 Lt BT"/>
        </w:rPr>
        <w:t xml:space="preserve">largely in place, but effectiveness of supervision must be </w:t>
      </w:r>
      <w:r w:rsidR="00E47446" w:rsidRPr="0058B8E4">
        <w:rPr>
          <w:rFonts w:ascii="Humnst777 Lt BT" w:hAnsi="Humnst777 Lt BT"/>
        </w:rPr>
        <w:t xml:space="preserve">further </w:t>
      </w:r>
      <w:r w:rsidRPr="0058B8E4">
        <w:rPr>
          <w:rFonts w:ascii="Humnst777 Lt BT" w:hAnsi="Humnst777 Lt BT"/>
        </w:rPr>
        <w:t>improved</w:t>
      </w:r>
      <w:r w:rsidR="00E47446" w:rsidRPr="0058B8E4">
        <w:rPr>
          <w:rFonts w:ascii="Humnst777 Lt BT" w:hAnsi="Humnst777 Lt BT"/>
        </w:rPr>
        <w:t>.</w:t>
      </w:r>
      <w:r w:rsidRPr="0058B8E4">
        <w:rPr>
          <w:rFonts w:ascii="Humnst777 Lt BT" w:hAnsi="Humnst777 Lt BT"/>
        </w:rPr>
        <w:t xml:space="preserve"> OPBAS has already started this shift of focus, which </w:t>
      </w:r>
      <w:r w:rsidR="00E47446" w:rsidRPr="0058B8E4">
        <w:rPr>
          <w:rFonts w:ascii="Humnst777 Lt BT" w:hAnsi="Humnst777 Lt BT"/>
        </w:rPr>
        <w:t>has been</w:t>
      </w:r>
      <w:r w:rsidRPr="0058B8E4">
        <w:rPr>
          <w:rFonts w:ascii="Humnst777 Lt BT" w:hAnsi="Humnst777 Lt BT"/>
        </w:rPr>
        <w:t xml:space="preserve"> considered further through the future forward-looking elements of the Review.</w:t>
      </w:r>
    </w:p>
    <w:p w14:paraId="527E1D79" w14:textId="2E821E77" w:rsidR="00E47446" w:rsidRPr="00E47446" w:rsidRDefault="6BD312DF" w:rsidP="00C97C9B">
      <w:pPr>
        <w:pStyle w:val="ListParagraph"/>
        <w:numPr>
          <w:ilvl w:val="0"/>
          <w:numId w:val="68"/>
        </w:numPr>
        <w:spacing w:after="240" w:line="360" w:lineRule="auto"/>
        <w:rPr>
          <w:rFonts w:ascii="Humnst777 Lt BT" w:hAnsi="Humnst777 Lt BT"/>
        </w:rPr>
      </w:pPr>
      <w:r w:rsidRPr="6BD975F8">
        <w:rPr>
          <w:rFonts w:ascii="Humnst777 Lt BT" w:hAnsi="Humnst777 Lt BT"/>
        </w:rPr>
        <w:t xml:space="preserve">This paper has used available evidence to show the extent to which policy objectives of the OPBAS Regulations have been </w:t>
      </w:r>
      <w:bookmarkStart w:id="67" w:name="_Int_ghclHLQ6"/>
      <w:r w:rsidRPr="6BD975F8">
        <w:rPr>
          <w:rFonts w:ascii="Humnst777 Lt BT" w:hAnsi="Humnst777 Lt BT"/>
        </w:rPr>
        <w:t>met;</w:t>
      </w:r>
      <w:bookmarkEnd w:id="67"/>
      <w:r w:rsidRPr="6BD975F8">
        <w:rPr>
          <w:rFonts w:ascii="Humnst777 Lt BT" w:hAnsi="Humnst777 Lt BT"/>
        </w:rPr>
        <w:t xml:space="preserve"> and</w:t>
      </w:r>
      <w:r w:rsidR="222769A4" w:rsidRPr="6BD975F8">
        <w:rPr>
          <w:rFonts w:ascii="Humnst777 Lt BT" w:hAnsi="Humnst777 Lt BT"/>
        </w:rPr>
        <w:t xml:space="preserve"> </w:t>
      </w:r>
      <w:r w:rsidRPr="6BD975F8">
        <w:rPr>
          <w:rFonts w:ascii="Humnst777 Lt BT" w:hAnsi="Humnst777 Lt BT"/>
        </w:rPr>
        <w:t>touched on how appropriate these objectives still are.</w:t>
      </w:r>
    </w:p>
    <w:p w14:paraId="288CF8CD" w14:textId="65414370" w:rsidR="00651334" w:rsidRPr="009777B8" w:rsidRDefault="6BD312DF" w:rsidP="00C97C9B">
      <w:pPr>
        <w:pStyle w:val="ListParagraph"/>
        <w:numPr>
          <w:ilvl w:val="0"/>
          <w:numId w:val="68"/>
        </w:numPr>
        <w:spacing w:after="240" w:line="360" w:lineRule="auto"/>
        <w:rPr>
          <w:rFonts w:ascii="Humnst777 Lt BT" w:hAnsi="Humnst777 Lt BT"/>
        </w:rPr>
      </w:pPr>
      <w:r w:rsidRPr="6BD975F8">
        <w:rPr>
          <w:rFonts w:ascii="Humnst777 Lt BT" w:hAnsi="Humnst777 Lt BT"/>
        </w:rPr>
        <w:t xml:space="preserve">This information and analysis will inform the backwards-looking PIR section of the MLRs review. This does not preclude HMT from looking at further steps we could take to improve effectiveness of the work of OPBAS in the future, as part of the </w:t>
      </w:r>
      <w:r w:rsidR="2BFC9DCA" w:rsidRPr="6BD975F8">
        <w:rPr>
          <w:rFonts w:ascii="Humnst777 Lt BT" w:hAnsi="Humnst777 Lt BT"/>
        </w:rPr>
        <w:t>wider</w:t>
      </w:r>
      <w:r w:rsidRPr="6BD975F8">
        <w:rPr>
          <w:rFonts w:ascii="Humnst777 Lt BT" w:hAnsi="Humnst777 Lt BT"/>
        </w:rPr>
        <w:t xml:space="preserve"> MLRs review.</w:t>
      </w:r>
    </w:p>
    <w:p w14:paraId="5FB95AC3" w14:textId="0793C48F" w:rsidR="00651334" w:rsidRDefault="6BD312DF" w:rsidP="00C97C9B">
      <w:pPr>
        <w:pStyle w:val="ListParagraph"/>
        <w:numPr>
          <w:ilvl w:val="0"/>
          <w:numId w:val="68"/>
        </w:numPr>
        <w:spacing w:before="240" w:after="240" w:line="360" w:lineRule="auto"/>
        <w:rPr>
          <w:rFonts w:ascii="Humnst777 Lt BT" w:hAnsi="Humnst777 Lt BT"/>
        </w:rPr>
      </w:pPr>
      <w:r w:rsidRPr="6BD975F8">
        <w:rPr>
          <w:rFonts w:ascii="Humnst777 Lt BT" w:hAnsi="Humnst777 Lt BT"/>
        </w:rPr>
        <w:t>OPBAS do not claim to have met their objectives entirely, but there has been good progress. In their pre-consultation session, OPBAS cited the scale of the problem and the time frame between their inception and the review, as well as their plans to keep up the momentum for change as all points for consideration within the review.</w:t>
      </w:r>
    </w:p>
    <w:p w14:paraId="67CC5DAA" w14:textId="252C2433" w:rsidR="0058B8E4" w:rsidRPr="00737348" w:rsidRDefault="0058B8E4" w:rsidP="00737348">
      <w:pPr>
        <w:pStyle w:val="Heading2"/>
        <w:rPr>
          <w:rFonts w:ascii="Humnst777 Lt BT" w:eastAsia="Calibri" w:hAnsi="Humnst777 Lt BT"/>
        </w:rPr>
      </w:pPr>
      <w:bookmarkStart w:id="68" w:name="_Toc1038582601"/>
      <w:bookmarkStart w:id="69" w:name="_Toc104977828"/>
      <w:r w:rsidRPr="00737348">
        <w:rPr>
          <w:rFonts w:ascii="Humnst777 Lt BT" w:eastAsia="Calibri" w:hAnsi="Humnst777 Lt BT"/>
        </w:rPr>
        <w:t>Next steps</w:t>
      </w:r>
      <w:bookmarkEnd w:id="68"/>
      <w:bookmarkEnd w:id="69"/>
    </w:p>
    <w:p w14:paraId="2BAE788B" w14:textId="565C561F" w:rsidR="0058B8E4" w:rsidRDefault="028EDC03" w:rsidP="00C97C9B">
      <w:pPr>
        <w:pStyle w:val="ListParagraph"/>
        <w:numPr>
          <w:ilvl w:val="0"/>
          <w:numId w:val="68"/>
        </w:numPr>
        <w:spacing w:before="240" w:after="240" w:line="360" w:lineRule="auto"/>
      </w:pPr>
      <w:r w:rsidRPr="6BD975F8">
        <w:rPr>
          <w:rFonts w:ascii="Humnst777 Lt BT" w:eastAsia="Humnst777 Lt BT" w:hAnsi="Humnst777 Lt BT" w:cs="Humnst777 Lt BT"/>
        </w:rPr>
        <w:t>The broader MLRs Review is picking up the question of supervisory reform, which will determine the future of OPBAS.</w:t>
      </w:r>
    </w:p>
    <w:p w14:paraId="149B6F16" w14:textId="54154E19" w:rsidR="0058B8E4" w:rsidRDefault="028EDC03" w:rsidP="00C97C9B">
      <w:pPr>
        <w:pStyle w:val="ListParagraph"/>
        <w:numPr>
          <w:ilvl w:val="0"/>
          <w:numId w:val="68"/>
        </w:numPr>
        <w:spacing w:before="240" w:after="240" w:line="360" w:lineRule="auto"/>
        <w:rPr>
          <w:rFonts w:ascii="Humnst777 Lt BT" w:eastAsia="Humnst777 Lt BT" w:hAnsi="Humnst777 Lt BT" w:cs="Humnst777 Lt BT"/>
        </w:rPr>
      </w:pPr>
      <w:r w:rsidRPr="6BD975F8">
        <w:rPr>
          <w:rFonts w:ascii="Humnst777 Lt BT" w:eastAsia="Humnst777 Lt BT" w:hAnsi="Humnst777 Lt BT" w:cs="Humnst777 Lt BT"/>
        </w:rPr>
        <w:t xml:space="preserve">Based on the findings of the PIR and the CfE responses, HM Treasury have developed four different policy options for supervisory reform. </w:t>
      </w:r>
    </w:p>
    <w:p w14:paraId="547D3432" w14:textId="20318809" w:rsidR="0058B8E4" w:rsidRDefault="028EDC03" w:rsidP="00C97C9B">
      <w:pPr>
        <w:pStyle w:val="ListParagraph"/>
        <w:numPr>
          <w:ilvl w:val="0"/>
          <w:numId w:val="68"/>
        </w:numPr>
        <w:spacing w:before="240" w:after="240" w:line="360" w:lineRule="auto"/>
      </w:pPr>
      <w:r w:rsidRPr="6BD975F8">
        <w:rPr>
          <w:rFonts w:ascii="Humnst777 Lt BT" w:eastAsia="Humnst777 Lt BT" w:hAnsi="Humnst777 Lt BT" w:cs="Humnst777 Lt BT"/>
        </w:rPr>
        <w:t xml:space="preserve">The first of these is the </w:t>
      </w:r>
      <w:r w:rsidRPr="6BD975F8">
        <w:rPr>
          <w:rFonts w:ascii="Humnst777 Lt BT" w:eastAsia="Humnst777 Lt BT" w:hAnsi="Humnst777 Lt BT" w:cs="Humnst777 Lt BT"/>
          <w:b/>
          <w:bCs/>
        </w:rPr>
        <w:t>OPBAS+ model</w:t>
      </w:r>
      <w:r w:rsidRPr="6BD975F8">
        <w:rPr>
          <w:rFonts w:ascii="Humnst777 Lt BT" w:eastAsia="Humnst777 Lt BT" w:hAnsi="Humnst777 Lt BT" w:cs="Humnst777 Lt BT"/>
        </w:rPr>
        <w:t xml:space="preserve"> which involves formally expanding the remit of OPBAS to focus on effectiveness of PBSs, rather than just technical compliance. This model would involve greater powers to direct PBSs to take action to resolve poor performance and greater enforcement powers. </w:t>
      </w:r>
    </w:p>
    <w:p w14:paraId="418E9FF3" w14:textId="702A73DD" w:rsidR="0058B8E4" w:rsidRDefault="028EDC03" w:rsidP="00C97C9B">
      <w:pPr>
        <w:pStyle w:val="ListParagraph"/>
        <w:numPr>
          <w:ilvl w:val="0"/>
          <w:numId w:val="68"/>
        </w:numPr>
        <w:spacing w:before="240" w:after="240" w:line="360" w:lineRule="auto"/>
        <w:rPr>
          <w:rFonts w:ascii="Humnst777 Lt BT" w:eastAsia="Humnst777 Lt BT" w:hAnsi="Humnst777 Lt BT" w:cs="Humnst777 Lt BT"/>
        </w:rPr>
      </w:pPr>
      <w:r w:rsidRPr="75C79BD9">
        <w:rPr>
          <w:rFonts w:ascii="Humnst777 Lt BT" w:eastAsia="Humnst777 Lt BT" w:hAnsi="Humnst777 Lt BT" w:cs="Humnst777 Lt BT"/>
        </w:rPr>
        <w:t xml:space="preserve">A second option is </w:t>
      </w:r>
      <w:r w:rsidRPr="75C79BD9">
        <w:rPr>
          <w:rFonts w:ascii="Humnst777 Lt BT" w:eastAsia="Humnst777 Lt BT" w:hAnsi="Humnst777 Lt BT" w:cs="Humnst777 Lt BT"/>
          <w:b/>
          <w:bCs/>
        </w:rPr>
        <w:t>PBS consolidation</w:t>
      </w:r>
      <w:r w:rsidRPr="75C79BD9">
        <w:rPr>
          <w:rFonts w:ascii="Humnst777 Lt BT" w:eastAsia="Humnst777 Lt BT" w:hAnsi="Humnst777 Lt BT" w:cs="Humnst777 Lt BT"/>
        </w:rPr>
        <w:t>. This means reducing the number of PBSs</w:t>
      </w:r>
      <w:r w:rsidR="009F23C1">
        <w:rPr>
          <w:rFonts w:ascii="Humnst777 Lt BT" w:eastAsia="Humnst777 Lt BT" w:hAnsi="Humnst777 Lt BT" w:cs="Humnst777 Lt BT"/>
        </w:rPr>
        <w:t>,</w:t>
      </w:r>
      <w:r w:rsidRPr="75C79BD9">
        <w:rPr>
          <w:rFonts w:ascii="Humnst777 Lt BT" w:eastAsia="Humnst777 Lt BT" w:hAnsi="Humnst777 Lt BT" w:cs="Humnst777 Lt BT"/>
        </w:rPr>
        <w:t xml:space="preserve"> allowing greater oversight of the remaining supervisors</w:t>
      </w:r>
      <w:r w:rsidR="009F23C1">
        <w:rPr>
          <w:rFonts w:ascii="Humnst777 Lt BT" w:eastAsia="Humnst777 Lt BT" w:hAnsi="Humnst777 Lt BT" w:cs="Humnst777 Lt BT"/>
        </w:rPr>
        <w:t xml:space="preserve"> and reducing complexity of the supervisory regime</w:t>
      </w:r>
      <w:r w:rsidRPr="75C79BD9">
        <w:rPr>
          <w:rFonts w:ascii="Humnst777 Lt BT" w:eastAsia="Humnst777 Lt BT" w:hAnsi="Humnst777 Lt BT" w:cs="Humnst777 Lt BT"/>
        </w:rPr>
        <w:t xml:space="preserve">. </w:t>
      </w:r>
    </w:p>
    <w:p w14:paraId="49BA7A9A" w14:textId="61D339D7" w:rsidR="0058B8E4" w:rsidRDefault="028EDC03" w:rsidP="00C97C9B">
      <w:pPr>
        <w:pStyle w:val="ListParagraph"/>
        <w:numPr>
          <w:ilvl w:val="0"/>
          <w:numId w:val="68"/>
        </w:numPr>
        <w:spacing w:before="240" w:after="240" w:line="360" w:lineRule="auto"/>
      </w:pPr>
      <w:r w:rsidRPr="6BD975F8">
        <w:rPr>
          <w:rFonts w:ascii="Humnst777 Lt BT" w:eastAsia="Humnst777 Lt BT" w:hAnsi="Humnst777 Lt BT" w:cs="Humnst777 Lt BT"/>
        </w:rPr>
        <w:t xml:space="preserve">The third option is a </w:t>
      </w:r>
      <w:r w:rsidRPr="6BD975F8">
        <w:rPr>
          <w:rFonts w:ascii="Humnst777 Lt BT" w:eastAsia="Humnst777 Lt BT" w:hAnsi="Humnst777 Lt BT" w:cs="Humnst777 Lt BT"/>
          <w:b/>
          <w:bCs/>
        </w:rPr>
        <w:t>Single Professional Services Supervisor (SPSS)</w:t>
      </w:r>
      <w:r w:rsidRPr="6BD975F8">
        <w:rPr>
          <w:rFonts w:ascii="Humnst777 Lt BT" w:eastAsia="Humnst777 Lt BT" w:hAnsi="Humnst777 Lt BT" w:cs="Humnst777 Lt BT"/>
        </w:rPr>
        <w:t>. This would establish a new statutory supervisor for legal, accountancy and TCSP services, which would replace all 22 PBSs and HMRC as the accountancy and TCSP supervisor.</w:t>
      </w:r>
    </w:p>
    <w:p w14:paraId="377F7215" w14:textId="65BFB0CD" w:rsidR="0058B8E4" w:rsidRDefault="028EDC03" w:rsidP="00C97C9B">
      <w:pPr>
        <w:pStyle w:val="ListParagraph"/>
        <w:numPr>
          <w:ilvl w:val="0"/>
          <w:numId w:val="68"/>
        </w:numPr>
        <w:spacing w:before="240" w:after="240" w:line="360" w:lineRule="auto"/>
      </w:pPr>
      <w:r w:rsidRPr="6BD975F8">
        <w:rPr>
          <w:rFonts w:ascii="Humnst777 Lt BT" w:eastAsia="Humnst777 Lt BT" w:hAnsi="Humnst777 Lt BT" w:cs="Humnst777 Lt BT"/>
        </w:rPr>
        <w:lastRenderedPageBreak/>
        <w:t xml:space="preserve">The final option is the </w:t>
      </w:r>
      <w:r w:rsidRPr="6BD975F8">
        <w:rPr>
          <w:rFonts w:ascii="Humnst777 Lt BT" w:eastAsia="Humnst777 Lt BT" w:hAnsi="Humnst777 Lt BT" w:cs="Humnst777 Lt BT"/>
          <w:b/>
          <w:bCs/>
        </w:rPr>
        <w:t>Single AML Supervisor (SAS)</w:t>
      </w:r>
      <w:r w:rsidRPr="6BD975F8">
        <w:rPr>
          <w:rFonts w:ascii="Humnst777 Lt BT" w:eastAsia="Humnst777 Lt BT" w:hAnsi="Humnst777 Lt BT" w:cs="Humnst777 Lt BT"/>
        </w:rPr>
        <w:t xml:space="preserve"> which would establish a new authority that would take responsibility for AML supervision across the regulated sector away from the current 22 PBSs and 3 statutory supervisors.  </w:t>
      </w:r>
    </w:p>
    <w:p w14:paraId="07F709F3" w14:textId="2186B2A7" w:rsidR="0058B8E4" w:rsidRDefault="028EDC03" w:rsidP="00C97C9B">
      <w:pPr>
        <w:pStyle w:val="ListParagraph"/>
        <w:numPr>
          <w:ilvl w:val="0"/>
          <w:numId w:val="68"/>
        </w:numPr>
        <w:spacing w:before="240" w:after="240" w:line="360" w:lineRule="auto"/>
      </w:pPr>
      <w:r w:rsidRPr="6BD975F8">
        <w:rPr>
          <w:rFonts w:ascii="Humnst777 Lt BT" w:eastAsia="Humnst777 Lt BT" w:hAnsi="Humnst777 Lt BT" w:cs="Humnst777 Lt BT"/>
        </w:rPr>
        <w:t>These four options are laid out and analysed in the Review document.</w:t>
      </w:r>
      <w:r w:rsidRPr="6BD975F8">
        <w:rPr>
          <w:rFonts w:ascii="Humnst777 Lt BT" w:eastAsia="Humnst777 Lt BT" w:hAnsi="Humnst777 Lt BT" w:cs="Humnst777 Lt BT"/>
          <w:b/>
          <w:bCs/>
        </w:rPr>
        <w:t xml:space="preserve"> The next step will be to consult further with stakeholders before selecting a single model for implementation.</w:t>
      </w:r>
    </w:p>
    <w:p w14:paraId="5457D2FC" w14:textId="77777777" w:rsidR="00482CC6" w:rsidRDefault="00482CC6" w:rsidP="00F71A36">
      <w:pPr>
        <w:spacing w:before="240" w:after="240" w:line="360" w:lineRule="auto"/>
        <w:rPr>
          <w:rFonts w:ascii="Humnst777 Lt BT" w:hAnsi="Humnst777 Lt BT"/>
          <w:u w:val="single"/>
        </w:rPr>
      </w:pPr>
    </w:p>
    <w:p w14:paraId="4BE944A3" w14:textId="317B802C" w:rsidR="32BCCCD7" w:rsidRDefault="32BCCCD7" w:rsidP="32BCCCD7">
      <w:pPr>
        <w:spacing w:before="240" w:after="240" w:line="360" w:lineRule="auto"/>
        <w:rPr>
          <w:rFonts w:ascii="Humnst777 Lt BT" w:eastAsia="Calibri" w:hAnsi="Humnst777 Lt BT"/>
          <w:szCs w:val="24"/>
        </w:rPr>
      </w:pPr>
    </w:p>
    <w:p w14:paraId="3B38E52F" w14:textId="01FA22EE" w:rsidR="00F71A36" w:rsidRPr="00F71A36" w:rsidRDefault="00F71A36" w:rsidP="00F71A36">
      <w:pPr>
        <w:spacing w:before="240" w:after="240" w:line="360" w:lineRule="auto"/>
        <w:rPr>
          <w:rFonts w:ascii="Humnst777 Lt BT" w:hAnsi="Humnst777 Lt BT"/>
          <w:szCs w:val="24"/>
        </w:rPr>
      </w:pPr>
    </w:p>
    <w:p w14:paraId="4AE86143" w14:textId="77777777" w:rsidR="0062048E" w:rsidRDefault="0062048E" w:rsidP="00651334">
      <w:pPr>
        <w:rPr>
          <w:rFonts w:ascii="Humnst777 Lt BT" w:hAnsi="Humnst777 Lt BT"/>
          <w:szCs w:val="24"/>
        </w:rPr>
      </w:pPr>
    </w:p>
    <w:p w14:paraId="6644DEBE" w14:textId="048A6405" w:rsidR="00651334" w:rsidRPr="00737348" w:rsidRDefault="00651334" w:rsidP="00737348">
      <w:pPr>
        <w:pStyle w:val="Heading1"/>
        <w:rPr>
          <w:rFonts w:ascii="Humnst777 Lt BT" w:hAnsi="Humnst777 Lt BT"/>
        </w:rPr>
      </w:pPr>
      <w:bookmarkStart w:id="70" w:name="_Toc397383976"/>
      <w:r w:rsidRPr="36EA2F8E">
        <w:br w:type="page"/>
      </w:r>
      <w:bookmarkStart w:id="71" w:name="_Toc104977829"/>
      <w:r w:rsidRPr="00737348">
        <w:rPr>
          <w:rFonts w:ascii="Humnst777 Lt BT" w:hAnsi="Humnst777 Lt BT"/>
        </w:rPr>
        <w:lastRenderedPageBreak/>
        <w:t>Annex A –</w:t>
      </w:r>
      <w:r w:rsidR="000944DC" w:rsidRPr="00737348">
        <w:rPr>
          <w:rFonts w:ascii="Humnst777 Lt BT" w:hAnsi="Humnst777 Lt BT"/>
        </w:rPr>
        <w:t xml:space="preserve"> </w:t>
      </w:r>
      <w:r w:rsidRPr="00737348">
        <w:rPr>
          <w:rFonts w:ascii="Humnst777 Lt BT" w:hAnsi="Humnst777 Lt BT"/>
        </w:rPr>
        <w:t>professional body supervisors</w:t>
      </w:r>
      <w:bookmarkEnd w:id="71"/>
      <w:r w:rsidRPr="00737348">
        <w:rPr>
          <w:rFonts w:ascii="Humnst777 Lt BT" w:hAnsi="Humnst777 Lt BT"/>
        </w:rPr>
        <w:t xml:space="preserve"> </w:t>
      </w:r>
      <w:bookmarkEnd w:id="70"/>
    </w:p>
    <w:p w14:paraId="3694B60E" w14:textId="77777777" w:rsidR="000944DC" w:rsidRDefault="000944DC" w:rsidP="36EA2F8E">
      <w:pPr>
        <w:spacing w:after="160" w:line="360" w:lineRule="auto"/>
        <w:rPr>
          <w:rFonts w:ascii="Humnst777 Lt BT" w:hAnsi="Humnst777 Lt BT"/>
          <w:b/>
          <w:bCs/>
          <w:u w:val="single"/>
        </w:rPr>
      </w:pPr>
    </w:p>
    <w:p w14:paraId="3BE8CABA" w14:textId="6ABC60F0" w:rsidR="00DC228F" w:rsidRPr="00DC228F" w:rsidRDefault="00DC228F" w:rsidP="000944DC">
      <w:pPr>
        <w:numPr>
          <w:ilvl w:val="0"/>
          <w:numId w:val="42"/>
        </w:numPr>
        <w:spacing w:after="160"/>
        <w:jc w:val="both"/>
        <w:rPr>
          <w:rFonts w:ascii="Humnst777 Lt BT" w:eastAsia="Calibri" w:hAnsi="Humnst777 Lt BT"/>
          <w:szCs w:val="24"/>
        </w:rPr>
      </w:pPr>
      <w:r w:rsidRPr="00DC228F">
        <w:rPr>
          <w:rFonts w:ascii="Humnst777 Lt BT" w:eastAsia="Calibri" w:hAnsi="Humnst777 Lt BT"/>
          <w:szCs w:val="24"/>
        </w:rPr>
        <w:t>Association of Accounting Technicians </w:t>
      </w:r>
    </w:p>
    <w:p w14:paraId="1DF662F8" w14:textId="1F00B7C7" w:rsidR="00DC228F" w:rsidRPr="00DC228F" w:rsidRDefault="00DC228F" w:rsidP="000944DC">
      <w:pPr>
        <w:numPr>
          <w:ilvl w:val="0"/>
          <w:numId w:val="43"/>
        </w:numPr>
        <w:spacing w:after="160"/>
        <w:jc w:val="both"/>
        <w:rPr>
          <w:rFonts w:ascii="Humnst777 Lt BT" w:eastAsia="Calibri" w:hAnsi="Humnst777 Lt BT"/>
          <w:szCs w:val="24"/>
        </w:rPr>
      </w:pPr>
      <w:r w:rsidRPr="00DC228F">
        <w:rPr>
          <w:rFonts w:ascii="Humnst777 Lt BT" w:eastAsia="Calibri" w:hAnsi="Humnst777 Lt BT"/>
          <w:szCs w:val="24"/>
        </w:rPr>
        <w:t>Association of Chartered Certified Accountants </w:t>
      </w:r>
    </w:p>
    <w:p w14:paraId="71C340B4" w14:textId="3AE4716F" w:rsidR="00DC228F" w:rsidRPr="00DC228F" w:rsidRDefault="00DC228F" w:rsidP="000944DC">
      <w:pPr>
        <w:numPr>
          <w:ilvl w:val="0"/>
          <w:numId w:val="44"/>
        </w:numPr>
        <w:spacing w:after="160"/>
        <w:jc w:val="both"/>
        <w:rPr>
          <w:rFonts w:ascii="Humnst777 Lt BT" w:eastAsia="Calibri" w:hAnsi="Humnst777 Lt BT"/>
          <w:szCs w:val="24"/>
        </w:rPr>
      </w:pPr>
      <w:r w:rsidRPr="00DC228F">
        <w:rPr>
          <w:rFonts w:ascii="Humnst777 Lt BT" w:eastAsia="Calibri" w:hAnsi="Humnst777 Lt BT"/>
          <w:szCs w:val="24"/>
        </w:rPr>
        <w:t>Association of International Accountants </w:t>
      </w:r>
    </w:p>
    <w:p w14:paraId="1DE7A817" w14:textId="44D75973" w:rsidR="00DC228F" w:rsidRPr="00DC228F" w:rsidRDefault="00DC228F" w:rsidP="000944DC">
      <w:pPr>
        <w:numPr>
          <w:ilvl w:val="0"/>
          <w:numId w:val="45"/>
        </w:numPr>
        <w:spacing w:after="160"/>
        <w:jc w:val="both"/>
        <w:rPr>
          <w:rFonts w:ascii="Humnst777 Lt BT" w:eastAsia="Calibri" w:hAnsi="Humnst777 Lt BT"/>
          <w:szCs w:val="24"/>
        </w:rPr>
      </w:pPr>
      <w:r w:rsidRPr="00DC228F">
        <w:rPr>
          <w:rFonts w:ascii="Humnst777 Lt BT" w:eastAsia="Calibri" w:hAnsi="Humnst777 Lt BT"/>
          <w:szCs w:val="24"/>
        </w:rPr>
        <w:t>Association of Taxation Technicians </w:t>
      </w:r>
    </w:p>
    <w:p w14:paraId="34723C80" w14:textId="10BEFB8D" w:rsidR="00DC228F" w:rsidRPr="00DC228F" w:rsidRDefault="00DC228F" w:rsidP="000944DC">
      <w:pPr>
        <w:numPr>
          <w:ilvl w:val="0"/>
          <w:numId w:val="46"/>
        </w:numPr>
        <w:spacing w:after="160"/>
        <w:jc w:val="both"/>
        <w:rPr>
          <w:rFonts w:ascii="Humnst777 Lt BT" w:eastAsia="Calibri" w:hAnsi="Humnst777 Lt BT"/>
          <w:szCs w:val="24"/>
        </w:rPr>
      </w:pPr>
      <w:r w:rsidRPr="00DC228F">
        <w:rPr>
          <w:rFonts w:ascii="Humnst777 Lt BT" w:eastAsia="Calibri" w:hAnsi="Humnst777 Lt BT"/>
          <w:szCs w:val="24"/>
        </w:rPr>
        <w:t>Chartered Institute of Legal Executives/CILEx Regulation </w:t>
      </w:r>
    </w:p>
    <w:p w14:paraId="7FFAF2FD" w14:textId="3465A2B0" w:rsidR="00DC228F" w:rsidRPr="00DC228F" w:rsidRDefault="00DC228F" w:rsidP="000944DC">
      <w:pPr>
        <w:numPr>
          <w:ilvl w:val="0"/>
          <w:numId w:val="47"/>
        </w:numPr>
        <w:spacing w:after="160"/>
        <w:jc w:val="both"/>
        <w:rPr>
          <w:rFonts w:ascii="Humnst777 Lt BT" w:eastAsia="Calibri" w:hAnsi="Humnst777 Lt BT"/>
          <w:szCs w:val="24"/>
        </w:rPr>
      </w:pPr>
      <w:r w:rsidRPr="00DC228F">
        <w:rPr>
          <w:rFonts w:ascii="Humnst777 Lt BT" w:eastAsia="Calibri" w:hAnsi="Humnst777 Lt BT"/>
          <w:szCs w:val="24"/>
        </w:rPr>
        <w:t>Chartered Institute of Management Accountants </w:t>
      </w:r>
    </w:p>
    <w:p w14:paraId="58BF1C90" w14:textId="52296FB1" w:rsidR="00DC228F" w:rsidRPr="00DC228F" w:rsidRDefault="00DC228F" w:rsidP="000944DC">
      <w:pPr>
        <w:numPr>
          <w:ilvl w:val="0"/>
          <w:numId w:val="48"/>
        </w:numPr>
        <w:spacing w:after="160"/>
        <w:jc w:val="both"/>
        <w:rPr>
          <w:rFonts w:ascii="Humnst777 Lt BT" w:eastAsia="Calibri" w:hAnsi="Humnst777 Lt BT"/>
          <w:szCs w:val="24"/>
        </w:rPr>
      </w:pPr>
      <w:r w:rsidRPr="00DC228F">
        <w:rPr>
          <w:rFonts w:ascii="Humnst777 Lt BT" w:eastAsia="Calibri" w:hAnsi="Humnst777 Lt BT"/>
          <w:szCs w:val="24"/>
        </w:rPr>
        <w:t>Chartered Institute of Taxation </w:t>
      </w:r>
    </w:p>
    <w:p w14:paraId="3C2041A9" w14:textId="0D31F6C1" w:rsidR="00DC228F" w:rsidRPr="00DC228F" w:rsidRDefault="00DC228F" w:rsidP="000944DC">
      <w:pPr>
        <w:numPr>
          <w:ilvl w:val="0"/>
          <w:numId w:val="49"/>
        </w:numPr>
        <w:spacing w:after="160"/>
        <w:jc w:val="both"/>
        <w:rPr>
          <w:rFonts w:ascii="Humnst777 Lt BT" w:eastAsia="Calibri" w:hAnsi="Humnst777 Lt BT"/>
          <w:szCs w:val="24"/>
        </w:rPr>
      </w:pPr>
      <w:r w:rsidRPr="00DC228F">
        <w:rPr>
          <w:rFonts w:ascii="Humnst777 Lt BT" w:eastAsia="Calibri" w:hAnsi="Humnst777 Lt BT"/>
          <w:szCs w:val="24"/>
        </w:rPr>
        <w:t>Council for Licensed Conveyancers </w:t>
      </w:r>
    </w:p>
    <w:p w14:paraId="25EC9D3D" w14:textId="1F2119AE" w:rsidR="00DC228F" w:rsidRPr="00DC228F" w:rsidRDefault="00DC228F" w:rsidP="000944DC">
      <w:pPr>
        <w:numPr>
          <w:ilvl w:val="0"/>
          <w:numId w:val="50"/>
        </w:numPr>
        <w:spacing w:after="160"/>
        <w:jc w:val="both"/>
        <w:rPr>
          <w:rFonts w:ascii="Humnst777 Lt BT" w:eastAsia="Calibri" w:hAnsi="Humnst777 Lt BT"/>
          <w:szCs w:val="24"/>
        </w:rPr>
      </w:pPr>
      <w:r w:rsidRPr="00DC228F">
        <w:rPr>
          <w:rFonts w:ascii="Humnst777 Lt BT" w:eastAsia="Calibri" w:hAnsi="Humnst777 Lt BT"/>
          <w:szCs w:val="24"/>
        </w:rPr>
        <w:t>Faculty of Advocates </w:t>
      </w:r>
    </w:p>
    <w:p w14:paraId="4E128C52" w14:textId="5BF1F62B" w:rsidR="00DC228F" w:rsidRPr="00DC228F" w:rsidRDefault="00DC228F" w:rsidP="000944DC">
      <w:pPr>
        <w:numPr>
          <w:ilvl w:val="0"/>
          <w:numId w:val="51"/>
        </w:numPr>
        <w:spacing w:after="160"/>
        <w:jc w:val="both"/>
        <w:rPr>
          <w:rFonts w:ascii="Humnst777 Lt BT" w:eastAsia="Calibri" w:hAnsi="Humnst777 Lt BT"/>
          <w:szCs w:val="24"/>
        </w:rPr>
      </w:pPr>
      <w:r w:rsidRPr="00DC228F">
        <w:rPr>
          <w:rFonts w:ascii="Humnst777 Lt BT" w:eastAsia="Calibri" w:hAnsi="Humnst777 Lt BT"/>
          <w:szCs w:val="24"/>
        </w:rPr>
        <w:t>Faculty Office of the Archbishop of Canterbury </w:t>
      </w:r>
    </w:p>
    <w:p w14:paraId="20508188" w14:textId="0B8408F5" w:rsidR="00DC228F" w:rsidRPr="00DC228F" w:rsidRDefault="00DC228F" w:rsidP="000944DC">
      <w:pPr>
        <w:numPr>
          <w:ilvl w:val="0"/>
          <w:numId w:val="52"/>
        </w:numPr>
        <w:spacing w:after="160"/>
        <w:jc w:val="both"/>
        <w:rPr>
          <w:rFonts w:ascii="Humnst777 Lt BT" w:eastAsia="Calibri" w:hAnsi="Humnst777 Lt BT"/>
          <w:szCs w:val="24"/>
        </w:rPr>
      </w:pPr>
      <w:r w:rsidRPr="00DC228F">
        <w:rPr>
          <w:rFonts w:ascii="Humnst777 Lt BT" w:eastAsia="Calibri" w:hAnsi="Humnst777 Lt BT"/>
          <w:szCs w:val="24"/>
        </w:rPr>
        <w:t>General Council of the Bar/Bar Standards Board </w:t>
      </w:r>
    </w:p>
    <w:p w14:paraId="6FAB1998" w14:textId="3F1B4590" w:rsidR="00DC228F" w:rsidRPr="00DC228F" w:rsidRDefault="00DC228F" w:rsidP="000944DC">
      <w:pPr>
        <w:numPr>
          <w:ilvl w:val="0"/>
          <w:numId w:val="53"/>
        </w:numPr>
        <w:spacing w:after="160"/>
        <w:jc w:val="both"/>
        <w:rPr>
          <w:rFonts w:ascii="Humnst777 Lt BT" w:eastAsia="Calibri" w:hAnsi="Humnst777 Lt BT"/>
          <w:szCs w:val="24"/>
        </w:rPr>
      </w:pPr>
      <w:r w:rsidRPr="00DC228F">
        <w:rPr>
          <w:rFonts w:ascii="Humnst777 Lt BT" w:eastAsia="Calibri" w:hAnsi="Humnst777 Lt BT"/>
          <w:szCs w:val="24"/>
        </w:rPr>
        <w:t>General Council of the Bar of Northern Ireland </w:t>
      </w:r>
    </w:p>
    <w:p w14:paraId="6B1EBC3D" w14:textId="2D58935B" w:rsidR="00DC228F" w:rsidRPr="00DC228F" w:rsidRDefault="00DC228F" w:rsidP="000944DC">
      <w:pPr>
        <w:numPr>
          <w:ilvl w:val="0"/>
          <w:numId w:val="54"/>
        </w:numPr>
        <w:spacing w:after="160"/>
        <w:jc w:val="both"/>
        <w:rPr>
          <w:rFonts w:ascii="Humnst777 Lt BT" w:eastAsia="Calibri" w:hAnsi="Humnst777 Lt BT"/>
          <w:szCs w:val="24"/>
        </w:rPr>
      </w:pPr>
      <w:r w:rsidRPr="00DC228F">
        <w:rPr>
          <w:rFonts w:ascii="Humnst777 Lt BT" w:eastAsia="Calibri" w:hAnsi="Humnst777 Lt BT"/>
          <w:szCs w:val="24"/>
        </w:rPr>
        <w:t>Insolvency Practitioners Association </w:t>
      </w:r>
    </w:p>
    <w:p w14:paraId="4A885BAC" w14:textId="3FF7D0AE" w:rsidR="00DC228F" w:rsidRPr="00DC228F" w:rsidRDefault="00DC228F" w:rsidP="000944DC">
      <w:pPr>
        <w:numPr>
          <w:ilvl w:val="0"/>
          <w:numId w:val="55"/>
        </w:numPr>
        <w:spacing w:after="160"/>
        <w:jc w:val="both"/>
        <w:rPr>
          <w:rFonts w:ascii="Humnst777 Lt BT" w:eastAsia="Calibri" w:hAnsi="Humnst777 Lt BT"/>
          <w:szCs w:val="24"/>
        </w:rPr>
      </w:pPr>
      <w:r w:rsidRPr="00DC228F">
        <w:rPr>
          <w:rFonts w:ascii="Humnst777 Lt BT" w:eastAsia="Calibri" w:hAnsi="Humnst777 Lt BT"/>
          <w:szCs w:val="24"/>
        </w:rPr>
        <w:t>Institute of Certified Bookkeepers </w:t>
      </w:r>
    </w:p>
    <w:p w14:paraId="4BDA5566" w14:textId="1D17F91E" w:rsidR="00DC228F" w:rsidRPr="00DC228F" w:rsidRDefault="00DC228F" w:rsidP="000944DC">
      <w:pPr>
        <w:numPr>
          <w:ilvl w:val="0"/>
          <w:numId w:val="56"/>
        </w:numPr>
        <w:spacing w:after="160"/>
        <w:jc w:val="both"/>
        <w:rPr>
          <w:rFonts w:ascii="Humnst777 Lt BT" w:eastAsia="Calibri" w:hAnsi="Humnst777 Lt BT"/>
          <w:szCs w:val="24"/>
        </w:rPr>
      </w:pPr>
      <w:r w:rsidRPr="00DC228F">
        <w:rPr>
          <w:rFonts w:ascii="Humnst777 Lt BT" w:eastAsia="Calibri" w:hAnsi="Humnst777 Lt BT"/>
          <w:szCs w:val="24"/>
        </w:rPr>
        <w:t>Institute of Chartered Accountants in England and Wales </w:t>
      </w:r>
    </w:p>
    <w:p w14:paraId="4AFA815D" w14:textId="1C53B5F0" w:rsidR="00DC228F" w:rsidRPr="00DC228F" w:rsidRDefault="00DC228F" w:rsidP="000944DC">
      <w:pPr>
        <w:numPr>
          <w:ilvl w:val="0"/>
          <w:numId w:val="57"/>
        </w:numPr>
        <w:spacing w:after="160"/>
        <w:jc w:val="both"/>
        <w:rPr>
          <w:rFonts w:ascii="Humnst777 Lt BT" w:eastAsia="Calibri" w:hAnsi="Humnst777 Lt BT"/>
          <w:szCs w:val="24"/>
        </w:rPr>
      </w:pPr>
      <w:r w:rsidRPr="00DC228F">
        <w:rPr>
          <w:rFonts w:ascii="Humnst777 Lt BT" w:eastAsia="Calibri" w:hAnsi="Humnst777 Lt BT"/>
          <w:szCs w:val="24"/>
        </w:rPr>
        <w:t>Institute of Chartered Accountants in Ireland </w:t>
      </w:r>
    </w:p>
    <w:p w14:paraId="7DE40B4F" w14:textId="4EA306D0" w:rsidR="00DC228F" w:rsidRPr="00DC228F" w:rsidRDefault="00DC228F" w:rsidP="000944DC">
      <w:pPr>
        <w:numPr>
          <w:ilvl w:val="0"/>
          <w:numId w:val="58"/>
        </w:numPr>
        <w:spacing w:after="160"/>
        <w:jc w:val="both"/>
        <w:rPr>
          <w:rFonts w:ascii="Humnst777 Lt BT" w:eastAsia="Calibri" w:hAnsi="Humnst777 Lt BT"/>
          <w:szCs w:val="24"/>
        </w:rPr>
      </w:pPr>
      <w:r w:rsidRPr="00DC228F">
        <w:rPr>
          <w:rFonts w:ascii="Humnst777 Lt BT" w:eastAsia="Calibri" w:hAnsi="Humnst777 Lt BT"/>
          <w:szCs w:val="24"/>
        </w:rPr>
        <w:t>Institute of Chartered Accountants of Scotland </w:t>
      </w:r>
    </w:p>
    <w:p w14:paraId="0BE59383" w14:textId="536BD39C" w:rsidR="00DC228F" w:rsidRPr="00DC228F" w:rsidRDefault="00DC228F" w:rsidP="000944DC">
      <w:pPr>
        <w:numPr>
          <w:ilvl w:val="0"/>
          <w:numId w:val="59"/>
        </w:numPr>
        <w:spacing w:after="160"/>
        <w:jc w:val="both"/>
        <w:rPr>
          <w:rFonts w:ascii="Humnst777 Lt BT" w:eastAsia="Calibri" w:hAnsi="Humnst777 Lt BT"/>
          <w:szCs w:val="24"/>
        </w:rPr>
      </w:pPr>
      <w:r w:rsidRPr="00DC228F">
        <w:rPr>
          <w:rFonts w:ascii="Humnst777 Lt BT" w:eastAsia="Calibri" w:hAnsi="Humnst777 Lt BT"/>
          <w:szCs w:val="24"/>
        </w:rPr>
        <w:t>Institute of Financial Accountants </w:t>
      </w:r>
    </w:p>
    <w:p w14:paraId="4744668B" w14:textId="00B0CF6B" w:rsidR="00DC228F" w:rsidRPr="00DC228F" w:rsidRDefault="00DC228F" w:rsidP="000944DC">
      <w:pPr>
        <w:numPr>
          <w:ilvl w:val="0"/>
          <w:numId w:val="60"/>
        </w:numPr>
        <w:spacing w:after="160"/>
        <w:jc w:val="both"/>
        <w:rPr>
          <w:rFonts w:ascii="Humnst777 Lt BT" w:eastAsia="Calibri" w:hAnsi="Humnst777 Lt BT"/>
          <w:szCs w:val="24"/>
        </w:rPr>
      </w:pPr>
      <w:r w:rsidRPr="00DC228F">
        <w:rPr>
          <w:rFonts w:ascii="Humnst777 Lt BT" w:eastAsia="Calibri" w:hAnsi="Humnst777 Lt BT"/>
          <w:szCs w:val="24"/>
        </w:rPr>
        <w:t>International Association of Bookkeepers </w:t>
      </w:r>
    </w:p>
    <w:p w14:paraId="023AC2C1" w14:textId="635859BF" w:rsidR="00DC228F" w:rsidRPr="00DC228F" w:rsidRDefault="00DC228F" w:rsidP="000944DC">
      <w:pPr>
        <w:numPr>
          <w:ilvl w:val="0"/>
          <w:numId w:val="61"/>
        </w:numPr>
        <w:spacing w:after="160"/>
        <w:jc w:val="both"/>
        <w:rPr>
          <w:rFonts w:ascii="Humnst777 Lt BT" w:eastAsia="Calibri" w:hAnsi="Humnst777 Lt BT"/>
          <w:szCs w:val="24"/>
        </w:rPr>
      </w:pPr>
      <w:r w:rsidRPr="00DC228F">
        <w:rPr>
          <w:rFonts w:ascii="Humnst777 Lt BT" w:eastAsia="Calibri" w:hAnsi="Humnst777 Lt BT"/>
          <w:szCs w:val="24"/>
        </w:rPr>
        <w:t>Law Society/Solicitors Regulation Authority </w:t>
      </w:r>
    </w:p>
    <w:p w14:paraId="084F2F7B" w14:textId="03BC69F6" w:rsidR="00DC228F" w:rsidRPr="00DC228F" w:rsidRDefault="00DC228F" w:rsidP="000944DC">
      <w:pPr>
        <w:numPr>
          <w:ilvl w:val="0"/>
          <w:numId w:val="62"/>
        </w:numPr>
        <w:spacing w:after="160"/>
        <w:jc w:val="both"/>
        <w:rPr>
          <w:rFonts w:ascii="Humnst777 Lt BT" w:eastAsia="Calibri" w:hAnsi="Humnst777 Lt BT"/>
          <w:szCs w:val="24"/>
        </w:rPr>
      </w:pPr>
      <w:r w:rsidRPr="00DC228F">
        <w:rPr>
          <w:rFonts w:ascii="Humnst777 Lt BT" w:eastAsia="Calibri" w:hAnsi="Humnst777 Lt BT"/>
          <w:szCs w:val="24"/>
        </w:rPr>
        <w:t>Law Society of Northern Ireland </w:t>
      </w:r>
    </w:p>
    <w:p w14:paraId="60DD2619" w14:textId="77777777" w:rsidR="00DC228F" w:rsidRPr="00DC228F" w:rsidRDefault="00DC228F" w:rsidP="000944DC">
      <w:pPr>
        <w:numPr>
          <w:ilvl w:val="0"/>
          <w:numId w:val="63"/>
        </w:numPr>
        <w:spacing w:after="160"/>
        <w:jc w:val="both"/>
        <w:rPr>
          <w:rFonts w:ascii="Humnst777 Lt BT" w:eastAsia="Calibri" w:hAnsi="Humnst777 Lt BT"/>
          <w:szCs w:val="24"/>
        </w:rPr>
      </w:pPr>
      <w:r w:rsidRPr="00DC228F">
        <w:rPr>
          <w:rFonts w:ascii="Humnst777 Lt BT" w:eastAsia="Calibri" w:hAnsi="Humnst777 Lt BT"/>
          <w:szCs w:val="24"/>
        </w:rPr>
        <w:t>Law Society of Scotland </w:t>
      </w:r>
    </w:p>
    <w:p w14:paraId="1045B7F0" w14:textId="1F0B7190" w:rsidR="00651334" w:rsidRDefault="00651334" w:rsidP="00DC228F">
      <w:pPr>
        <w:spacing w:after="160" w:line="360" w:lineRule="auto"/>
        <w:jc w:val="both"/>
        <w:rPr>
          <w:rFonts w:eastAsia="Calibri"/>
          <w:szCs w:val="24"/>
        </w:rPr>
      </w:pPr>
    </w:p>
    <w:p w14:paraId="711BC135" w14:textId="67E14EDC" w:rsidR="36EA2F8E" w:rsidRDefault="36EA2F8E">
      <w:r>
        <w:br w:type="page"/>
      </w:r>
    </w:p>
    <w:p w14:paraId="5DAE2DD4" w14:textId="58604DE2" w:rsidR="00651334" w:rsidRPr="00C970A6" w:rsidRDefault="00651334" w:rsidP="00C970A6">
      <w:pPr>
        <w:pStyle w:val="Heading1"/>
        <w:rPr>
          <w:rFonts w:ascii="Humnst777 Lt BT" w:hAnsi="Humnst777 Lt BT"/>
        </w:rPr>
      </w:pPr>
      <w:bookmarkStart w:id="72" w:name="_Toc1518192992"/>
      <w:bookmarkStart w:id="73" w:name="_Toc104977830"/>
      <w:r w:rsidRPr="00C970A6">
        <w:rPr>
          <w:rFonts w:ascii="Humnst777 Lt BT" w:hAnsi="Humnst777 Lt BT"/>
        </w:rPr>
        <w:lastRenderedPageBreak/>
        <w:t>Annex B</w:t>
      </w:r>
      <w:bookmarkEnd w:id="72"/>
      <w:bookmarkEnd w:id="73"/>
    </w:p>
    <w:p w14:paraId="7E210E54" w14:textId="57B53269" w:rsidR="00651334" w:rsidRPr="0059779E" w:rsidRDefault="00651334" w:rsidP="00651334">
      <w:pPr>
        <w:rPr>
          <w:rFonts w:ascii="Humnst777 Lt BT" w:hAnsi="Humnst777 Lt BT"/>
          <w:szCs w:val="24"/>
        </w:rPr>
      </w:pPr>
      <w:r w:rsidRPr="7A0629B9">
        <w:rPr>
          <w:rFonts w:ascii="Humnst777 Lt BT" w:hAnsi="Humnst777 Lt BT"/>
          <w:szCs w:val="24"/>
        </w:rPr>
        <w:t>These tables from the FCA’s response to the Call for Evidence outlines the improvements seen in PBSs between the first report they published after a year of work</w:t>
      </w:r>
      <w:r w:rsidR="0015577E">
        <w:rPr>
          <w:rFonts w:ascii="Humnst777 Lt BT" w:hAnsi="Humnst777 Lt BT"/>
          <w:szCs w:val="24"/>
        </w:rPr>
        <w:t xml:space="preserve"> in 2019</w:t>
      </w:r>
      <w:r w:rsidRPr="7A0629B9">
        <w:rPr>
          <w:rFonts w:ascii="Humnst777 Lt BT" w:hAnsi="Humnst777 Lt BT"/>
          <w:szCs w:val="24"/>
        </w:rPr>
        <w:t xml:space="preserve">, and the 2020 period. Below this </w:t>
      </w:r>
      <w:r>
        <w:rPr>
          <w:rFonts w:ascii="Humnst777 Lt BT" w:hAnsi="Humnst777 Lt BT"/>
          <w:szCs w:val="24"/>
        </w:rPr>
        <w:t>table is another table showing t</w:t>
      </w:r>
      <w:r w:rsidRPr="7A0629B9">
        <w:rPr>
          <w:rFonts w:ascii="Humnst777 Lt BT" w:hAnsi="Humnst777 Lt BT"/>
          <w:szCs w:val="24"/>
        </w:rPr>
        <w:t>he findings from the OPBAS third report</w:t>
      </w:r>
      <w:r w:rsidR="0015577E">
        <w:rPr>
          <w:rFonts w:ascii="Humnst777 Lt BT" w:hAnsi="Humnst777 Lt BT"/>
          <w:szCs w:val="24"/>
        </w:rPr>
        <w:t xml:space="preserve"> published in 2021</w:t>
      </w:r>
      <w:r w:rsidRPr="7A0629B9">
        <w:rPr>
          <w:rFonts w:ascii="Humnst777 Lt BT" w:hAnsi="Humnst777 Lt BT"/>
          <w:szCs w:val="24"/>
        </w:rPr>
        <w:t>.</w:t>
      </w:r>
    </w:p>
    <w:p w14:paraId="552FB76F" w14:textId="77777777" w:rsidR="00651334" w:rsidRDefault="00651334" w:rsidP="00651334">
      <w:pPr>
        <w:rPr>
          <w:rFonts w:ascii="Humnst777 Lt BT" w:hAnsi="Humnst777 Lt BT"/>
          <w:szCs w:val="24"/>
        </w:rPr>
      </w:pPr>
    </w:p>
    <w:tbl>
      <w:tblPr>
        <w:tblW w:w="10065" w:type="dxa"/>
        <w:tblInd w:w="-5" w:type="dxa"/>
        <w:tblCellMar>
          <w:top w:w="52" w:type="dxa"/>
          <w:right w:w="114" w:type="dxa"/>
        </w:tblCellMar>
        <w:tblLook w:val="04A0" w:firstRow="1" w:lastRow="0" w:firstColumn="1" w:lastColumn="0" w:noHBand="0" w:noVBand="1"/>
      </w:tblPr>
      <w:tblGrid>
        <w:gridCol w:w="1701"/>
        <w:gridCol w:w="3686"/>
        <w:gridCol w:w="4678"/>
      </w:tblGrid>
      <w:tr w:rsidR="00CE2434" w:rsidRPr="00BF0266" w14:paraId="482F472A" w14:textId="77777777" w:rsidTr="00E12B99">
        <w:trPr>
          <w:trHeight w:val="49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CEE2D" w14:textId="77777777" w:rsidR="00651334" w:rsidRPr="00BF0266" w:rsidRDefault="00651334" w:rsidP="002A5100">
            <w:pPr>
              <w:jc w:val="center"/>
              <w:rPr>
                <w:rFonts w:ascii="Humnst777 Lt BT" w:hAnsi="Humnst777 Lt BT"/>
                <w:b/>
                <w:bCs/>
                <w:szCs w:val="24"/>
              </w:rPr>
            </w:pPr>
            <w:r w:rsidRPr="00BF0266">
              <w:rPr>
                <w:rFonts w:ascii="Humnst777 Lt BT" w:hAnsi="Humnst777 Lt BT"/>
                <w:b/>
                <w:bCs/>
                <w:szCs w:val="24"/>
              </w:rPr>
              <w:t>Sourcebook area</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9E772" w14:textId="77777777" w:rsidR="00651334" w:rsidRPr="00BF0266" w:rsidRDefault="00651334" w:rsidP="002A5100">
            <w:pPr>
              <w:jc w:val="center"/>
              <w:rPr>
                <w:rFonts w:ascii="Humnst777 Lt BT" w:hAnsi="Humnst777 Lt BT"/>
                <w:b/>
                <w:bCs/>
                <w:szCs w:val="24"/>
              </w:rPr>
            </w:pPr>
            <w:r w:rsidRPr="00BF0266">
              <w:rPr>
                <w:rFonts w:ascii="Humnst777 Lt BT" w:hAnsi="Humnst777 Lt BT"/>
                <w:b/>
                <w:bCs/>
                <w:szCs w:val="24"/>
              </w:rPr>
              <w:t>2019 report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0FBF8" w14:textId="77777777" w:rsidR="00651334" w:rsidRPr="00BF0266" w:rsidRDefault="00651334" w:rsidP="002A5100">
            <w:pPr>
              <w:jc w:val="center"/>
              <w:rPr>
                <w:rFonts w:ascii="Humnst777 Lt BT" w:hAnsi="Humnst777 Lt BT"/>
                <w:b/>
                <w:bCs/>
                <w:szCs w:val="24"/>
              </w:rPr>
            </w:pPr>
            <w:r w:rsidRPr="00BF0266">
              <w:rPr>
                <w:rFonts w:ascii="Humnst777 Lt BT" w:hAnsi="Humnst777 Lt BT"/>
                <w:b/>
                <w:bCs/>
                <w:szCs w:val="24"/>
              </w:rPr>
              <w:t>2020 report</w:t>
            </w:r>
          </w:p>
        </w:tc>
      </w:tr>
      <w:tr w:rsidR="00CE2434" w:rsidRPr="00BF0266" w14:paraId="4AAA82A6" w14:textId="77777777" w:rsidTr="00CA3968">
        <w:trPr>
          <w:trHeight w:val="4691"/>
        </w:trPr>
        <w:tc>
          <w:tcPr>
            <w:tcW w:w="1701" w:type="dxa"/>
            <w:tcBorders>
              <w:top w:val="single" w:sz="4" w:space="0" w:color="000000" w:themeColor="text1"/>
              <w:left w:val="single" w:sz="4" w:space="0" w:color="000000" w:themeColor="text1"/>
              <w:right w:val="single" w:sz="4" w:space="0" w:color="000000" w:themeColor="text1"/>
            </w:tcBorders>
          </w:tcPr>
          <w:p w14:paraId="58C9E9A7" w14:textId="77777777" w:rsidR="004175FC" w:rsidRPr="00BF0266" w:rsidRDefault="004175FC" w:rsidP="002A5100">
            <w:pPr>
              <w:jc w:val="center"/>
              <w:rPr>
                <w:rFonts w:ascii="Humnst777 Lt BT" w:hAnsi="Humnst777 Lt BT"/>
                <w:szCs w:val="24"/>
              </w:rPr>
            </w:pPr>
            <w:r w:rsidRPr="00BF0266">
              <w:rPr>
                <w:rFonts w:ascii="Humnst777 Lt BT" w:hAnsi="Humnst777 Lt BT"/>
                <w:szCs w:val="24"/>
              </w:rPr>
              <w:t>Governance</w:t>
            </w:r>
          </w:p>
        </w:tc>
        <w:tc>
          <w:tcPr>
            <w:tcW w:w="3686" w:type="dxa"/>
            <w:tcBorders>
              <w:top w:val="single" w:sz="4" w:space="0" w:color="000000" w:themeColor="text1"/>
              <w:left w:val="single" w:sz="4" w:space="0" w:color="000000" w:themeColor="text1"/>
              <w:right w:val="single" w:sz="4" w:space="0" w:color="000000" w:themeColor="text1"/>
            </w:tcBorders>
          </w:tcPr>
          <w:p w14:paraId="206E9B3C" w14:textId="77777777" w:rsidR="004175FC" w:rsidRDefault="004175FC" w:rsidP="004175FC">
            <w:pPr>
              <w:rPr>
                <w:rFonts w:ascii="Humnst777 Lt BT" w:hAnsi="Humnst777 Lt BT"/>
                <w:szCs w:val="24"/>
              </w:rPr>
            </w:pPr>
            <w:r w:rsidRPr="002A5100">
              <w:rPr>
                <w:rFonts w:ascii="Humnst777 Lt BT" w:hAnsi="Humnst777 Lt BT"/>
                <w:szCs w:val="24"/>
              </w:rPr>
              <w:t>80% lacked appropriate governance arrangements</w:t>
            </w:r>
          </w:p>
          <w:p w14:paraId="33C9A9DE" w14:textId="77777777" w:rsidR="004175FC" w:rsidRPr="002A5100" w:rsidRDefault="004175FC" w:rsidP="002A5100">
            <w:pPr>
              <w:rPr>
                <w:rFonts w:ascii="Humnst777 Lt BT" w:hAnsi="Humnst777 Lt BT"/>
                <w:szCs w:val="24"/>
              </w:rPr>
            </w:pPr>
          </w:p>
          <w:p w14:paraId="4E460943" w14:textId="77777777" w:rsidR="004175FC" w:rsidRDefault="004175FC" w:rsidP="004175FC">
            <w:pPr>
              <w:rPr>
                <w:rFonts w:ascii="Humnst777 Lt BT" w:hAnsi="Humnst777 Lt BT"/>
                <w:szCs w:val="24"/>
              </w:rPr>
            </w:pPr>
            <w:r w:rsidRPr="002A5100">
              <w:rPr>
                <w:rFonts w:ascii="Humnst777 Lt BT" w:hAnsi="Humnst777 Lt BT"/>
                <w:szCs w:val="24"/>
              </w:rPr>
              <w:t>44% lacked clear accountability and oversight of AML</w:t>
            </w:r>
          </w:p>
          <w:p w14:paraId="73279E55" w14:textId="77777777" w:rsidR="004175FC" w:rsidRPr="002A5100" w:rsidRDefault="004175FC">
            <w:pPr>
              <w:rPr>
                <w:rFonts w:ascii="Humnst777 Lt BT" w:hAnsi="Humnst777 Lt BT"/>
                <w:szCs w:val="24"/>
              </w:rPr>
            </w:pPr>
          </w:p>
          <w:p w14:paraId="6FDE3F94" w14:textId="77777777" w:rsidR="004175FC" w:rsidRDefault="004175FC" w:rsidP="004175FC">
            <w:pPr>
              <w:rPr>
                <w:rFonts w:ascii="Humnst777 Lt BT" w:hAnsi="Humnst777 Lt BT"/>
                <w:szCs w:val="24"/>
              </w:rPr>
            </w:pPr>
            <w:r w:rsidRPr="002A5100">
              <w:rPr>
                <w:rFonts w:ascii="Humnst777 Lt BT" w:hAnsi="Humnst777 Lt BT"/>
                <w:szCs w:val="24"/>
              </w:rPr>
              <w:t>56% lacked sufficient senior management focus on AML</w:t>
            </w:r>
          </w:p>
          <w:p w14:paraId="500ADC07" w14:textId="77777777" w:rsidR="004175FC" w:rsidRPr="002A5100" w:rsidRDefault="004175FC">
            <w:pPr>
              <w:rPr>
                <w:rFonts w:ascii="Humnst777 Lt BT" w:hAnsi="Humnst777 Lt BT"/>
                <w:szCs w:val="24"/>
              </w:rPr>
            </w:pPr>
          </w:p>
          <w:p w14:paraId="3C3A14B7" w14:textId="77777777" w:rsidR="004175FC" w:rsidRDefault="004175FC" w:rsidP="004175FC">
            <w:pPr>
              <w:rPr>
                <w:rFonts w:ascii="Humnst777 Lt BT" w:hAnsi="Humnst777 Lt BT"/>
                <w:szCs w:val="24"/>
              </w:rPr>
            </w:pPr>
            <w:r w:rsidRPr="002A5100">
              <w:rPr>
                <w:rFonts w:ascii="Humnst777 Lt BT" w:hAnsi="Humnst777 Lt BT"/>
                <w:szCs w:val="24"/>
              </w:rPr>
              <w:t>36% did not have an AML policy</w:t>
            </w:r>
          </w:p>
          <w:p w14:paraId="03DF4181" w14:textId="77777777" w:rsidR="004175FC" w:rsidRPr="002A5100" w:rsidRDefault="004175FC">
            <w:pPr>
              <w:rPr>
                <w:rFonts w:ascii="Humnst777 Lt BT" w:hAnsi="Humnst777 Lt BT"/>
                <w:szCs w:val="24"/>
              </w:rPr>
            </w:pPr>
          </w:p>
          <w:p w14:paraId="1B398560" w14:textId="77777777" w:rsidR="004175FC" w:rsidRDefault="004175FC" w:rsidP="004175FC">
            <w:pPr>
              <w:rPr>
                <w:rFonts w:ascii="Humnst777 Lt BT" w:hAnsi="Humnst777 Lt BT"/>
                <w:szCs w:val="24"/>
              </w:rPr>
            </w:pPr>
            <w:r w:rsidRPr="002A5100">
              <w:rPr>
                <w:rFonts w:ascii="Humnst777 Lt BT" w:hAnsi="Humnst777 Lt BT"/>
                <w:szCs w:val="24"/>
              </w:rPr>
              <w:t>77% of accountancy PBSs lacked adequate conflict policies</w:t>
            </w:r>
          </w:p>
          <w:p w14:paraId="14E01903" w14:textId="77777777" w:rsidR="004175FC" w:rsidRPr="002A5100" w:rsidRDefault="004175FC">
            <w:pPr>
              <w:rPr>
                <w:rFonts w:ascii="Humnst777 Lt BT" w:hAnsi="Humnst777 Lt BT"/>
                <w:szCs w:val="24"/>
              </w:rPr>
            </w:pPr>
          </w:p>
          <w:p w14:paraId="55158BE0" w14:textId="08BE8600" w:rsidR="004175FC" w:rsidRPr="002A5100" w:rsidRDefault="004175FC">
            <w:pPr>
              <w:rPr>
                <w:rFonts w:ascii="Humnst777 Lt BT" w:hAnsi="Humnst777 Lt BT"/>
                <w:szCs w:val="24"/>
              </w:rPr>
            </w:pPr>
            <w:r w:rsidRPr="002A5100">
              <w:rPr>
                <w:rFonts w:ascii="Humnst777 Lt BT" w:hAnsi="Humnst777 Lt BT"/>
                <w:szCs w:val="24"/>
              </w:rPr>
              <w:t>12% had not updated policies after the 2017 MLRs</w:t>
            </w:r>
          </w:p>
        </w:tc>
        <w:tc>
          <w:tcPr>
            <w:tcW w:w="4678" w:type="dxa"/>
            <w:tcBorders>
              <w:top w:val="single" w:sz="4" w:space="0" w:color="000000" w:themeColor="text1"/>
              <w:left w:val="single" w:sz="4" w:space="0" w:color="000000" w:themeColor="text1"/>
              <w:right w:val="single" w:sz="4" w:space="0" w:color="000000" w:themeColor="text1"/>
            </w:tcBorders>
          </w:tcPr>
          <w:p w14:paraId="33CA90CD" w14:textId="77777777" w:rsidR="004175FC" w:rsidRDefault="004175FC" w:rsidP="004175FC">
            <w:pPr>
              <w:rPr>
                <w:rFonts w:ascii="Humnst777 Lt BT" w:hAnsi="Humnst777 Lt BT"/>
                <w:szCs w:val="24"/>
              </w:rPr>
            </w:pPr>
            <w:r w:rsidRPr="002A5100">
              <w:rPr>
                <w:rFonts w:ascii="Humnst777 Lt BT" w:hAnsi="Humnst777 Lt BT"/>
                <w:szCs w:val="24"/>
              </w:rPr>
              <w:t>All met the requirements</w:t>
            </w:r>
          </w:p>
          <w:p w14:paraId="5FDC1C83" w14:textId="77777777" w:rsidR="004175FC" w:rsidRPr="00C457EE" w:rsidRDefault="004175FC" w:rsidP="002A5100">
            <w:pPr>
              <w:rPr>
                <w:rFonts w:ascii="Humnst777 Lt BT" w:hAnsi="Humnst777 Lt BT"/>
                <w:szCs w:val="24"/>
              </w:rPr>
            </w:pPr>
          </w:p>
          <w:p w14:paraId="6206BADA" w14:textId="77777777" w:rsidR="004175FC" w:rsidRDefault="004175FC" w:rsidP="004175FC">
            <w:pPr>
              <w:jc w:val="both"/>
              <w:rPr>
                <w:rFonts w:ascii="Humnst777 Lt BT" w:hAnsi="Humnst777 Lt BT"/>
              </w:rPr>
            </w:pPr>
            <w:r w:rsidRPr="002A5100">
              <w:rPr>
                <w:rFonts w:ascii="Humnst777 Lt BT" w:hAnsi="Humnst777 Lt BT"/>
              </w:rPr>
              <w:t>All but 1 had a consolidated AML policy</w:t>
            </w:r>
          </w:p>
          <w:p w14:paraId="706ABB7A" w14:textId="77777777" w:rsidR="004175FC" w:rsidRPr="002A5100" w:rsidRDefault="004175FC" w:rsidP="002A5100">
            <w:pPr>
              <w:jc w:val="both"/>
              <w:rPr>
                <w:rFonts w:ascii="Humnst777 Lt BT" w:hAnsi="Humnst777 Lt BT"/>
              </w:rPr>
            </w:pPr>
          </w:p>
          <w:p w14:paraId="373B31DC" w14:textId="77777777" w:rsidR="004175FC" w:rsidRDefault="004175FC" w:rsidP="004175FC">
            <w:pPr>
              <w:jc w:val="both"/>
              <w:rPr>
                <w:rFonts w:ascii="Humnst777 Lt BT" w:hAnsi="Humnst777 Lt BT"/>
                <w:szCs w:val="24"/>
              </w:rPr>
            </w:pPr>
            <w:r w:rsidRPr="002A5100">
              <w:rPr>
                <w:rFonts w:ascii="Humnst777 Lt BT" w:hAnsi="Humnst777 Lt BT"/>
                <w:szCs w:val="24"/>
              </w:rPr>
              <w:t>All had clear accountability and oversight for AML at senior levels All had oversight by internal governance for AML</w:t>
            </w:r>
          </w:p>
          <w:p w14:paraId="2B4F8C5D" w14:textId="77777777" w:rsidR="004175FC" w:rsidRPr="002A5100" w:rsidRDefault="004175FC" w:rsidP="002A5100">
            <w:pPr>
              <w:jc w:val="both"/>
              <w:rPr>
                <w:rFonts w:ascii="Humnst777 Lt BT" w:hAnsi="Humnst777 Lt BT"/>
                <w:szCs w:val="24"/>
              </w:rPr>
            </w:pPr>
          </w:p>
          <w:p w14:paraId="74F497A4" w14:textId="77777777" w:rsidR="004175FC" w:rsidRDefault="004175FC" w:rsidP="004175FC">
            <w:pPr>
              <w:jc w:val="both"/>
              <w:rPr>
                <w:rFonts w:ascii="Humnst777 Lt BT" w:hAnsi="Humnst777 Lt BT"/>
                <w:szCs w:val="24"/>
              </w:rPr>
            </w:pPr>
            <w:r w:rsidRPr="002A5100">
              <w:rPr>
                <w:rFonts w:ascii="Humnst777 Lt BT" w:hAnsi="Humnst777 Lt BT"/>
                <w:szCs w:val="24"/>
              </w:rPr>
              <w:t>All accountancy PBSs had conflicts policies</w:t>
            </w:r>
          </w:p>
          <w:p w14:paraId="1C9267CB" w14:textId="77777777" w:rsidR="004175FC" w:rsidRPr="002A5100" w:rsidRDefault="004175FC" w:rsidP="002A5100">
            <w:pPr>
              <w:jc w:val="both"/>
              <w:rPr>
                <w:rFonts w:ascii="Humnst777 Lt BT" w:hAnsi="Humnst777 Lt BT"/>
                <w:szCs w:val="24"/>
              </w:rPr>
            </w:pPr>
          </w:p>
          <w:p w14:paraId="666A5CCC" w14:textId="77777777" w:rsidR="004175FC" w:rsidRPr="002A5100" w:rsidRDefault="004175FC" w:rsidP="002A5100">
            <w:pPr>
              <w:jc w:val="both"/>
              <w:rPr>
                <w:rFonts w:ascii="Humnst777 Lt BT" w:hAnsi="Humnst777 Lt BT"/>
                <w:szCs w:val="24"/>
              </w:rPr>
            </w:pPr>
            <w:r w:rsidRPr="002A5100">
              <w:rPr>
                <w:rFonts w:ascii="Humnst777 Lt BT" w:hAnsi="Humnst777 Lt BT"/>
                <w:szCs w:val="24"/>
              </w:rPr>
              <w:t>32% had created new dedicated</w:t>
            </w:r>
          </w:p>
          <w:p w14:paraId="36A3F2E8" w14:textId="1976DF72" w:rsidR="004175FC" w:rsidRPr="002A5100" w:rsidRDefault="004175FC" w:rsidP="002A5100">
            <w:pPr>
              <w:jc w:val="both"/>
              <w:rPr>
                <w:rFonts w:ascii="Humnst777 Lt BT" w:hAnsi="Humnst777 Lt BT"/>
                <w:szCs w:val="24"/>
              </w:rPr>
            </w:pPr>
            <w:r w:rsidRPr="002A5100">
              <w:rPr>
                <w:rFonts w:ascii="Humnst777 Lt BT" w:hAnsi="Humnst777 Lt BT"/>
                <w:szCs w:val="24"/>
              </w:rPr>
              <w:t>AML roles</w:t>
            </w:r>
          </w:p>
        </w:tc>
      </w:tr>
      <w:tr w:rsidR="007E51C5" w:rsidRPr="00BF0266" w14:paraId="559961F1" w14:textId="77777777" w:rsidTr="00F632AA">
        <w:tblPrEx>
          <w:tblCellMar>
            <w:top w:w="23" w:type="dxa"/>
            <w:left w:w="0" w:type="dxa"/>
            <w:right w:w="47" w:type="dxa"/>
          </w:tblCellMar>
        </w:tblPrEx>
        <w:trPr>
          <w:trHeight w:val="2643"/>
        </w:trPr>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022C910D" w14:textId="77777777" w:rsidR="004175FC" w:rsidRPr="00BF0266" w:rsidRDefault="004175FC" w:rsidP="002A5100">
            <w:pPr>
              <w:jc w:val="center"/>
              <w:rPr>
                <w:rFonts w:ascii="Humnst777 Lt BT" w:hAnsi="Humnst777 Lt BT"/>
                <w:szCs w:val="24"/>
              </w:rPr>
            </w:pPr>
            <w:r w:rsidRPr="00BF0266">
              <w:rPr>
                <w:rFonts w:ascii="Humnst777 Lt BT" w:hAnsi="Humnst777 Lt BT"/>
                <w:szCs w:val="24"/>
              </w:rPr>
              <w:t>Risk-based approach (RBA)</w:t>
            </w:r>
          </w:p>
        </w:tc>
        <w:tc>
          <w:tcPr>
            <w:tcW w:w="3686" w:type="dxa"/>
            <w:tcBorders>
              <w:top w:val="single" w:sz="4" w:space="0" w:color="000000" w:themeColor="text1"/>
              <w:left w:val="single" w:sz="4" w:space="0" w:color="000000" w:themeColor="text1"/>
              <w:bottom w:val="single" w:sz="4" w:space="0" w:color="auto"/>
              <w:right w:val="single" w:sz="4" w:space="0" w:color="000000" w:themeColor="text1"/>
            </w:tcBorders>
          </w:tcPr>
          <w:p w14:paraId="02C560EA" w14:textId="653B6832" w:rsidR="004175FC" w:rsidRDefault="004175FC" w:rsidP="004175FC">
            <w:pPr>
              <w:rPr>
                <w:rFonts w:ascii="Humnst777 Lt BT" w:hAnsi="Humnst777 Lt BT"/>
                <w:szCs w:val="24"/>
              </w:rPr>
            </w:pPr>
            <w:r w:rsidRPr="002A5100">
              <w:rPr>
                <w:rFonts w:ascii="Humnst777 Lt BT" w:hAnsi="Humnst777 Lt BT"/>
                <w:szCs w:val="24"/>
              </w:rPr>
              <w:t>9% applied an RBA</w:t>
            </w:r>
          </w:p>
          <w:p w14:paraId="3B608399" w14:textId="77777777" w:rsidR="004175FC" w:rsidRPr="002A5100" w:rsidRDefault="004175FC">
            <w:pPr>
              <w:rPr>
                <w:rFonts w:ascii="Humnst777 Lt BT" w:hAnsi="Humnst777 Lt BT"/>
                <w:szCs w:val="24"/>
              </w:rPr>
            </w:pPr>
          </w:p>
          <w:p w14:paraId="6923A588" w14:textId="33192D91" w:rsidR="004175FC" w:rsidRDefault="004175FC" w:rsidP="004175FC">
            <w:pPr>
              <w:rPr>
                <w:rFonts w:ascii="Humnst777 Lt BT" w:hAnsi="Humnst777 Lt BT"/>
                <w:szCs w:val="24"/>
              </w:rPr>
            </w:pPr>
            <w:r w:rsidRPr="002A5100">
              <w:rPr>
                <w:rFonts w:ascii="Humnst777 Lt BT" w:hAnsi="Humnst777 Lt BT"/>
                <w:szCs w:val="24"/>
              </w:rPr>
              <w:t>9% collected relevant data</w:t>
            </w:r>
          </w:p>
          <w:p w14:paraId="631B874B" w14:textId="77777777" w:rsidR="004175FC" w:rsidRPr="002A5100" w:rsidRDefault="004175FC">
            <w:pPr>
              <w:rPr>
                <w:rFonts w:ascii="Humnst777 Lt BT" w:hAnsi="Humnst777 Lt BT"/>
                <w:szCs w:val="24"/>
              </w:rPr>
            </w:pPr>
          </w:p>
          <w:p w14:paraId="17924FE9" w14:textId="67F5E0A0" w:rsidR="004175FC" w:rsidRDefault="004175FC" w:rsidP="004175FC">
            <w:pPr>
              <w:rPr>
                <w:rFonts w:ascii="Humnst777 Lt BT" w:hAnsi="Humnst777 Lt BT"/>
                <w:szCs w:val="24"/>
              </w:rPr>
            </w:pPr>
            <w:r w:rsidRPr="002A5100">
              <w:rPr>
                <w:rFonts w:ascii="Humnst777 Lt BT" w:hAnsi="Humnst777 Lt BT"/>
                <w:szCs w:val="24"/>
              </w:rPr>
              <w:t>32% had dedicated AML returns</w:t>
            </w:r>
          </w:p>
          <w:p w14:paraId="644B8E90" w14:textId="77777777" w:rsidR="004175FC" w:rsidRPr="002A5100" w:rsidRDefault="004175FC">
            <w:pPr>
              <w:rPr>
                <w:rFonts w:ascii="Humnst777 Lt BT" w:hAnsi="Humnst777 Lt BT"/>
                <w:szCs w:val="24"/>
              </w:rPr>
            </w:pPr>
          </w:p>
          <w:p w14:paraId="631052FE" w14:textId="5EB748DE" w:rsidR="004175FC" w:rsidRDefault="004175FC" w:rsidP="004175FC">
            <w:pPr>
              <w:rPr>
                <w:rFonts w:ascii="Humnst777 Lt BT" w:hAnsi="Humnst777 Lt BT"/>
                <w:szCs w:val="24"/>
              </w:rPr>
            </w:pPr>
            <w:r w:rsidRPr="002A5100">
              <w:rPr>
                <w:rFonts w:ascii="Humnst777 Lt BT" w:hAnsi="Humnst777 Lt BT"/>
                <w:szCs w:val="24"/>
              </w:rPr>
              <w:t>68% had a written risk assessment</w:t>
            </w:r>
          </w:p>
          <w:p w14:paraId="10162F8B" w14:textId="77777777" w:rsidR="004175FC" w:rsidRPr="002A5100" w:rsidRDefault="004175FC">
            <w:pPr>
              <w:rPr>
                <w:rFonts w:ascii="Humnst777 Lt BT" w:hAnsi="Humnst777 Lt BT"/>
                <w:szCs w:val="24"/>
              </w:rPr>
            </w:pPr>
          </w:p>
          <w:p w14:paraId="044CC0B4" w14:textId="77777777" w:rsidR="004175FC" w:rsidRPr="002A5100" w:rsidRDefault="004175FC">
            <w:pPr>
              <w:rPr>
                <w:rFonts w:ascii="Humnst777 Lt BT" w:hAnsi="Humnst777 Lt BT"/>
                <w:szCs w:val="24"/>
              </w:rPr>
            </w:pPr>
            <w:r w:rsidRPr="002A5100">
              <w:rPr>
                <w:rFonts w:ascii="Humnst777 Lt BT" w:hAnsi="Humnst777 Lt BT"/>
                <w:szCs w:val="24"/>
              </w:rPr>
              <w:t>40% had completed risk profiling</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tcPr>
          <w:p w14:paraId="23185B5E" w14:textId="77777777" w:rsidR="004175FC" w:rsidRPr="002A5100" w:rsidRDefault="004175FC">
            <w:pPr>
              <w:rPr>
                <w:rFonts w:ascii="Humnst777 Lt BT" w:hAnsi="Humnst777 Lt BT"/>
                <w:szCs w:val="24"/>
              </w:rPr>
            </w:pPr>
            <w:r w:rsidRPr="002A5100">
              <w:rPr>
                <w:rFonts w:ascii="Humnst777 Lt BT" w:hAnsi="Humnst777 Lt BT"/>
                <w:szCs w:val="24"/>
              </w:rPr>
              <w:t>86% applied RBA with 14% having plans to implement an approach in early 2020</w:t>
            </w:r>
          </w:p>
          <w:p w14:paraId="1847BE93" w14:textId="77777777" w:rsidR="004175FC" w:rsidRDefault="004175FC" w:rsidP="00C457EE">
            <w:pPr>
              <w:ind w:left="360"/>
              <w:rPr>
                <w:rFonts w:ascii="Humnst777 Lt BT" w:hAnsi="Humnst777 Lt BT"/>
                <w:szCs w:val="24"/>
              </w:rPr>
            </w:pPr>
          </w:p>
          <w:p w14:paraId="7875E822" w14:textId="534D7D58" w:rsidR="004175FC" w:rsidRDefault="004175FC" w:rsidP="004175FC">
            <w:pPr>
              <w:rPr>
                <w:rFonts w:ascii="Humnst777 Lt BT" w:hAnsi="Humnst777 Lt BT"/>
                <w:szCs w:val="24"/>
              </w:rPr>
            </w:pPr>
            <w:r>
              <w:rPr>
                <w:rFonts w:ascii="Humnst777 Lt BT" w:hAnsi="Humnst777 Lt BT"/>
                <w:szCs w:val="24"/>
              </w:rPr>
              <w:t>9</w:t>
            </w:r>
            <w:r w:rsidRPr="002A5100">
              <w:rPr>
                <w:rFonts w:ascii="Humnst777 Lt BT" w:hAnsi="Humnst777 Lt BT"/>
                <w:szCs w:val="24"/>
              </w:rPr>
              <w:t>5% collected relevant data</w:t>
            </w:r>
          </w:p>
          <w:p w14:paraId="5665D4F8" w14:textId="77777777" w:rsidR="004175FC" w:rsidRPr="002A5100" w:rsidRDefault="004175FC">
            <w:pPr>
              <w:rPr>
                <w:rFonts w:ascii="Humnst777 Lt BT" w:hAnsi="Humnst777 Lt BT"/>
                <w:szCs w:val="24"/>
              </w:rPr>
            </w:pPr>
          </w:p>
          <w:p w14:paraId="2CE95232" w14:textId="77777777" w:rsidR="004175FC" w:rsidRPr="00C457EE" w:rsidRDefault="004175FC" w:rsidP="002A5100">
            <w:pPr>
              <w:rPr>
                <w:rFonts w:ascii="Humnst777 Lt BT" w:hAnsi="Humnst777 Lt BT"/>
                <w:szCs w:val="24"/>
              </w:rPr>
            </w:pPr>
            <w:r w:rsidRPr="002A5100">
              <w:rPr>
                <w:rFonts w:ascii="Humnst777 Lt BT" w:hAnsi="Humnst777 Lt BT"/>
                <w:szCs w:val="24"/>
              </w:rPr>
              <w:t>41% had dedicated AML returns</w:t>
            </w:r>
          </w:p>
          <w:p w14:paraId="0E0315A5" w14:textId="5ECE80F8" w:rsidR="004175FC" w:rsidRPr="002A5100" w:rsidRDefault="004175FC" w:rsidP="002A5100">
            <w:pPr>
              <w:ind w:left="360"/>
              <w:rPr>
                <w:rFonts w:ascii="Humnst777 Lt BT" w:hAnsi="Humnst777 Lt BT"/>
                <w:szCs w:val="24"/>
              </w:rPr>
            </w:pPr>
          </w:p>
          <w:p w14:paraId="27620760" w14:textId="77777777" w:rsidR="004175FC" w:rsidRPr="00C457EE" w:rsidRDefault="004175FC" w:rsidP="002A5100">
            <w:pPr>
              <w:rPr>
                <w:rFonts w:ascii="Humnst777 Lt BT" w:hAnsi="Humnst777 Lt BT"/>
                <w:szCs w:val="24"/>
              </w:rPr>
            </w:pPr>
            <w:r w:rsidRPr="002A5100">
              <w:rPr>
                <w:rFonts w:ascii="Humnst777 Lt BT" w:hAnsi="Humnst777 Lt BT"/>
                <w:szCs w:val="24"/>
              </w:rPr>
              <w:t>86% had written risk assessments</w:t>
            </w:r>
          </w:p>
          <w:p w14:paraId="76C1BCB2" w14:textId="3336886E" w:rsidR="004175FC" w:rsidRPr="002A5100" w:rsidRDefault="004175FC" w:rsidP="002A5100">
            <w:pPr>
              <w:ind w:left="360"/>
              <w:rPr>
                <w:rFonts w:ascii="Humnst777 Lt BT" w:hAnsi="Humnst777 Lt BT"/>
                <w:szCs w:val="24"/>
              </w:rPr>
            </w:pPr>
          </w:p>
          <w:p w14:paraId="5E574906" w14:textId="0170FC2B" w:rsidR="004175FC" w:rsidRPr="002A5100" w:rsidRDefault="004175FC">
            <w:pPr>
              <w:rPr>
                <w:rFonts w:ascii="Humnst777 Lt BT" w:hAnsi="Humnst777 Lt BT"/>
                <w:szCs w:val="24"/>
              </w:rPr>
            </w:pPr>
            <w:r w:rsidRPr="002A5100">
              <w:rPr>
                <w:rFonts w:ascii="Humnst777 Lt BT" w:hAnsi="Humnst777 Lt BT"/>
                <w:szCs w:val="24"/>
              </w:rPr>
              <w:t>81 % had completed risk profiling</w:t>
            </w:r>
          </w:p>
        </w:tc>
      </w:tr>
      <w:tr w:rsidR="0091417C" w:rsidRPr="00BF0266" w14:paraId="1806C12F" w14:textId="77777777" w:rsidTr="00E12B99">
        <w:tblPrEx>
          <w:tblCellMar>
            <w:top w:w="23" w:type="dxa"/>
            <w:left w:w="0" w:type="dxa"/>
            <w:right w:w="47" w:type="dxa"/>
          </w:tblCellMar>
        </w:tblPrEx>
        <w:trPr>
          <w:trHeight w:val="3569"/>
        </w:trPr>
        <w:tc>
          <w:tcPr>
            <w:tcW w:w="1701" w:type="dxa"/>
            <w:tcBorders>
              <w:top w:val="single" w:sz="4" w:space="0" w:color="auto"/>
              <w:left w:val="single" w:sz="4" w:space="0" w:color="auto"/>
              <w:bottom w:val="single" w:sz="4" w:space="0" w:color="auto"/>
              <w:right w:val="single" w:sz="4" w:space="0" w:color="auto"/>
            </w:tcBorders>
          </w:tcPr>
          <w:p w14:paraId="2A6C2670" w14:textId="77777777" w:rsidR="004175FC" w:rsidRPr="00BF0266" w:rsidRDefault="004175FC" w:rsidP="002A5100">
            <w:pPr>
              <w:jc w:val="center"/>
              <w:rPr>
                <w:rFonts w:ascii="Humnst777 Lt BT" w:hAnsi="Humnst777 Lt BT"/>
                <w:szCs w:val="24"/>
              </w:rPr>
            </w:pPr>
            <w:r w:rsidRPr="00BF0266">
              <w:rPr>
                <w:rFonts w:ascii="Humnst777 Lt BT" w:hAnsi="Humnst777 Lt BT"/>
                <w:szCs w:val="24"/>
              </w:rPr>
              <w:t>Supervision</w:t>
            </w:r>
          </w:p>
        </w:tc>
        <w:tc>
          <w:tcPr>
            <w:tcW w:w="3686" w:type="dxa"/>
            <w:tcBorders>
              <w:top w:val="single" w:sz="4" w:space="0" w:color="auto"/>
              <w:left w:val="single" w:sz="4" w:space="0" w:color="auto"/>
              <w:bottom w:val="single" w:sz="4" w:space="0" w:color="auto"/>
              <w:right w:val="single" w:sz="4" w:space="0" w:color="auto"/>
            </w:tcBorders>
          </w:tcPr>
          <w:p w14:paraId="120B7015" w14:textId="77777777" w:rsidR="004175FC" w:rsidRPr="002A5100" w:rsidRDefault="004175FC">
            <w:pPr>
              <w:rPr>
                <w:rFonts w:ascii="Humnst777 Lt BT" w:hAnsi="Humnst777 Lt BT"/>
                <w:szCs w:val="24"/>
              </w:rPr>
            </w:pPr>
            <w:r w:rsidRPr="002A5100">
              <w:rPr>
                <w:rFonts w:ascii="Humnst777 Lt BT" w:hAnsi="Humnst777 Lt BT"/>
                <w:szCs w:val="24"/>
              </w:rPr>
              <w:t>18% had not fully identified their population</w:t>
            </w:r>
          </w:p>
          <w:p w14:paraId="1E008AA3" w14:textId="77777777" w:rsidR="004175FC" w:rsidRDefault="004175FC" w:rsidP="004175FC">
            <w:pPr>
              <w:rPr>
                <w:rFonts w:ascii="Humnst777 Lt BT" w:hAnsi="Humnst777 Lt BT"/>
                <w:szCs w:val="24"/>
              </w:rPr>
            </w:pPr>
          </w:p>
          <w:p w14:paraId="5BD77D7D" w14:textId="769DC7A2" w:rsidR="004175FC" w:rsidRPr="002A5100" w:rsidRDefault="004175FC">
            <w:pPr>
              <w:rPr>
                <w:rFonts w:ascii="Humnst777 Lt BT" w:hAnsi="Humnst777 Lt BT"/>
                <w:szCs w:val="24"/>
              </w:rPr>
            </w:pPr>
            <w:r w:rsidRPr="002A5100">
              <w:rPr>
                <w:rFonts w:ascii="Humnst777 Lt BT" w:hAnsi="Humnst777 Lt BT"/>
                <w:szCs w:val="24"/>
              </w:rPr>
              <w:t>23% undertook no supervision</w:t>
            </w:r>
          </w:p>
          <w:p w14:paraId="3AFE9B2B" w14:textId="77777777" w:rsidR="004175FC" w:rsidRDefault="004175FC" w:rsidP="004175FC">
            <w:pPr>
              <w:rPr>
                <w:rFonts w:ascii="Humnst777 Lt BT" w:hAnsi="Humnst777 Lt BT"/>
                <w:szCs w:val="24"/>
              </w:rPr>
            </w:pPr>
          </w:p>
          <w:p w14:paraId="74F61686" w14:textId="00CC5C53" w:rsidR="004175FC" w:rsidRPr="002A5100" w:rsidRDefault="004175FC">
            <w:pPr>
              <w:rPr>
                <w:rFonts w:ascii="Humnst777 Lt BT" w:hAnsi="Humnst777 Lt BT"/>
                <w:szCs w:val="24"/>
              </w:rPr>
            </w:pPr>
            <w:r w:rsidRPr="002A5100">
              <w:rPr>
                <w:rFonts w:ascii="Humnst777 Lt BT" w:hAnsi="Humnst777 Lt BT"/>
                <w:szCs w:val="24"/>
              </w:rPr>
              <w:t>10% undertook proactive supervision</w:t>
            </w:r>
          </w:p>
          <w:p w14:paraId="45338767" w14:textId="77777777" w:rsidR="004175FC" w:rsidRDefault="004175FC" w:rsidP="004175FC">
            <w:pPr>
              <w:rPr>
                <w:rFonts w:ascii="Humnst777 Lt BT" w:hAnsi="Humnst777 Lt BT"/>
                <w:szCs w:val="24"/>
              </w:rPr>
            </w:pPr>
          </w:p>
          <w:p w14:paraId="1FCB0506" w14:textId="2EA32E4A" w:rsidR="004175FC" w:rsidRPr="002A5100" w:rsidRDefault="004175FC">
            <w:pPr>
              <w:rPr>
                <w:rFonts w:ascii="Humnst777 Lt BT" w:hAnsi="Humnst777 Lt BT"/>
                <w:szCs w:val="24"/>
              </w:rPr>
            </w:pPr>
            <w:r w:rsidRPr="002A5100">
              <w:rPr>
                <w:rFonts w:ascii="Humnst777 Lt BT" w:hAnsi="Humnst777 Lt BT"/>
                <w:szCs w:val="24"/>
              </w:rPr>
              <w:t>23% outsourced supervision</w:t>
            </w:r>
          </w:p>
        </w:tc>
        <w:tc>
          <w:tcPr>
            <w:tcW w:w="4678" w:type="dxa"/>
            <w:tcBorders>
              <w:top w:val="single" w:sz="4" w:space="0" w:color="auto"/>
              <w:left w:val="single" w:sz="4" w:space="0" w:color="auto"/>
              <w:bottom w:val="single" w:sz="4" w:space="0" w:color="auto"/>
              <w:right w:val="single" w:sz="4" w:space="0" w:color="auto"/>
            </w:tcBorders>
          </w:tcPr>
          <w:p w14:paraId="6131BD47" w14:textId="77777777" w:rsidR="004175FC" w:rsidRPr="002A5100" w:rsidRDefault="004175FC">
            <w:pPr>
              <w:rPr>
                <w:rFonts w:ascii="Humnst777 Lt BT" w:hAnsi="Humnst777 Lt BT"/>
              </w:rPr>
            </w:pPr>
            <w:r w:rsidRPr="002A5100">
              <w:rPr>
                <w:rFonts w:ascii="Humnst777 Lt BT" w:hAnsi="Humnst777 Lt BT"/>
              </w:rPr>
              <w:t>All had identified and verified their population</w:t>
            </w:r>
          </w:p>
          <w:p w14:paraId="6C964AFE" w14:textId="77777777" w:rsidR="004175FC" w:rsidRDefault="004175FC" w:rsidP="004175FC">
            <w:pPr>
              <w:rPr>
                <w:rFonts w:ascii="Humnst777 Lt BT" w:hAnsi="Humnst777 Lt BT"/>
                <w:szCs w:val="24"/>
              </w:rPr>
            </w:pPr>
          </w:p>
          <w:p w14:paraId="1955DC7D" w14:textId="3EB97A51" w:rsidR="004175FC" w:rsidRPr="002A5100" w:rsidRDefault="004175FC">
            <w:pPr>
              <w:rPr>
                <w:rFonts w:ascii="Humnst777 Lt BT" w:hAnsi="Humnst777 Lt BT"/>
                <w:szCs w:val="24"/>
              </w:rPr>
            </w:pPr>
            <w:r w:rsidRPr="002A5100">
              <w:rPr>
                <w:rFonts w:ascii="Humnst777 Lt BT" w:hAnsi="Humnst777 Lt BT"/>
                <w:szCs w:val="24"/>
              </w:rPr>
              <w:t>All undertook supervisory work</w:t>
            </w:r>
          </w:p>
          <w:p w14:paraId="7A6C6991" w14:textId="77777777" w:rsidR="004175FC" w:rsidRDefault="004175FC">
            <w:pPr>
              <w:rPr>
                <w:rFonts w:ascii="Humnst777 Lt BT" w:hAnsi="Humnst777 Lt BT"/>
                <w:szCs w:val="24"/>
              </w:rPr>
            </w:pPr>
          </w:p>
          <w:p w14:paraId="7B42187B" w14:textId="669013B4" w:rsidR="004175FC" w:rsidRPr="002A5100" w:rsidRDefault="004175FC">
            <w:pPr>
              <w:rPr>
                <w:rFonts w:ascii="Humnst777 Lt BT" w:hAnsi="Humnst777 Lt BT"/>
              </w:rPr>
            </w:pPr>
            <w:r w:rsidRPr="00C457EE">
              <w:rPr>
                <w:rFonts w:ascii="Humnst777 Lt BT" w:hAnsi="Humnst777 Lt BT"/>
                <w:szCs w:val="24"/>
              </w:rPr>
              <w:t xml:space="preserve">86% undertook proactive </w:t>
            </w:r>
            <w:r w:rsidRPr="002A5100">
              <w:rPr>
                <w:rFonts w:ascii="Humnst777 Lt BT" w:hAnsi="Humnst777 Lt BT"/>
              </w:rPr>
              <w:t>supervision</w:t>
            </w:r>
          </w:p>
          <w:p w14:paraId="1FE5D713" w14:textId="77777777" w:rsidR="004175FC" w:rsidRDefault="004175FC" w:rsidP="004175FC">
            <w:pPr>
              <w:rPr>
                <w:rFonts w:ascii="Humnst777 Lt BT" w:hAnsi="Humnst777 Lt BT"/>
                <w:szCs w:val="24"/>
              </w:rPr>
            </w:pPr>
          </w:p>
          <w:p w14:paraId="0D4168BC" w14:textId="2C1AEC3E" w:rsidR="004175FC" w:rsidRPr="00C457EE" w:rsidRDefault="004175FC" w:rsidP="002A5100">
            <w:pPr>
              <w:rPr>
                <w:rFonts w:ascii="Humnst777 Lt BT" w:hAnsi="Humnst777 Lt BT"/>
                <w:szCs w:val="24"/>
              </w:rPr>
            </w:pPr>
            <w:r w:rsidRPr="002A5100">
              <w:rPr>
                <w:rFonts w:ascii="Humnst777 Lt BT" w:hAnsi="Humnst777 Lt BT"/>
                <w:szCs w:val="24"/>
              </w:rPr>
              <w:t>13% had undertaken thematic reviews</w:t>
            </w:r>
          </w:p>
          <w:p w14:paraId="215B9F02" w14:textId="4050CF23" w:rsidR="004175FC" w:rsidRPr="002A5100" w:rsidRDefault="004175FC" w:rsidP="002A5100">
            <w:pPr>
              <w:ind w:left="360"/>
              <w:rPr>
                <w:rFonts w:ascii="Humnst777 Lt BT" w:hAnsi="Humnst777 Lt BT"/>
                <w:szCs w:val="24"/>
              </w:rPr>
            </w:pPr>
          </w:p>
          <w:p w14:paraId="31B2161A" w14:textId="52EFD7BB" w:rsidR="004175FC" w:rsidRPr="002A5100" w:rsidRDefault="004175FC">
            <w:pPr>
              <w:rPr>
                <w:rFonts w:ascii="Humnst777 Lt BT" w:hAnsi="Humnst777 Lt BT"/>
                <w:szCs w:val="24"/>
              </w:rPr>
            </w:pPr>
            <w:r w:rsidRPr="002A5100">
              <w:rPr>
                <w:rFonts w:ascii="Humnst777 Lt BT" w:hAnsi="Humnst777 Lt BT"/>
                <w:szCs w:val="24"/>
              </w:rPr>
              <w:t>18% had renegotiated outsourcing contracts</w:t>
            </w:r>
          </w:p>
        </w:tc>
      </w:tr>
      <w:tr w:rsidR="007E51C5" w:rsidRPr="00BF0266" w14:paraId="55DB5653" w14:textId="77777777" w:rsidTr="00E12B99">
        <w:tblPrEx>
          <w:tblCellMar>
            <w:top w:w="23" w:type="dxa"/>
            <w:left w:w="0" w:type="dxa"/>
            <w:right w:w="47" w:type="dxa"/>
          </w:tblCellMar>
        </w:tblPrEx>
        <w:trPr>
          <w:trHeight w:val="1966"/>
        </w:trPr>
        <w:tc>
          <w:tcPr>
            <w:tcW w:w="1701" w:type="dxa"/>
            <w:tcBorders>
              <w:top w:val="single" w:sz="4" w:space="0" w:color="auto"/>
              <w:left w:val="single" w:sz="4" w:space="0" w:color="000000" w:themeColor="text1"/>
              <w:bottom w:val="single" w:sz="4" w:space="0" w:color="000000" w:themeColor="text1"/>
              <w:right w:val="single" w:sz="4" w:space="0" w:color="000000" w:themeColor="text1"/>
            </w:tcBorders>
          </w:tcPr>
          <w:p w14:paraId="016ADC8F" w14:textId="7CD634EB" w:rsidR="00DA6A76" w:rsidRPr="00BF0266" w:rsidRDefault="00DA6A76" w:rsidP="002A5100">
            <w:pPr>
              <w:jc w:val="center"/>
              <w:rPr>
                <w:rFonts w:ascii="Humnst777 Lt BT" w:hAnsi="Humnst777 Lt BT"/>
                <w:szCs w:val="24"/>
              </w:rPr>
            </w:pPr>
            <w:r w:rsidRPr="00BF0266">
              <w:rPr>
                <w:rFonts w:ascii="Humnst777 Lt BT" w:hAnsi="Humnst777 Lt BT"/>
                <w:szCs w:val="24"/>
              </w:rPr>
              <w:lastRenderedPageBreak/>
              <w:t>Intelligence and</w:t>
            </w:r>
          </w:p>
          <w:p w14:paraId="7B9C1B35" w14:textId="77777777" w:rsidR="00DA6A76" w:rsidRPr="00BF0266" w:rsidRDefault="00DA6A76" w:rsidP="002A5100">
            <w:pPr>
              <w:jc w:val="center"/>
              <w:rPr>
                <w:rFonts w:ascii="Humnst777 Lt BT" w:hAnsi="Humnst777 Lt BT"/>
                <w:szCs w:val="24"/>
              </w:rPr>
            </w:pPr>
            <w:r w:rsidRPr="00BF0266">
              <w:rPr>
                <w:rFonts w:ascii="Humnst777 Lt BT" w:hAnsi="Humnst777 Lt BT"/>
                <w:szCs w:val="24"/>
              </w:rPr>
              <w:t>Information sharing</w:t>
            </w:r>
          </w:p>
        </w:tc>
        <w:tc>
          <w:tcPr>
            <w:tcW w:w="3686" w:type="dxa"/>
            <w:tcBorders>
              <w:top w:val="single" w:sz="4" w:space="0" w:color="auto"/>
              <w:left w:val="single" w:sz="4" w:space="0" w:color="000000" w:themeColor="text1"/>
              <w:bottom w:val="single" w:sz="4" w:space="0" w:color="000000" w:themeColor="text1"/>
              <w:right w:val="single" w:sz="4" w:space="0" w:color="000000" w:themeColor="text1"/>
            </w:tcBorders>
          </w:tcPr>
          <w:p w14:paraId="2ECCC87A" w14:textId="40B91C5C" w:rsidR="00DA6A76" w:rsidRDefault="00DA6A76" w:rsidP="004175FC">
            <w:pPr>
              <w:rPr>
                <w:rFonts w:ascii="Humnst777 Lt BT" w:hAnsi="Humnst777 Lt BT"/>
                <w:szCs w:val="24"/>
              </w:rPr>
            </w:pPr>
            <w:r w:rsidRPr="002A5100">
              <w:rPr>
                <w:rFonts w:ascii="Humnst777 Lt BT" w:hAnsi="Humnst777 Lt BT"/>
                <w:szCs w:val="24"/>
              </w:rPr>
              <w:t>9% failed to ID and report suspicious activity</w:t>
            </w:r>
          </w:p>
          <w:p w14:paraId="402720DE" w14:textId="77777777" w:rsidR="004175FC" w:rsidRPr="002A5100" w:rsidRDefault="004175FC">
            <w:pPr>
              <w:rPr>
                <w:rFonts w:ascii="Humnst777 Lt BT" w:hAnsi="Humnst777 Lt BT"/>
                <w:szCs w:val="24"/>
              </w:rPr>
            </w:pPr>
          </w:p>
          <w:p w14:paraId="0133B7E2" w14:textId="1881D6C2" w:rsidR="00DA6A76" w:rsidRDefault="00DA6A76" w:rsidP="004175FC">
            <w:pPr>
              <w:rPr>
                <w:rFonts w:ascii="Humnst777 Lt BT" w:hAnsi="Humnst777 Lt BT"/>
                <w:szCs w:val="24"/>
              </w:rPr>
            </w:pPr>
            <w:r w:rsidRPr="002A5100">
              <w:rPr>
                <w:rFonts w:ascii="Humnst777 Lt BT" w:hAnsi="Humnst777 Lt BT"/>
                <w:szCs w:val="24"/>
              </w:rPr>
              <w:t>48% were members of intelligence sharing platforms</w:t>
            </w:r>
          </w:p>
          <w:p w14:paraId="75B2274F" w14:textId="77777777" w:rsidR="004175FC" w:rsidRPr="002A5100" w:rsidRDefault="004175FC">
            <w:pPr>
              <w:rPr>
                <w:rFonts w:ascii="Humnst777 Lt BT" w:hAnsi="Humnst777 Lt BT"/>
                <w:szCs w:val="24"/>
              </w:rPr>
            </w:pPr>
          </w:p>
          <w:p w14:paraId="3821F81F" w14:textId="77777777" w:rsidR="00DA6A76" w:rsidRDefault="00DA6A76" w:rsidP="004175FC">
            <w:pPr>
              <w:rPr>
                <w:rFonts w:ascii="Humnst777 Lt BT" w:hAnsi="Humnst777 Lt BT"/>
                <w:szCs w:val="24"/>
              </w:rPr>
            </w:pPr>
            <w:r w:rsidRPr="002A5100">
              <w:rPr>
                <w:rFonts w:ascii="Humnst777 Lt BT" w:hAnsi="Humnst777 Lt BT"/>
                <w:szCs w:val="24"/>
              </w:rPr>
              <w:t>56% had insufficient whistleblowing policies</w:t>
            </w:r>
          </w:p>
          <w:p w14:paraId="2CDE1E7F" w14:textId="77777777" w:rsidR="004175FC" w:rsidRPr="002A5100" w:rsidRDefault="004175FC">
            <w:pPr>
              <w:rPr>
                <w:rFonts w:ascii="Humnst777 Lt BT" w:hAnsi="Humnst777 Lt BT"/>
                <w:szCs w:val="24"/>
              </w:rPr>
            </w:pPr>
          </w:p>
          <w:p w14:paraId="0A389EC0" w14:textId="48188214" w:rsidR="00DA6A76" w:rsidRPr="002A5100" w:rsidRDefault="00DA6A76">
            <w:pPr>
              <w:rPr>
                <w:rFonts w:ascii="Humnst777 Lt BT" w:hAnsi="Humnst777 Lt BT"/>
                <w:szCs w:val="24"/>
              </w:rPr>
            </w:pPr>
            <w:r w:rsidRPr="002A5100">
              <w:rPr>
                <w:rFonts w:ascii="Humnst777 Lt BT" w:hAnsi="Humnst777 Lt BT"/>
                <w:szCs w:val="24"/>
              </w:rPr>
              <w:t>36% had adequate anonymity protections</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tcPr>
          <w:p w14:paraId="7F424FFC" w14:textId="796D6BED" w:rsidR="00DA6A76" w:rsidRDefault="00DA6A76" w:rsidP="004175FC">
            <w:pPr>
              <w:rPr>
                <w:rFonts w:ascii="Humnst777 Lt BT" w:hAnsi="Humnst777 Lt BT"/>
                <w:szCs w:val="24"/>
              </w:rPr>
            </w:pPr>
            <w:r w:rsidRPr="002A5100">
              <w:rPr>
                <w:rFonts w:ascii="Humnst777 Lt BT" w:hAnsi="Humnst777 Lt BT"/>
                <w:szCs w:val="24"/>
              </w:rPr>
              <w:t>All were reporting suspicions when appropriate</w:t>
            </w:r>
          </w:p>
          <w:p w14:paraId="4EB27A4A" w14:textId="77777777" w:rsidR="004175FC" w:rsidRPr="002A5100" w:rsidRDefault="004175FC">
            <w:pPr>
              <w:rPr>
                <w:rFonts w:ascii="Humnst777 Lt BT" w:hAnsi="Humnst777 Lt BT"/>
                <w:szCs w:val="24"/>
              </w:rPr>
            </w:pPr>
          </w:p>
          <w:p w14:paraId="0D70821B" w14:textId="77777777" w:rsidR="004175FC" w:rsidRDefault="00DA6A76" w:rsidP="004175FC">
            <w:pPr>
              <w:rPr>
                <w:rFonts w:ascii="Humnst777 Lt BT" w:hAnsi="Humnst777 Lt BT"/>
                <w:szCs w:val="24"/>
              </w:rPr>
            </w:pPr>
            <w:r w:rsidRPr="002A5100">
              <w:rPr>
                <w:rFonts w:ascii="Humnst777 Lt BT" w:hAnsi="Humnst777 Lt BT"/>
                <w:szCs w:val="24"/>
              </w:rPr>
              <w:t xml:space="preserve">84% had a whistleblowing policy </w:t>
            </w:r>
          </w:p>
          <w:p w14:paraId="0B666E33" w14:textId="77777777" w:rsidR="004175FC" w:rsidRDefault="004175FC" w:rsidP="004175FC">
            <w:pPr>
              <w:rPr>
                <w:rFonts w:ascii="Humnst777 Lt BT" w:hAnsi="Humnst777 Lt BT"/>
                <w:szCs w:val="24"/>
              </w:rPr>
            </w:pPr>
          </w:p>
          <w:p w14:paraId="13DCAE53" w14:textId="0663C300" w:rsidR="004175FC" w:rsidRDefault="00DA6A76" w:rsidP="004175FC">
            <w:pPr>
              <w:rPr>
                <w:rFonts w:ascii="Humnst777 Lt BT" w:hAnsi="Humnst777 Lt BT"/>
                <w:szCs w:val="24"/>
              </w:rPr>
            </w:pPr>
            <w:r w:rsidRPr="002A5100">
              <w:rPr>
                <w:rFonts w:ascii="Humnst777 Lt BT" w:hAnsi="Humnst777 Lt BT"/>
                <w:szCs w:val="24"/>
              </w:rPr>
              <w:t xml:space="preserve">60% were members of intelligence sharing platforms </w:t>
            </w:r>
          </w:p>
          <w:p w14:paraId="0439326A" w14:textId="77777777" w:rsidR="004175FC" w:rsidRDefault="004175FC" w:rsidP="004175FC">
            <w:pPr>
              <w:rPr>
                <w:rFonts w:ascii="Humnst777 Lt BT" w:hAnsi="Humnst777 Lt BT"/>
                <w:szCs w:val="24"/>
              </w:rPr>
            </w:pPr>
          </w:p>
          <w:p w14:paraId="2E03763A" w14:textId="1418531D" w:rsidR="00DA6A76" w:rsidRPr="002A5100" w:rsidRDefault="00DA6A76">
            <w:pPr>
              <w:rPr>
                <w:rFonts w:ascii="Humnst777 Lt BT" w:hAnsi="Humnst777 Lt BT"/>
                <w:szCs w:val="24"/>
              </w:rPr>
            </w:pPr>
            <w:r w:rsidRPr="002A5100">
              <w:rPr>
                <w:rFonts w:ascii="Humnst777 Lt BT" w:hAnsi="Humnst777 Lt BT"/>
                <w:szCs w:val="24"/>
              </w:rPr>
              <w:t>16% still questioned the value of intelligence sharing systems</w:t>
            </w:r>
          </w:p>
        </w:tc>
      </w:tr>
      <w:tr w:rsidR="0091417C" w:rsidRPr="00BF0266" w14:paraId="001B8CE2" w14:textId="77777777" w:rsidTr="004175FC">
        <w:tblPrEx>
          <w:tblCellMar>
            <w:top w:w="23" w:type="dxa"/>
            <w:left w:w="0" w:type="dxa"/>
            <w:right w:w="47" w:type="dxa"/>
          </w:tblCellMar>
        </w:tblPrEx>
        <w:trPr>
          <w:trHeight w:val="123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BA463" w14:textId="77777777" w:rsidR="00DA6A76" w:rsidRPr="00BF0266" w:rsidRDefault="00DA6A76" w:rsidP="002A5100">
            <w:pPr>
              <w:jc w:val="center"/>
              <w:rPr>
                <w:rFonts w:ascii="Humnst777 Lt BT" w:hAnsi="Humnst777 Lt BT"/>
                <w:szCs w:val="24"/>
              </w:rPr>
            </w:pPr>
            <w:r w:rsidRPr="00BF0266">
              <w:rPr>
                <w:rFonts w:ascii="Humnst777 Lt BT" w:hAnsi="Humnst777 Lt BT"/>
                <w:szCs w:val="24"/>
              </w:rPr>
              <w:t>Information and guidance to members</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E5BEE" w14:textId="3C3C7E30" w:rsidR="00DA6A76" w:rsidRPr="002A5100" w:rsidRDefault="00DA6A76">
            <w:pPr>
              <w:rPr>
                <w:rFonts w:ascii="Humnst777 Lt BT" w:hAnsi="Humnst777 Lt BT"/>
                <w:szCs w:val="24"/>
              </w:rPr>
            </w:pPr>
            <w:r w:rsidRPr="002A5100">
              <w:rPr>
                <w:rFonts w:ascii="Humnst777 Lt BT" w:hAnsi="Humnst777 Lt BT"/>
                <w:szCs w:val="24"/>
              </w:rPr>
              <w:t>One PBS provided no AML guidance</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A9764" w14:textId="77777777" w:rsidR="004175FC" w:rsidRPr="002A5100" w:rsidRDefault="00DA6A76" w:rsidP="004175FC">
            <w:pPr>
              <w:rPr>
                <w:rFonts w:ascii="Humnst777 Lt BT" w:hAnsi="Humnst777 Lt BT"/>
              </w:rPr>
            </w:pPr>
            <w:r w:rsidRPr="002A5100">
              <w:rPr>
                <w:rFonts w:ascii="Humnst777 Lt BT" w:hAnsi="Humnst777 Lt BT"/>
              </w:rPr>
              <w:t xml:space="preserve">All but 1 produced AML guidance </w:t>
            </w:r>
          </w:p>
          <w:p w14:paraId="2A6D62B7" w14:textId="77777777" w:rsidR="004175FC" w:rsidRPr="002A5100" w:rsidRDefault="004175FC" w:rsidP="004175FC">
            <w:pPr>
              <w:rPr>
                <w:rFonts w:ascii="Humnst777 Lt BT" w:hAnsi="Humnst777 Lt BT"/>
              </w:rPr>
            </w:pPr>
          </w:p>
          <w:p w14:paraId="447070D8" w14:textId="7BDEB908" w:rsidR="00DA6A76" w:rsidRPr="002A5100" w:rsidRDefault="00DA6A76">
            <w:pPr>
              <w:rPr>
                <w:rFonts w:ascii="Humnst777 Lt BT" w:hAnsi="Humnst777 Lt BT"/>
              </w:rPr>
            </w:pPr>
            <w:r w:rsidRPr="002A5100">
              <w:rPr>
                <w:rFonts w:ascii="Humnst777 Lt BT" w:hAnsi="Humnst777 Lt BT"/>
              </w:rPr>
              <w:t>84% update members through external comms</w:t>
            </w:r>
          </w:p>
          <w:p w14:paraId="20B10E9A" w14:textId="77777777" w:rsidR="004175FC" w:rsidRPr="004175FC" w:rsidRDefault="004175FC" w:rsidP="00C457EE">
            <w:pPr>
              <w:ind w:left="360"/>
              <w:rPr>
                <w:rFonts w:ascii="Humnst777 Lt BT" w:hAnsi="Humnst777 Lt BT"/>
                <w:szCs w:val="24"/>
              </w:rPr>
            </w:pPr>
          </w:p>
          <w:p w14:paraId="28A5EA55" w14:textId="4170D53B" w:rsidR="00DA6A76" w:rsidRPr="002A5100" w:rsidRDefault="00DA6A76">
            <w:pPr>
              <w:rPr>
                <w:rFonts w:ascii="Humnst777 Lt BT" w:hAnsi="Humnst777 Lt BT"/>
                <w:szCs w:val="24"/>
              </w:rPr>
            </w:pPr>
            <w:r w:rsidRPr="002A5100">
              <w:rPr>
                <w:rFonts w:ascii="Humnst777 Lt BT" w:hAnsi="Humnst777 Lt BT"/>
                <w:szCs w:val="24"/>
              </w:rPr>
              <w:t>92% provided roadshows/ conferences/ newsletters</w:t>
            </w:r>
          </w:p>
        </w:tc>
      </w:tr>
      <w:tr w:rsidR="0091417C" w:rsidRPr="00BF0266" w14:paraId="6B956A1F" w14:textId="77777777" w:rsidTr="004175FC">
        <w:tblPrEx>
          <w:tblCellMar>
            <w:top w:w="23" w:type="dxa"/>
            <w:left w:w="0" w:type="dxa"/>
            <w:right w:w="47" w:type="dxa"/>
          </w:tblCellMar>
        </w:tblPrEx>
        <w:trPr>
          <w:trHeight w:val="98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870F3" w14:textId="77777777" w:rsidR="00DA6A76" w:rsidRPr="00BF0266" w:rsidRDefault="00DA6A76" w:rsidP="002A5100">
            <w:pPr>
              <w:jc w:val="center"/>
              <w:rPr>
                <w:rFonts w:ascii="Humnst777 Lt BT" w:hAnsi="Humnst777 Lt BT"/>
                <w:szCs w:val="24"/>
              </w:rPr>
            </w:pPr>
            <w:r w:rsidRPr="00BF0266">
              <w:rPr>
                <w:rFonts w:ascii="Humnst777 Lt BT" w:hAnsi="Humnst777 Lt BT"/>
                <w:szCs w:val="24"/>
              </w:rPr>
              <w:t>Staff training</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1F29F" w14:textId="5AB242E1" w:rsidR="00DA6A76" w:rsidRPr="002A5100" w:rsidRDefault="00DA6A76">
            <w:pPr>
              <w:rPr>
                <w:rFonts w:ascii="Humnst777 Lt BT" w:hAnsi="Humnst777 Lt BT"/>
                <w:szCs w:val="24"/>
              </w:rPr>
            </w:pPr>
            <w:r w:rsidRPr="002A5100">
              <w:rPr>
                <w:rFonts w:ascii="Humnst777 Lt BT" w:hAnsi="Humnst777 Lt BT"/>
                <w:szCs w:val="24"/>
              </w:rPr>
              <w:t>80% lacked appropriate staff training</w:t>
            </w:r>
          </w:p>
          <w:p w14:paraId="238DF24F" w14:textId="77777777" w:rsidR="004175FC" w:rsidRDefault="004175FC" w:rsidP="004175FC">
            <w:pPr>
              <w:rPr>
                <w:rFonts w:ascii="Humnst777 Lt BT" w:hAnsi="Humnst777 Lt BT"/>
                <w:szCs w:val="24"/>
              </w:rPr>
            </w:pPr>
          </w:p>
          <w:p w14:paraId="5C95858B" w14:textId="01F15D1E" w:rsidR="00DA6A76" w:rsidRPr="002A5100" w:rsidRDefault="00DA6A76">
            <w:pPr>
              <w:rPr>
                <w:rFonts w:ascii="Humnst777 Lt BT" w:hAnsi="Humnst777 Lt BT"/>
                <w:szCs w:val="24"/>
              </w:rPr>
            </w:pPr>
            <w:r w:rsidRPr="002A5100">
              <w:rPr>
                <w:rFonts w:ascii="Humnst777 Lt BT" w:hAnsi="Humnst777 Lt BT"/>
                <w:szCs w:val="24"/>
              </w:rPr>
              <w:t>40% lacked awareness of SAR reporting</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000BF" w14:textId="1409F470" w:rsidR="00DA6A76" w:rsidRPr="002A5100" w:rsidRDefault="00DA6A76">
            <w:pPr>
              <w:rPr>
                <w:rFonts w:ascii="Humnst777 Lt BT" w:hAnsi="Humnst777 Lt BT"/>
              </w:rPr>
            </w:pPr>
            <w:r w:rsidRPr="002A5100">
              <w:rPr>
                <w:rFonts w:ascii="Humnst777 Lt BT" w:hAnsi="Humnst777 Lt BT"/>
              </w:rPr>
              <w:t>56% produced a dedicated AML handbook</w:t>
            </w:r>
          </w:p>
          <w:p w14:paraId="0F6061F9" w14:textId="77777777" w:rsidR="004175FC" w:rsidRDefault="004175FC" w:rsidP="004175FC">
            <w:pPr>
              <w:rPr>
                <w:rFonts w:ascii="Humnst777 Lt BT" w:hAnsi="Humnst777 Lt BT"/>
                <w:szCs w:val="24"/>
              </w:rPr>
            </w:pPr>
          </w:p>
          <w:p w14:paraId="5949497F" w14:textId="281A2DEB" w:rsidR="00DA6A76" w:rsidRPr="002A5100" w:rsidRDefault="00DA6A76">
            <w:pPr>
              <w:rPr>
                <w:rFonts w:ascii="Humnst777 Lt BT" w:hAnsi="Humnst777 Lt BT"/>
                <w:szCs w:val="24"/>
              </w:rPr>
            </w:pPr>
            <w:r w:rsidRPr="002A5100">
              <w:rPr>
                <w:rFonts w:ascii="Humnst777 Lt BT" w:hAnsi="Humnst777 Lt BT"/>
                <w:szCs w:val="24"/>
              </w:rPr>
              <w:t>2 lacked structured AML training</w:t>
            </w:r>
          </w:p>
        </w:tc>
      </w:tr>
      <w:tr w:rsidR="0091417C" w:rsidRPr="00BF0266" w14:paraId="380B2B4F" w14:textId="77777777" w:rsidTr="00F91FD4">
        <w:tblPrEx>
          <w:tblCellMar>
            <w:top w:w="23" w:type="dxa"/>
            <w:left w:w="0" w:type="dxa"/>
            <w:right w:w="47" w:type="dxa"/>
          </w:tblCellMar>
        </w:tblPrEx>
        <w:trPr>
          <w:trHeight w:val="98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5110F" w14:textId="77777777" w:rsidR="00DA6A76" w:rsidRPr="00BF0266" w:rsidRDefault="00DA6A76" w:rsidP="002A5100">
            <w:pPr>
              <w:jc w:val="center"/>
              <w:rPr>
                <w:rFonts w:ascii="Humnst777 Lt BT" w:hAnsi="Humnst777 Lt BT"/>
                <w:szCs w:val="24"/>
              </w:rPr>
            </w:pPr>
            <w:r w:rsidRPr="00BF0266">
              <w:rPr>
                <w:rFonts w:ascii="Humnst777 Lt BT" w:hAnsi="Humnst777 Lt BT"/>
                <w:szCs w:val="24"/>
              </w:rPr>
              <w:t>Enforcement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C5892" w14:textId="5FE20836" w:rsidR="00DA6A76" w:rsidRPr="002A5100" w:rsidRDefault="00DA6A76">
            <w:pPr>
              <w:rPr>
                <w:rFonts w:ascii="Humnst777 Lt BT" w:hAnsi="Humnst777 Lt BT"/>
                <w:szCs w:val="24"/>
              </w:rPr>
            </w:pPr>
            <w:r w:rsidRPr="002A5100">
              <w:rPr>
                <w:rFonts w:ascii="Humnst777 Lt BT" w:hAnsi="Humnst777 Lt BT"/>
                <w:szCs w:val="24"/>
              </w:rPr>
              <w:t>86% preferred to issue support rather than issue penalties</w:t>
            </w:r>
          </w:p>
          <w:p w14:paraId="0F3986DD" w14:textId="77777777" w:rsidR="004175FC" w:rsidRDefault="004175FC" w:rsidP="004175FC">
            <w:pPr>
              <w:rPr>
                <w:rFonts w:ascii="Humnst777 Lt BT" w:hAnsi="Humnst777 Lt BT"/>
                <w:szCs w:val="24"/>
              </w:rPr>
            </w:pPr>
          </w:p>
          <w:p w14:paraId="4B1EB700" w14:textId="3DCD7CCD" w:rsidR="00DA6A76" w:rsidRPr="002A5100" w:rsidRDefault="00DA6A76">
            <w:pPr>
              <w:rPr>
                <w:rFonts w:ascii="Humnst777 Lt BT" w:hAnsi="Humnst777 Lt BT"/>
                <w:szCs w:val="24"/>
              </w:rPr>
            </w:pPr>
            <w:r w:rsidRPr="002A5100">
              <w:rPr>
                <w:rFonts w:ascii="Humnst777 Lt BT" w:hAnsi="Humnst777 Lt BT"/>
                <w:szCs w:val="24"/>
              </w:rPr>
              <w:t>92% of accountancy PBSs expressed concerns about retaining members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EBD25" w14:textId="77777777" w:rsidR="00DA6A76" w:rsidRPr="002A5100" w:rsidRDefault="00DA6A76">
            <w:pPr>
              <w:rPr>
                <w:rFonts w:ascii="Humnst777 Lt BT" w:hAnsi="Humnst777 Lt BT"/>
              </w:rPr>
            </w:pPr>
            <w:r w:rsidRPr="002A5100">
              <w:rPr>
                <w:rFonts w:ascii="Humnst777 Lt BT" w:hAnsi="Humnst777 Lt BT"/>
              </w:rPr>
              <w:t>Increased value of fines</w:t>
            </w:r>
          </w:p>
          <w:p w14:paraId="2D8B71E9" w14:textId="77777777" w:rsidR="004175FC" w:rsidRDefault="004175FC" w:rsidP="00C457EE">
            <w:pPr>
              <w:ind w:left="360"/>
              <w:rPr>
                <w:rFonts w:ascii="Humnst777 Lt BT" w:hAnsi="Humnst777 Lt BT"/>
                <w:szCs w:val="24"/>
              </w:rPr>
            </w:pPr>
          </w:p>
          <w:p w14:paraId="1F8B24B0" w14:textId="2CF77D37" w:rsidR="00DA6A76" w:rsidRPr="002A5100" w:rsidRDefault="00DA6A76">
            <w:pPr>
              <w:rPr>
                <w:rFonts w:ascii="Humnst777 Lt BT" w:hAnsi="Humnst777 Lt BT"/>
                <w:szCs w:val="24"/>
              </w:rPr>
            </w:pPr>
            <w:r w:rsidRPr="002A5100">
              <w:rPr>
                <w:rFonts w:ascii="Humnst777 Lt BT" w:hAnsi="Humnst777 Lt BT"/>
                <w:szCs w:val="24"/>
              </w:rPr>
              <w:t>Moved away from a developmental approach</w:t>
            </w:r>
          </w:p>
        </w:tc>
      </w:tr>
      <w:tr w:rsidR="007E51C5" w:rsidRPr="00BF0266" w14:paraId="12FE27A3" w14:textId="77777777" w:rsidTr="00F91FD4">
        <w:tblPrEx>
          <w:tblCellMar>
            <w:top w:w="23" w:type="dxa"/>
            <w:left w:w="0" w:type="dxa"/>
            <w:right w:w="47" w:type="dxa"/>
          </w:tblCellMar>
        </w:tblPrEx>
        <w:trPr>
          <w:trHeight w:val="1007"/>
        </w:trPr>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14:paraId="1F895875" w14:textId="65A63D9B" w:rsidR="00DA6A76" w:rsidRPr="00BF0266" w:rsidRDefault="00DA6A76" w:rsidP="002A5100">
            <w:pPr>
              <w:jc w:val="center"/>
              <w:rPr>
                <w:rFonts w:ascii="Humnst777 Lt BT" w:hAnsi="Humnst777 Lt BT"/>
                <w:szCs w:val="24"/>
              </w:rPr>
            </w:pPr>
            <w:r w:rsidRPr="00BF0266">
              <w:rPr>
                <w:rFonts w:ascii="Humnst777 Lt BT" w:hAnsi="Humnst777 Lt BT"/>
                <w:szCs w:val="24"/>
              </w:rPr>
              <w:t>Record</w:t>
            </w:r>
          </w:p>
          <w:p w14:paraId="73134369" w14:textId="77777777" w:rsidR="00DA6A76" w:rsidRPr="00BF0266" w:rsidRDefault="00DA6A76" w:rsidP="002A5100">
            <w:pPr>
              <w:jc w:val="center"/>
              <w:rPr>
                <w:rFonts w:ascii="Humnst777 Lt BT" w:hAnsi="Humnst777 Lt BT"/>
                <w:szCs w:val="24"/>
              </w:rPr>
            </w:pPr>
            <w:r w:rsidRPr="00BF0266">
              <w:rPr>
                <w:rFonts w:ascii="Humnst777 Lt BT" w:hAnsi="Humnst777 Lt BT"/>
                <w:szCs w:val="24"/>
              </w:rPr>
              <w:t>Keeping</w:t>
            </w:r>
          </w:p>
        </w:tc>
        <w:tc>
          <w:tcPr>
            <w:tcW w:w="3686" w:type="dxa"/>
            <w:tcBorders>
              <w:top w:val="single" w:sz="4" w:space="0" w:color="000000" w:themeColor="text1"/>
              <w:left w:val="single" w:sz="4" w:space="0" w:color="000000" w:themeColor="text1"/>
              <w:bottom w:val="single" w:sz="4" w:space="0" w:color="auto"/>
              <w:right w:val="single" w:sz="4" w:space="0" w:color="000000" w:themeColor="text1"/>
            </w:tcBorders>
          </w:tcPr>
          <w:p w14:paraId="450E1B37" w14:textId="35965307" w:rsidR="00DA6A76" w:rsidRDefault="00DA6A76" w:rsidP="00F91FD4">
            <w:pPr>
              <w:rPr>
                <w:rFonts w:ascii="Humnst777 Lt BT" w:hAnsi="Humnst777 Lt BT"/>
                <w:szCs w:val="24"/>
              </w:rPr>
            </w:pPr>
            <w:r w:rsidRPr="002A5100">
              <w:rPr>
                <w:rFonts w:ascii="Humnst777 Lt BT" w:hAnsi="Humnst777 Lt BT"/>
                <w:szCs w:val="24"/>
              </w:rPr>
              <w:t>36% lacked sufficient record keeping policies and procedures</w:t>
            </w:r>
          </w:p>
          <w:p w14:paraId="3D43D3C2" w14:textId="77777777" w:rsidR="00F91FD4" w:rsidRPr="002A5100" w:rsidRDefault="00F91FD4">
            <w:pPr>
              <w:rPr>
                <w:rFonts w:ascii="Humnst777 Lt BT" w:hAnsi="Humnst777 Lt BT"/>
                <w:szCs w:val="24"/>
              </w:rPr>
            </w:pPr>
          </w:p>
          <w:p w14:paraId="4936E16D" w14:textId="62FC06B6" w:rsidR="00DA6A76" w:rsidRPr="002A5100" w:rsidRDefault="00DA6A76">
            <w:pPr>
              <w:rPr>
                <w:rFonts w:ascii="Humnst777 Lt BT" w:hAnsi="Humnst777 Lt BT"/>
                <w:szCs w:val="24"/>
              </w:rPr>
            </w:pPr>
            <w:r w:rsidRPr="002A5100">
              <w:rPr>
                <w:rFonts w:ascii="Humnst777 Lt BT" w:hAnsi="Humnst777 Lt BT"/>
                <w:szCs w:val="24"/>
              </w:rPr>
              <w:t>48% lacked internal audit and quality assurance</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tcPr>
          <w:p w14:paraId="52333F1A" w14:textId="506597C3" w:rsidR="00DA6A76" w:rsidRDefault="000E63DC">
            <w:pPr>
              <w:rPr>
                <w:rFonts w:ascii="Humnst777 Lt BT" w:hAnsi="Humnst777 Lt BT"/>
              </w:rPr>
            </w:pPr>
            <w:r>
              <w:rPr>
                <w:rFonts w:ascii="Humnst777 Lt BT" w:hAnsi="Humnst777 Lt BT"/>
                <w:szCs w:val="24"/>
              </w:rPr>
              <w:t xml:space="preserve">2 </w:t>
            </w:r>
            <w:r w:rsidR="00DA6A76" w:rsidRPr="002A5100">
              <w:rPr>
                <w:rFonts w:ascii="Humnst777 Lt BT" w:hAnsi="Humnst777 Lt BT"/>
              </w:rPr>
              <w:t>still lacked sufficient record keeping</w:t>
            </w:r>
          </w:p>
          <w:p w14:paraId="27337A6F" w14:textId="77777777" w:rsidR="00A230CD" w:rsidRPr="002A5100" w:rsidRDefault="00A230CD">
            <w:pPr>
              <w:rPr>
                <w:rFonts w:ascii="Humnst777 Lt BT" w:hAnsi="Humnst777 Lt BT"/>
              </w:rPr>
            </w:pPr>
          </w:p>
          <w:p w14:paraId="1308AB94" w14:textId="00087C35" w:rsidR="00DA6A76" w:rsidRDefault="000E63DC">
            <w:pPr>
              <w:rPr>
                <w:rFonts w:ascii="Humnst777 Lt BT" w:hAnsi="Humnst777 Lt BT"/>
                <w:szCs w:val="24"/>
              </w:rPr>
            </w:pPr>
            <w:r>
              <w:rPr>
                <w:rFonts w:ascii="Humnst777 Lt BT" w:hAnsi="Humnst777 Lt BT"/>
                <w:szCs w:val="24"/>
              </w:rPr>
              <w:t xml:space="preserve">3 </w:t>
            </w:r>
            <w:r w:rsidR="00DA6A76" w:rsidRPr="002A5100">
              <w:rPr>
                <w:rFonts w:ascii="Humnst777 Lt BT" w:hAnsi="Humnst777 Lt BT"/>
                <w:szCs w:val="24"/>
              </w:rPr>
              <w:t>still maintained insufficient records</w:t>
            </w:r>
          </w:p>
          <w:p w14:paraId="20BCD4D1" w14:textId="77777777" w:rsidR="00A230CD" w:rsidRPr="002A5100" w:rsidRDefault="00A230CD">
            <w:pPr>
              <w:rPr>
                <w:rFonts w:ascii="Humnst777 Lt BT" w:hAnsi="Humnst777 Lt BT"/>
                <w:szCs w:val="24"/>
              </w:rPr>
            </w:pPr>
          </w:p>
          <w:p w14:paraId="4EAB0C28" w14:textId="77777777" w:rsidR="00DA6A76" w:rsidRPr="002A5100" w:rsidRDefault="00DA6A76">
            <w:pPr>
              <w:rPr>
                <w:rFonts w:ascii="Humnst777 Lt BT" w:hAnsi="Humnst777 Lt BT"/>
                <w:szCs w:val="24"/>
              </w:rPr>
            </w:pPr>
            <w:r w:rsidRPr="002A5100">
              <w:rPr>
                <w:rFonts w:ascii="Humnst777 Lt BT" w:hAnsi="Humnst777 Lt BT"/>
                <w:szCs w:val="24"/>
              </w:rPr>
              <w:t>32% lacked quality assurance procedures.</w:t>
            </w:r>
          </w:p>
        </w:tc>
      </w:tr>
    </w:tbl>
    <w:p w14:paraId="3B43482B" w14:textId="77777777" w:rsidR="00651334" w:rsidRDefault="00651334" w:rsidP="00651334">
      <w:pPr>
        <w:rPr>
          <w:rFonts w:ascii="Humnst777 Lt BT" w:hAnsi="Humnst777 Lt BT"/>
          <w:szCs w:val="24"/>
        </w:rPr>
      </w:pPr>
    </w:p>
    <w:p w14:paraId="1F347D0E" w14:textId="77777777" w:rsidR="00651334" w:rsidRDefault="00651334" w:rsidP="00651334">
      <w:pPr>
        <w:rPr>
          <w:rFonts w:ascii="Humnst777 Lt BT" w:hAnsi="Humnst777 Lt BT"/>
          <w:szCs w:val="24"/>
          <w:u w:val="single"/>
        </w:rPr>
      </w:pPr>
    </w:p>
    <w:tbl>
      <w:tblPr>
        <w:tblStyle w:val="TableGrid"/>
        <w:tblW w:w="10060" w:type="dxa"/>
        <w:tblLook w:val="04A0" w:firstRow="1" w:lastRow="0" w:firstColumn="1" w:lastColumn="0" w:noHBand="0" w:noVBand="1"/>
      </w:tblPr>
      <w:tblGrid>
        <w:gridCol w:w="3402"/>
        <w:gridCol w:w="6658"/>
      </w:tblGrid>
      <w:tr w:rsidR="00651334" w14:paraId="44D1C6DC" w14:textId="77777777" w:rsidTr="00E12B99">
        <w:trPr>
          <w:trHeight w:val="295"/>
        </w:trPr>
        <w:tc>
          <w:tcPr>
            <w:tcW w:w="3402" w:type="dxa"/>
          </w:tcPr>
          <w:p w14:paraId="3BAE36FC" w14:textId="77777777" w:rsidR="00651334" w:rsidRPr="00781C60" w:rsidRDefault="00651334" w:rsidP="00F6554A">
            <w:pPr>
              <w:rPr>
                <w:rFonts w:ascii="Humnst777 Lt BT" w:hAnsi="Humnst777 Lt BT"/>
                <w:b/>
                <w:bCs/>
                <w:szCs w:val="24"/>
              </w:rPr>
            </w:pPr>
            <w:r w:rsidRPr="00781C60">
              <w:rPr>
                <w:rFonts w:ascii="Humnst777 Lt BT" w:hAnsi="Humnst777 Lt BT"/>
                <w:b/>
                <w:bCs/>
                <w:szCs w:val="24"/>
              </w:rPr>
              <w:t>Sourcebook area</w:t>
            </w:r>
          </w:p>
        </w:tc>
        <w:tc>
          <w:tcPr>
            <w:tcW w:w="6658" w:type="dxa"/>
          </w:tcPr>
          <w:p w14:paraId="25804487" w14:textId="77777777" w:rsidR="00651334" w:rsidRPr="00781C60" w:rsidRDefault="00651334" w:rsidP="00F6554A">
            <w:pPr>
              <w:rPr>
                <w:rFonts w:ascii="Humnst777 Lt BT" w:hAnsi="Humnst777 Lt BT"/>
                <w:b/>
                <w:bCs/>
                <w:szCs w:val="24"/>
              </w:rPr>
            </w:pPr>
            <w:r w:rsidRPr="00781C60">
              <w:rPr>
                <w:rFonts w:ascii="Humnst777 Lt BT" w:hAnsi="Humnst777 Lt BT"/>
                <w:b/>
                <w:bCs/>
                <w:szCs w:val="24"/>
              </w:rPr>
              <w:t>2021 report</w:t>
            </w:r>
          </w:p>
        </w:tc>
      </w:tr>
      <w:tr w:rsidR="00651334" w14:paraId="6BEBD7C1" w14:textId="77777777" w:rsidTr="00E12B99">
        <w:trPr>
          <w:trHeight w:val="287"/>
        </w:trPr>
        <w:tc>
          <w:tcPr>
            <w:tcW w:w="3402" w:type="dxa"/>
            <w:vMerge w:val="restart"/>
          </w:tcPr>
          <w:p w14:paraId="3EC6BB44" w14:textId="77777777" w:rsidR="00651334" w:rsidRDefault="00651334" w:rsidP="00F6554A">
            <w:pPr>
              <w:rPr>
                <w:rFonts w:ascii="Humnst777 Lt BT" w:hAnsi="Humnst777 Lt BT"/>
                <w:szCs w:val="24"/>
              </w:rPr>
            </w:pPr>
            <w:r w:rsidRPr="007B45A0">
              <w:rPr>
                <w:rFonts w:ascii="Humnst777 Lt BT" w:hAnsi="Humnst777 Lt BT"/>
                <w:szCs w:val="24"/>
              </w:rPr>
              <w:t>Governance</w:t>
            </w:r>
          </w:p>
          <w:p w14:paraId="690AF545"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p w14:paraId="6470428A" w14:textId="77777777" w:rsidR="00651334" w:rsidRDefault="00651334" w:rsidP="00F6554A">
            <w:pPr>
              <w:rPr>
                <w:rFonts w:ascii="Humnst777 Lt BT" w:hAnsi="Humnst777 Lt BT"/>
                <w:szCs w:val="24"/>
              </w:rPr>
            </w:pPr>
            <w:r w:rsidRPr="007B45A0">
              <w:rPr>
                <w:rFonts w:ascii="Humnst777 Lt BT" w:hAnsi="Humnst777 Lt BT"/>
                <w:szCs w:val="24"/>
              </w:rPr>
              <w:t xml:space="preserve"> </w:t>
            </w:r>
          </w:p>
        </w:tc>
        <w:tc>
          <w:tcPr>
            <w:tcW w:w="6658" w:type="dxa"/>
          </w:tcPr>
          <w:p w14:paraId="41B5863E" w14:textId="77777777" w:rsidR="00651334" w:rsidRDefault="00651334" w:rsidP="00F6554A">
            <w:pPr>
              <w:rPr>
                <w:rFonts w:ascii="Humnst777 Lt BT" w:hAnsi="Humnst777 Lt BT"/>
                <w:szCs w:val="24"/>
              </w:rPr>
            </w:pPr>
            <w:r w:rsidRPr="007B45A0">
              <w:rPr>
                <w:rFonts w:ascii="Humnst777 Lt BT" w:hAnsi="Humnst777 Lt BT"/>
                <w:szCs w:val="24"/>
              </w:rPr>
              <w:t xml:space="preserve">67% had effective separation of functions </w:t>
            </w:r>
          </w:p>
        </w:tc>
      </w:tr>
      <w:tr w:rsidR="00651334" w14:paraId="5A444DC1" w14:textId="77777777" w:rsidTr="00E12B99">
        <w:trPr>
          <w:trHeight w:val="302"/>
        </w:trPr>
        <w:tc>
          <w:tcPr>
            <w:tcW w:w="3402" w:type="dxa"/>
            <w:vMerge/>
          </w:tcPr>
          <w:p w14:paraId="51C10225" w14:textId="77777777" w:rsidR="00651334" w:rsidRPr="007B45A0" w:rsidRDefault="00651334" w:rsidP="00F6554A">
            <w:pPr>
              <w:rPr>
                <w:rFonts w:ascii="Humnst777 Lt BT" w:hAnsi="Humnst777 Lt BT"/>
                <w:szCs w:val="24"/>
              </w:rPr>
            </w:pPr>
          </w:p>
        </w:tc>
        <w:tc>
          <w:tcPr>
            <w:tcW w:w="6658" w:type="dxa"/>
          </w:tcPr>
          <w:p w14:paraId="747C292B"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61% effectively allocate AML responsibility. </w:t>
            </w:r>
          </w:p>
        </w:tc>
      </w:tr>
      <w:tr w:rsidR="00651334" w14:paraId="3EBBB0F8" w14:textId="77777777" w:rsidTr="00E12B99">
        <w:trPr>
          <w:trHeight w:val="589"/>
        </w:trPr>
        <w:tc>
          <w:tcPr>
            <w:tcW w:w="3402" w:type="dxa"/>
            <w:vMerge/>
          </w:tcPr>
          <w:p w14:paraId="0967DE20" w14:textId="77777777" w:rsidR="00651334" w:rsidRPr="007B45A0" w:rsidRDefault="00651334" w:rsidP="00F6554A">
            <w:pPr>
              <w:rPr>
                <w:rFonts w:ascii="Humnst777 Lt BT" w:hAnsi="Humnst777 Lt BT"/>
                <w:szCs w:val="24"/>
              </w:rPr>
            </w:pPr>
          </w:p>
        </w:tc>
        <w:tc>
          <w:tcPr>
            <w:tcW w:w="6658" w:type="dxa"/>
          </w:tcPr>
          <w:p w14:paraId="70C13283"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54% were effective in demonstrating senior management engagement </w:t>
            </w:r>
          </w:p>
        </w:tc>
      </w:tr>
      <w:tr w:rsidR="00651334" w14:paraId="0BE37E89" w14:textId="77777777" w:rsidTr="00E12B99">
        <w:trPr>
          <w:trHeight w:val="869"/>
        </w:trPr>
        <w:tc>
          <w:tcPr>
            <w:tcW w:w="3402" w:type="dxa"/>
            <w:vMerge w:val="restart"/>
          </w:tcPr>
          <w:p w14:paraId="4180EACB" w14:textId="77777777" w:rsidR="00651334" w:rsidRPr="007B45A0" w:rsidRDefault="00651334" w:rsidP="00F6554A">
            <w:pPr>
              <w:rPr>
                <w:rFonts w:ascii="Humnst777 Lt BT" w:hAnsi="Humnst777 Lt BT"/>
                <w:szCs w:val="24"/>
              </w:rPr>
            </w:pPr>
            <w:r w:rsidRPr="007B45A0">
              <w:rPr>
                <w:rFonts w:ascii="Humnst777 Lt BT" w:hAnsi="Humnst777 Lt BT"/>
                <w:szCs w:val="24"/>
              </w:rPr>
              <w:t>Risk-based approach (RBA)</w:t>
            </w:r>
          </w:p>
          <w:p w14:paraId="09BC3947"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tc>
        <w:tc>
          <w:tcPr>
            <w:tcW w:w="6658" w:type="dxa"/>
          </w:tcPr>
          <w:p w14:paraId="14EE0FDE"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80% had not implemented an effective RBA. 60% of the legal sector were using powers effectively and only 40% of the accountancy sector </w:t>
            </w:r>
          </w:p>
        </w:tc>
      </w:tr>
      <w:tr w:rsidR="00651334" w14:paraId="5EE477BD" w14:textId="77777777" w:rsidTr="00E12B99">
        <w:trPr>
          <w:trHeight w:val="302"/>
        </w:trPr>
        <w:tc>
          <w:tcPr>
            <w:tcW w:w="3402" w:type="dxa"/>
            <w:vMerge/>
          </w:tcPr>
          <w:p w14:paraId="3179FACD" w14:textId="77777777" w:rsidR="00651334" w:rsidRPr="007B45A0" w:rsidRDefault="00651334" w:rsidP="00F6554A">
            <w:pPr>
              <w:rPr>
                <w:rFonts w:ascii="Humnst777 Lt BT" w:hAnsi="Humnst777 Lt BT"/>
                <w:szCs w:val="24"/>
              </w:rPr>
            </w:pPr>
          </w:p>
        </w:tc>
        <w:tc>
          <w:tcPr>
            <w:tcW w:w="6658" w:type="dxa"/>
          </w:tcPr>
          <w:p w14:paraId="2F976AAF"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33% had developed effective risk profiles </w:t>
            </w:r>
          </w:p>
        </w:tc>
      </w:tr>
      <w:tr w:rsidR="00651334" w14:paraId="60D0D2A2" w14:textId="77777777" w:rsidTr="00E12B99">
        <w:trPr>
          <w:trHeight w:val="604"/>
        </w:trPr>
        <w:tc>
          <w:tcPr>
            <w:tcW w:w="3402" w:type="dxa"/>
            <w:vMerge w:val="restart"/>
          </w:tcPr>
          <w:p w14:paraId="7DD28864" w14:textId="77777777" w:rsidR="00651334" w:rsidRPr="007B45A0" w:rsidRDefault="00651334" w:rsidP="00F6554A">
            <w:pPr>
              <w:rPr>
                <w:rFonts w:ascii="Humnst777 Lt BT" w:hAnsi="Humnst777 Lt BT"/>
                <w:szCs w:val="24"/>
              </w:rPr>
            </w:pPr>
            <w:r w:rsidRPr="007B45A0">
              <w:rPr>
                <w:rFonts w:ascii="Humnst777 Lt BT" w:hAnsi="Humnst777 Lt BT"/>
                <w:szCs w:val="24"/>
              </w:rPr>
              <w:t>Supervision</w:t>
            </w:r>
          </w:p>
          <w:p w14:paraId="10C75267"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p w14:paraId="49B0E673"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tc>
        <w:tc>
          <w:tcPr>
            <w:tcW w:w="6658" w:type="dxa"/>
          </w:tcPr>
          <w:p w14:paraId="2285A9FD" w14:textId="77777777" w:rsidR="00651334" w:rsidRPr="007B45A0" w:rsidRDefault="00651334" w:rsidP="00686561">
            <w:pPr>
              <w:spacing w:line="259" w:lineRule="auto"/>
              <w:rPr>
                <w:rFonts w:ascii="Humnst777 Lt BT" w:hAnsi="Humnst777 Lt BT"/>
                <w:szCs w:val="24"/>
              </w:rPr>
            </w:pPr>
            <w:r w:rsidRPr="007B45A0">
              <w:rPr>
                <w:rFonts w:ascii="Humnst777 Lt BT" w:hAnsi="Humnst777 Lt BT"/>
                <w:szCs w:val="24"/>
              </w:rPr>
              <w:t xml:space="preserve">52% were effective in using broad range of tools </w:t>
            </w:r>
          </w:p>
          <w:p w14:paraId="7CD70B13" w14:textId="77777777" w:rsidR="00651334" w:rsidRPr="007B45A0" w:rsidRDefault="00651334" w:rsidP="00686561">
            <w:pPr>
              <w:rPr>
                <w:rFonts w:ascii="Humnst777 Lt BT" w:hAnsi="Humnst777 Lt BT"/>
                <w:szCs w:val="24"/>
              </w:rPr>
            </w:pPr>
            <w:r w:rsidRPr="007B45A0">
              <w:rPr>
                <w:rFonts w:ascii="Humnst777 Lt BT" w:hAnsi="Humnst777 Lt BT"/>
                <w:szCs w:val="24"/>
              </w:rPr>
              <w:t xml:space="preserve">(67% of legal PBSs and 42% accountancy) </w:t>
            </w:r>
          </w:p>
        </w:tc>
      </w:tr>
      <w:tr w:rsidR="00651334" w14:paraId="6D62D035" w14:textId="77777777" w:rsidTr="00E12B99">
        <w:trPr>
          <w:trHeight w:val="612"/>
        </w:trPr>
        <w:tc>
          <w:tcPr>
            <w:tcW w:w="3402" w:type="dxa"/>
            <w:vMerge/>
          </w:tcPr>
          <w:p w14:paraId="462D7F12" w14:textId="77777777" w:rsidR="00651334" w:rsidRPr="007B45A0" w:rsidRDefault="00651334" w:rsidP="00F6554A">
            <w:pPr>
              <w:rPr>
                <w:rFonts w:ascii="Humnst777 Lt BT" w:hAnsi="Humnst777 Lt BT"/>
                <w:szCs w:val="24"/>
              </w:rPr>
            </w:pPr>
          </w:p>
        </w:tc>
        <w:tc>
          <w:tcPr>
            <w:tcW w:w="6658" w:type="dxa"/>
          </w:tcPr>
          <w:p w14:paraId="5A70B6CB" w14:textId="77777777" w:rsidR="00651334" w:rsidRPr="007B45A0" w:rsidRDefault="00651334" w:rsidP="00686561">
            <w:pPr>
              <w:spacing w:line="259" w:lineRule="auto"/>
              <w:rPr>
                <w:rFonts w:ascii="Humnst777 Lt BT" w:hAnsi="Humnst777 Lt BT"/>
                <w:szCs w:val="24"/>
              </w:rPr>
            </w:pPr>
            <w:r w:rsidRPr="007B45A0">
              <w:rPr>
                <w:rFonts w:ascii="Humnst777 Lt BT" w:hAnsi="Humnst777 Lt BT"/>
                <w:szCs w:val="24"/>
              </w:rPr>
              <w:t xml:space="preserve">50% failed to ensure members took timely action </w:t>
            </w:r>
          </w:p>
          <w:p w14:paraId="3121811C" w14:textId="647BE13D" w:rsidR="00651334" w:rsidRPr="007B45A0" w:rsidRDefault="00651334" w:rsidP="00686561">
            <w:pPr>
              <w:rPr>
                <w:rFonts w:ascii="Humnst777 Lt BT" w:hAnsi="Humnst777 Lt BT"/>
                <w:szCs w:val="24"/>
              </w:rPr>
            </w:pPr>
            <w:r w:rsidRPr="007B45A0">
              <w:rPr>
                <w:rFonts w:ascii="Humnst777 Lt BT" w:hAnsi="Humnst777 Lt BT"/>
                <w:szCs w:val="24"/>
              </w:rPr>
              <w:t>(</w:t>
            </w:r>
            <w:r w:rsidR="00A230CD" w:rsidRPr="007B45A0">
              <w:rPr>
                <w:rFonts w:ascii="Humnst777 Lt BT" w:hAnsi="Humnst777 Lt BT"/>
                <w:szCs w:val="24"/>
              </w:rPr>
              <w:t>Particularly</w:t>
            </w:r>
            <w:r w:rsidRPr="007B45A0">
              <w:rPr>
                <w:rFonts w:ascii="Humnst777 Lt BT" w:hAnsi="Humnst777 Lt BT"/>
                <w:szCs w:val="24"/>
              </w:rPr>
              <w:t xml:space="preserve"> accountancy)</w:t>
            </w:r>
          </w:p>
        </w:tc>
      </w:tr>
      <w:tr w:rsidR="00651334" w14:paraId="2CF64D6B" w14:textId="77777777" w:rsidTr="00E12B99">
        <w:trPr>
          <w:trHeight w:val="589"/>
        </w:trPr>
        <w:tc>
          <w:tcPr>
            <w:tcW w:w="3402" w:type="dxa"/>
            <w:vMerge/>
          </w:tcPr>
          <w:p w14:paraId="02DA7493" w14:textId="77777777" w:rsidR="00651334" w:rsidRPr="007B45A0" w:rsidRDefault="00651334" w:rsidP="00F6554A">
            <w:pPr>
              <w:rPr>
                <w:rFonts w:ascii="Humnst777 Lt BT" w:hAnsi="Humnst777 Lt BT"/>
                <w:szCs w:val="24"/>
              </w:rPr>
            </w:pPr>
          </w:p>
        </w:tc>
        <w:tc>
          <w:tcPr>
            <w:tcW w:w="6658" w:type="dxa"/>
          </w:tcPr>
          <w:p w14:paraId="11B6CD7F"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15% were effective in using predicable and proportionate supervisory action </w:t>
            </w:r>
          </w:p>
        </w:tc>
      </w:tr>
      <w:tr w:rsidR="00651334" w14:paraId="012BEBC4" w14:textId="77777777" w:rsidTr="00E12B99">
        <w:trPr>
          <w:trHeight w:val="582"/>
        </w:trPr>
        <w:tc>
          <w:tcPr>
            <w:tcW w:w="3402" w:type="dxa"/>
            <w:vMerge w:val="restart"/>
          </w:tcPr>
          <w:p w14:paraId="0004C8E8" w14:textId="77777777" w:rsidR="00651334" w:rsidRPr="007B45A0" w:rsidRDefault="00651334" w:rsidP="00F6554A">
            <w:pPr>
              <w:spacing w:after="160" w:line="259" w:lineRule="auto"/>
              <w:rPr>
                <w:rFonts w:ascii="Humnst777 Lt BT" w:hAnsi="Humnst777 Lt BT"/>
                <w:szCs w:val="24"/>
              </w:rPr>
            </w:pPr>
            <w:r w:rsidRPr="007B45A0">
              <w:rPr>
                <w:rFonts w:ascii="Humnst777 Lt BT" w:hAnsi="Humnst777 Lt BT"/>
                <w:szCs w:val="24"/>
              </w:rPr>
              <w:t xml:space="preserve">Intelligence and </w:t>
            </w:r>
          </w:p>
          <w:p w14:paraId="529C2740" w14:textId="77777777" w:rsidR="00651334" w:rsidRPr="007B45A0" w:rsidRDefault="00651334" w:rsidP="00F6554A">
            <w:pPr>
              <w:rPr>
                <w:rFonts w:ascii="Humnst777 Lt BT" w:hAnsi="Humnst777 Lt BT"/>
                <w:szCs w:val="24"/>
              </w:rPr>
            </w:pPr>
            <w:r w:rsidRPr="007B45A0">
              <w:rPr>
                <w:rFonts w:ascii="Humnst777 Lt BT" w:hAnsi="Humnst777 Lt BT"/>
                <w:szCs w:val="24"/>
              </w:rPr>
              <w:t>Information sharing</w:t>
            </w:r>
          </w:p>
          <w:p w14:paraId="4B9A9A38"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p w14:paraId="051B2120"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p w14:paraId="7CD286BD"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tc>
        <w:tc>
          <w:tcPr>
            <w:tcW w:w="6658" w:type="dxa"/>
          </w:tcPr>
          <w:p w14:paraId="3387F0C1" w14:textId="77777777" w:rsidR="00651334" w:rsidRPr="007B45A0" w:rsidRDefault="00651334" w:rsidP="00F6554A">
            <w:pPr>
              <w:rPr>
                <w:rFonts w:ascii="Humnst777 Lt BT" w:hAnsi="Humnst777 Lt BT"/>
                <w:szCs w:val="24"/>
              </w:rPr>
            </w:pPr>
            <w:r w:rsidRPr="007B45A0">
              <w:rPr>
                <w:rFonts w:ascii="Humnst777 Lt BT" w:hAnsi="Humnst777 Lt BT"/>
                <w:szCs w:val="24"/>
              </w:rPr>
              <w:t>68% effectively took part in arrangements but there were gaps</w:t>
            </w:r>
          </w:p>
        </w:tc>
      </w:tr>
      <w:tr w:rsidR="00651334" w14:paraId="1BC1194B" w14:textId="77777777" w:rsidTr="00E12B99">
        <w:trPr>
          <w:trHeight w:val="876"/>
        </w:trPr>
        <w:tc>
          <w:tcPr>
            <w:tcW w:w="3402" w:type="dxa"/>
            <w:vMerge/>
          </w:tcPr>
          <w:p w14:paraId="0D0074E7" w14:textId="77777777" w:rsidR="00651334" w:rsidRPr="007B45A0" w:rsidRDefault="00651334" w:rsidP="00F6554A">
            <w:pPr>
              <w:rPr>
                <w:rFonts w:ascii="Humnst777 Lt BT" w:hAnsi="Humnst777 Lt BT"/>
                <w:szCs w:val="24"/>
              </w:rPr>
            </w:pPr>
          </w:p>
        </w:tc>
        <w:tc>
          <w:tcPr>
            <w:tcW w:w="6658" w:type="dxa"/>
          </w:tcPr>
          <w:p w14:paraId="65918C52"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Larger PBSs are generally better - Accountancy sector better between supervisors but legal sector better with LEAs </w:t>
            </w:r>
          </w:p>
        </w:tc>
      </w:tr>
      <w:tr w:rsidR="00651334" w14:paraId="58D11A3F" w14:textId="77777777" w:rsidTr="00E12B99">
        <w:trPr>
          <w:trHeight w:val="302"/>
        </w:trPr>
        <w:tc>
          <w:tcPr>
            <w:tcW w:w="3402" w:type="dxa"/>
            <w:vMerge/>
          </w:tcPr>
          <w:p w14:paraId="59F418D4" w14:textId="77777777" w:rsidR="00651334" w:rsidRPr="007B45A0" w:rsidRDefault="00651334" w:rsidP="00F6554A">
            <w:pPr>
              <w:rPr>
                <w:rFonts w:ascii="Humnst777 Lt BT" w:hAnsi="Humnst777 Lt BT"/>
                <w:szCs w:val="24"/>
              </w:rPr>
            </w:pPr>
          </w:p>
        </w:tc>
        <w:tc>
          <w:tcPr>
            <w:tcW w:w="6658" w:type="dxa"/>
          </w:tcPr>
          <w:p w14:paraId="04695AE8" w14:textId="77777777" w:rsidR="00651334" w:rsidRPr="007B45A0" w:rsidRDefault="00651334" w:rsidP="00F6554A">
            <w:pPr>
              <w:rPr>
                <w:rFonts w:ascii="Humnst777 Lt BT" w:hAnsi="Humnst777 Lt BT"/>
                <w:szCs w:val="24"/>
              </w:rPr>
            </w:pPr>
            <w:r w:rsidRPr="007B45A0">
              <w:rPr>
                <w:rFonts w:ascii="Humnst777 Lt BT" w:hAnsi="Humnst777 Lt BT"/>
                <w:szCs w:val="24"/>
              </w:rPr>
              <w:t>SIS searches fell by 1% but uploads reduced by 35%</w:t>
            </w:r>
          </w:p>
        </w:tc>
      </w:tr>
      <w:tr w:rsidR="00651334" w14:paraId="5313C26A" w14:textId="77777777" w:rsidTr="00E12B99">
        <w:trPr>
          <w:trHeight w:val="589"/>
        </w:trPr>
        <w:tc>
          <w:tcPr>
            <w:tcW w:w="3402" w:type="dxa"/>
            <w:vMerge/>
          </w:tcPr>
          <w:p w14:paraId="68E8C3EB" w14:textId="77777777" w:rsidR="00651334" w:rsidRPr="007B45A0" w:rsidRDefault="00651334" w:rsidP="00F6554A">
            <w:pPr>
              <w:rPr>
                <w:rFonts w:ascii="Humnst777 Lt BT" w:hAnsi="Humnst777 Lt BT"/>
                <w:szCs w:val="24"/>
              </w:rPr>
            </w:pPr>
          </w:p>
        </w:tc>
        <w:tc>
          <w:tcPr>
            <w:tcW w:w="6658" w:type="dxa"/>
          </w:tcPr>
          <w:p w14:paraId="44B0F0D4"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General reluctance to share active misconduct intelligence. </w:t>
            </w:r>
          </w:p>
        </w:tc>
      </w:tr>
      <w:tr w:rsidR="00651334" w14:paraId="704EA53C" w14:textId="77777777" w:rsidTr="00E12B99">
        <w:trPr>
          <w:trHeight w:val="582"/>
        </w:trPr>
        <w:tc>
          <w:tcPr>
            <w:tcW w:w="3402" w:type="dxa"/>
            <w:vMerge w:val="restart"/>
          </w:tcPr>
          <w:p w14:paraId="38164EB3" w14:textId="77777777" w:rsidR="00651334" w:rsidRPr="007B45A0" w:rsidRDefault="00651334" w:rsidP="00F6554A">
            <w:pPr>
              <w:rPr>
                <w:rFonts w:ascii="Humnst777 Lt BT" w:hAnsi="Humnst777 Lt BT"/>
                <w:szCs w:val="24"/>
              </w:rPr>
            </w:pPr>
            <w:r w:rsidRPr="007B45A0">
              <w:rPr>
                <w:rFonts w:ascii="Humnst777 Lt BT" w:hAnsi="Humnst777 Lt BT"/>
                <w:szCs w:val="24"/>
              </w:rPr>
              <w:t>Information and guidance to members</w:t>
            </w:r>
          </w:p>
          <w:p w14:paraId="4AD5FBF9"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tc>
        <w:tc>
          <w:tcPr>
            <w:tcW w:w="6658" w:type="dxa"/>
          </w:tcPr>
          <w:p w14:paraId="0E305C39"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83% were effective in providing information and guidance to members </w:t>
            </w:r>
          </w:p>
        </w:tc>
      </w:tr>
      <w:tr w:rsidR="00651334" w14:paraId="1BBB9923" w14:textId="77777777" w:rsidTr="00E12B99">
        <w:trPr>
          <w:trHeight w:val="302"/>
        </w:trPr>
        <w:tc>
          <w:tcPr>
            <w:tcW w:w="3402" w:type="dxa"/>
            <w:vMerge/>
          </w:tcPr>
          <w:p w14:paraId="1425E749" w14:textId="77777777" w:rsidR="00651334" w:rsidRPr="007B45A0" w:rsidRDefault="00651334" w:rsidP="00F6554A">
            <w:pPr>
              <w:rPr>
                <w:rFonts w:ascii="Humnst777 Lt BT" w:hAnsi="Humnst777 Lt BT"/>
                <w:szCs w:val="24"/>
              </w:rPr>
            </w:pPr>
          </w:p>
        </w:tc>
        <w:tc>
          <w:tcPr>
            <w:tcW w:w="6658" w:type="dxa"/>
          </w:tcPr>
          <w:p w14:paraId="0D2691FF"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67% were effectively interacting with other supervisors </w:t>
            </w:r>
          </w:p>
        </w:tc>
      </w:tr>
      <w:tr w:rsidR="00651334" w14:paraId="027F3555" w14:textId="77777777" w:rsidTr="00E12B99">
        <w:trPr>
          <w:trHeight w:val="582"/>
        </w:trPr>
        <w:tc>
          <w:tcPr>
            <w:tcW w:w="3402" w:type="dxa"/>
            <w:vMerge w:val="restart"/>
          </w:tcPr>
          <w:p w14:paraId="06EEA1B8" w14:textId="77777777" w:rsidR="00651334" w:rsidRPr="007B45A0" w:rsidRDefault="00651334" w:rsidP="00F6554A">
            <w:pPr>
              <w:rPr>
                <w:rFonts w:ascii="Humnst777 Lt BT" w:hAnsi="Humnst777 Lt BT"/>
                <w:szCs w:val="24"/>
              </w:rPr>
            </w:pPr>
            <w:r w:rsidRPr="007B45A0">
              <w:rPr>
                <w:rFonts w:ascii="Humnst777 Lt BT" w:hAnsi="Humnst777 Lt BT"/>
                <w:szCs w:val="24"/>
              </w:rPr>
              <w:t>Staff training</w:t>
            </w:r>
          </w:p>
          <w:p w14:paraId="0BBEC6B2"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p w14:paraId="30D94CA4"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tc>
        <w:tc>
          <w:tcPr>
            <w:tcW w:w="6658" w:type="dxa"/>
          </w:tcPr>
          <w:p w14:paraId="1B5E0F57" w14:textId="77777777" w:rsidR="00651334" w:rsidRPr="007B45A0" w:rsidRDefault="00651334" w:rsidP="00F6554A">
            <w:pPr>
              <w:rPr>
                <w:rFonts w:ascii="Humnst777 Lt BT" w:hAnsi="Humnst777 Lt BT"/>
                <w:szCs w:val="24"/>
              </w:rPr>
            </w:pPr>
            <w:r w:rsidRPr="007B45A0">
              <w:rPr>
                <w:rFonts w:ascii="Humnst777 Lt BT" w:hAnsi="Humnst777 Lt BT"/>
                <w:szCs w:val="24"/>
              </w:rPr>
              <w:t>33% were effective in recruiting and retaining staff with relevant experience</w:t>
            </w:r>
          </w:p>
        </w:tc>
      </w:tr>
      <w:tr w:rsidR="00651334" w14:paraId="44669935" w14:textId="77777777" w:rsidTr="00E12B99">
        <w:trPr>
          <w:trHeight w:val="589"/>
        </w:trPr>
        <w:tc>
          <w:tcPr>
            <w:tcW w:w="3402" w:type="dxa"/>
            <w:vMerge/>
          </w:tcPr>
          <w:p w14:paraId="652D9E3F" w14:textId="77777777" w:rsidR="00651334" w:rsidRPr="007B45A0" w:rsidRDefault="00651334" w:rsidP="00F6554A">
            <w:pPr>
              <w:rPr>
                <w:rFonts w:ascii="Humnst777 Lt BT" w:hAnsi="Humnst777 Lt BT"/>
                <w:szCs w:val="24"/>
              </w:rPr>
            </w:pPr>
          </w:p>
        </w:tc>
        <w:tc>
          <w:tcPr>
            <w:tcW w:w="6658" w:type="dxa"/>
          </w:tcPr>
          <w:p w14:paraId="221CC2B7"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Key staff lacked sufficient expertise and knowledge to perform their role. </w:t>
            </w:r>
          </w:p>
        </w:tc>
      </w:tr>
      <w:tr w:rsidR="00651334" w14:paraId="1469835C" w14:textId="77777777" w:rsidTr="00E12B99">
        <w:trPr>
          <w:trHeight w:val="589"/>
        </w:trPr>
        <w:tc>
          <w:tcPr>
            <w:tcW w:w="3402" w:type="dxa"/>
            <w:vMerge/>
          </w:tcPr>
          <w:p w14:paraId="2F105EF8" w14:textId="77777777" w:rsidR="00651334" w:rsidRPr="007B45A0" w:rsidRDefault="00651334" w:rsidP="00F6554A">
            <w:pPr>
              <w:rPr>
                <w:rFonts w:ascii="Humnst777 Lt BT" w:hAnsi="Humnst777 Lt BT"/>
                <w:szCs w:val="24"/>
              </w:rPr>
            </w:pPr>
          </w:p>
        </w:tc>
        <w:tc>
          <w:tcPr>
            <w:tcW w:w="6658" w:type="dxa"/>
          </w:tcPr>
          <w:p w14:paraId="22182C55" w14:textId="6D931F54" w:rsidR="00651334" w:rsidRPr="007B45A0" w:rsidRDefault="00651334" w:rsidP="00F6554A">
            <w:pPr>
              <w:rPr>
                <w:rFonts w:ascii="Humnst777 Lt BT" w:hAnsi="Humnst777 Lt BT"/>
                <w:szCs w:val="24"/>
              </w:rPr>
            </w:pPr>
            <w:r w:rsidRPr="007B45A0">
              <w:rPr>
                <w:rFonts w:ascii="Humnst777 Lt BT" w:hAnsi="Humnst777 Lt BT"/>
                <w:szCs w:val="24"/>
              </w:rPr>
              <w:t xml:space="preserve">Baseline knowledge was missing in some staff – </w:t>
            </w:r>
            <w:r w:rsidR="00FC3861" w:rsidRPr="007B45A0">
              <w:rPr>
                <w:rFonts w:ascii="Humnst777 Lt BT" w:hAnsi="Humnst777 Lt BT"/>
                <w:szCs w:val="24"/>
              </w:rPr>
              <w:t>e</w:t>
            </w:r>
            <w:r w:rsidR="00FC3861">
              <w:rPr>
                <w:rFonts w:ascii="Humnst777 Lt BT" w:hAnsi="Humnst777 Lt BT"/>
                <w:szCs w:val="24"/>
              </w:rPr>
              <w:t>.</w:t>
            </w:r>
            <w:r w:rsidR="00FC3861" w:rsidRPr="007B45A0">
              <w:rPr>
                <w:rFonts w:ascii="Humnst777 Lt BT" w:hAnsi="Humnst777 Lt BT"/>
                <w:szCs w:val="24"/>
              </w:rPr>
              <w:t>g</w:t>
            </w:r>
            <w:r w:rsidR="00FC3861">
              <w:rPr>
                <w:rFonts w:ascii="Humnst777 Lt BT" w:hAnsi="Humnst777 Lt BT"/>
                <w:szCs w:val="24"/>
              </w:rPr>
              <w:t>.,</w:t>
            </w:r>
            <w:r w:rsidRPr="007B45A0">
              <w:rPr>
                <w:rFonts w:ascii="Humnst777 Lt BT" w:hAnsi="Humnst777 Lt BT"/>
                <w:szCs w:val="24"/>
              </w:rPr>
              <w:t xml:space="preserve"> the NRAs, FATF updates. </w:t>
            </w:r>
          </w:p>
        </w:tc>
      </w:tr>
      <w:tr w:rsidR="00651334" w14:paraId="3B51FC8D" w14:textId="77777777" w:rsidTr="00E12B99">
        <w:trPr>
          <w:trHeight w:val="295"/>
        </w:trPr>
        <w:tc>
          <w:tcPr>
            <w:tcW w:w="3402" w:type="dxa"/>
            <w:vMerge w:val="restart"/>
          </w:tcPr>
          <w:p w14:paraId="2EE12907" w14:textId="77777777" w:rsidR="00651334" w:rsidRPr="007B45A0" w:rsidRDefault="00651334" w:rsidP="00F6554A">
            <w:pPr>
              <w:rPr>
                <w:rFonts w:ascii="Humnst777 Lt BT" w:hAnsi="Humnst777 Lt BT"/>
                <w:szCs w:val="24"/>
              </w:rPr>
            </w:pPr>
            <w:r w:rsidRPr="007B45A0">
              <w:rPr>
                <w:rFonts w:ascii="Humnst777 Lt BT" w:hAnsi="Humnst777 Lt BT"/>
                <w:szCs w:val="24"/>
              </w:rPr>
              <w:t>Enforcement</w:t>
            </w:r>
          </w:p>
          <w:p w14:paraId="0EEFCBC3"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p w14:paraId="20689FA1"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p w14:paraId="68C0A845"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tc>
        <w:tc>
          <w:tcPr>
            <w:tcW w:w="6658" w:type="dxa"/>
          </w:tcPr>
          <w:p w14:paraId="42045587"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32% of PBSs have effective enforcement frameworks </w:t>
            </w:r>
          </w:p>
        </w:tc>
      </w:tr>
      <w:tr w:rsidR="00651334" w14:paraId="3356DA0C" w14:textId="77777777" w:rsidTr="00E12B99">
        <w:trPr>
          <w:trHeight w:val="770"/>
        </w:trPr>
        <w:tc>
          <w:tcPr>
            <w:tcW w:w="3402" w:type="dxa"/>
            <w:vMerge/>
          </w:tcPr>
          <w:p w14:paraId="53528543" w14:textId="77777777" w:rsidR="00651334" w:rsidRPr="007B45A0" w:rsidRDefault="00651334" w:rsidP="00F6554A">
            <w:pPr>
              <w:rPr>
                <w:rFonts w:ascii="Humnst777 Lt BT" w:hAnsi="Humnst777 Lt BT"/>
                <w:szCs w:val="24"/>
              </w:rPr>
            </w:pPr>
          </w:p>
        </w:tc>
        <w:tc>
          <w:tcPr>
            <w:tcW w:w="6658" w:type="dxa"/>
          </w:tcPr>
          <w:p w14:paraId="1FCF4597" w14:textId="77777777" w:rsidR="00651334" w:rsidRPr="007B45A0" w:rsidRDefault="00651334" w:rsidP="00F6554A">
            <w:pPr>
              <w:spacing w:after="160" w:line="259" w:lineRule="auto"/>
              <w:rPr>
                <w:rFonts w:ascii="Humnst777 Lt BT" w:hAnsi="Humnst777 Lt BT"/>
                <w:szCs w:val="24"/>
              </w:rPr>
            </w:pPr>
            <w:r w:rsidRPr="007B45A0">
              <w:rPr>
                <w:rFonts w:ascii="Humnst777 Lt BT" w:hAnsi="Humnst777 Lt BT"/>
                <w:szCs w:val="24"/>
              </w:rPr>
              <w:t xml:space="preserve">All have sufficient powers to investigate but only </w:t>
            </w:r>
          </w:p>
          <w:p w14:paraId="6DAD7B0F" w14:textId="77777777" w:rsidR="00651334" w:rsidRPr="007B45A0" w:rsidRDefault="00651334" w:rsidP="00F6554A">
            <w:pPr>
              <w:rPr>
                <w:rFonts w:ascii="Humnst777 Lt BT" w:hAnsi="Humnst777 Lt BT"/>
                <w:szCs w:val="24"/>
              </w:rPr>
            </w:pPr>
            <w:r w:rsidRPr="007B45A0">
              <w:rPr>
                <w:rFonts w:ascii="Humnst777 Lt BT" w:hAnsi="Humnst777 Lt BT"/>
                <w:szCs w:val="24"/>
              </w:rPr>
              <w:t>62% legal and 50% accountancy use them effectively</w:t>
            </w:r>
          </w:p>
        </w:tc>
      </w:tr>
      <w:tr w:rsidR="00651334" w14:paraId="3DFD351A" w14:textId="77777777" w:rsidTr="00E12B99">
        <w:trPr>
          <w:trHeight w:val="302"/>
        </w:trPr>
        <w:tc>
          <w:tcPr>
            <w:tcW w:w="3402" w:type="dxa"/>
            <w:vMerge/>
          </w:tcPr>
          <w:p w14:paraId="25F7D1E8" w14:textId="77777777" w:rsidR="00651334" w:rsidRPr="007B45A0" w:rsidRDefault="00651334" w:rsidP="00F6554A">
            <w:pPr>
              <w:rPr>
                <w:rFonts w:ascii="Humnst777 Lt BT" w:hAnsi="Humnst777 Lt BT"/>
                <w:szCs w:val="24"/>
              </w:rPr>
            </w:pPr>
          </w:p>
        </w:tc>
        <w:tc>
          <w:tcPr>
            <w:tcW w:w="6658" w:type="dxa"/>
          </w:tcPr>
          <w:p w14:paraId="2F3C7910"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26% use enforcement tools effectively </w:t>
            </w:r>
          </w:p>
        </w:tc>
      </w:tr>
      <w:tr w:rsidR="00651334" w14:paraId="2AB09C15" w14:textId="77777777" w:rsidTr="00E12B99">
        <w:trPr>
          <w:trHeight w:val="295"/>
        </w:trPr>
        <w:tc>
          <w:tcPr>
            <w:tcW w:w="3402" w:type="dxa"/>
            <w:vMerge/>
          </w:tcPr>
          <w:p w14:paraId="35EAFB91" w14:textId="77777777" w:rsidR="00651334" w:rsidRPr="007B45A0" w:rsidRDefault="00651334" w:rsidP="00F6554A">
            <w:pPr>
              <w:rPr>
                <w:rFonts w:ascii="Humnst777 Lt BT" w:hAnsi="Humnst777 Lt BT"/>
                <w:szCs w:val="24"/>
              </w:rPr>
            </w:pPr>
          </w:p>
        </w:tc>
        <w:tc>
          <w:tcPr>
            <w:tcW w:w="6658" w:type="dxa"/>
          </w:tcPr>
          <w:p w14:paraId="12C1AA58"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70% make enforcement outcomes public </w:t>
            </w:r>
          </w:p>
        </w:tc>
      </w:tr>
      <w:tr w:rsidR="00651334" w14:paraId="67D315A4" w14:textId="77777777" w:rsidTr="00E12B99">
        <w:trPr>
          <w:trHeight w:val="582"/>
        </w:trPr>
        <w:tc>
          <w:tcPr>
            <w:tcW w:w="3402" w:type="dxa"/>
            <w:vMerge w:val="restart"/>
          </w:tcPr>
          <w:p w14:paraId="54608840" w14:textId="77777777" w:rsidR="00651334" w:rsidRPr="007B45A0" w:rsidRDefault="00651334" w:rsidP="00F6554A">
            <w:pPr>
              <w:rPr>
                <w:rFonts w:ascii="Humnst777 Lt BT" w:hAnsi="Humnst777 Lt BT"/>
                <w:szCs w:val="24"/>
              </w:rPr>
            </w:pPr>
            <w:r w:rsidRPr="007B45A0">
              <w:rPr>
                <w:rFonts w:ascii="Humnst777 Lt BT" w:hAnsi="Humnst777 Lt BT"/>
                <w:szCs w:val="24"/>
              </w:rPr>
              <w:t>Record Keeping</w:t>
            </w:r>
          </w:p>
          <w:p w14:paraId="1657E90D"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 </w:t>
            </w:r>
          </w:p>
        </w:tc>
        <w:tc>
          <w:tcPr>
            <w:tcW w:w="6658" w:type="dxa"/>
          </w:tcPr>
          <w:p w14:paraId="45945D7B" w14:textId="77777777" w:rsidR="00651334" w:rsidRPr="007B45A0" w:rsidRDefault="00651334" w:rsidP="00F6554A">
            <w:pPr>
              <w:rPr>
                <w:rFonts w:ascii="Humnst777 Lt BT" w:hAnsi="Humnst777 Lt BT"/>
                <w:szCs w:val="24"/>
              </w:rPr>
            </w:pPr>
            <w:r w:rsidRPr="007B45A0">
              <w:rPr>
                <w:rFonts w:ascii="Humnst777 Lt BT" w:hAnsi="Humnst777 Lt BT"/>
                <w:szCs w:val="24"/>
              </w:rPr>
              <w:t xml:space="preserve">25% of PBSs are still not effective in record keeping with the legal sector performing better. </w:t>
            </w:r>
          </w:p>
        </w:tc>
      </w:tr>
      <w:tr w:rsidR="00651334" w14:paraId="31D47E5F" w14:textId="77777777" w:rsidTr="00E12B99">
        <w:trPr>
          <w:trHeight w:val="597"/>
        </w:trPr>
        <w:tc>
          <w:tcPr>
            <w:tcW w:w="3402" w:type="dxa"/>
            <w:vMerge/>
          </w:tcPr>
          <w:p w14:paraId="27F22C3E" w14:textId="77777777" w:rsidR="00651334" w:rsidRPr="007B45A0" w:rsidRDefault="00651334" w:rsidP="00F6554A">
            <w:pPr>
              <w:rPr>
                <w:rFonts w:ascii="Humnst777 Lt BT" w:hAnsi="Humnst777 Lt BT"/>
                <w:szCs w:val="24"/>
              </w:rPr>
            </w:pPr>
          </w:p>
        </w:tc>
        <w:tc>
          <w:tcPr>
            <w:tcW w:w="6658" w:type="dxa"/>
          </w:tcPr>
          <w:p w14:paraId="1097FD13" w14:textId="77777777" w:rsidR="00651334" w:rsidRPr="007B45A0" w:rsidRDefault="00651334" w:rsidP="00F6554A">
            <w:pPr>
              <w:rPr>
                <w:rFonts w:ascii="Humnst777 Lt BT" w:hAnsi="Humnst777 Lt BT"/>
                <w:szCs w:val="24"/>
              </w:rPr>
            </w:pPr>
            <w:r w:rsidRPr="007B45A0">
              <w:rPr>
                <w:rFonts w:ascii="Humnst777 Lt BT" w:hAnsi="Humnst777 Lt BT"/>
                <w:szCs w:val="24"/>
              </w:rPr>
              <w:t>General lack of effectiveness on recording decisions made</w:t>
            </w:r>
          </w:p>
        </w:tc>
      </w:tr>
    </w:tbl>
    <w:p w14:paraId="4000CC64" w14:textId="77777777" w:rsidR="00651334" w:rsidRDefault="00651334" w:rsidP="00651334">
      <w:pPr>
        <w:rPr>
          <w:rFonts w:ascii="Humnst777 Lt BT" w:hAnsi="Humnst777 Lt BT"/>
          <w:szCs w:val="24"/>
        </w:rPr>
      </w:pPr>
    </w:p>
    <w:p w14:paraId="79ADF5E9" w14:textId="77777777" w:rsidR="00651334" w:rsidRDefault="00651334" w:rsidP="00651334">
      <w:pPr>
        <w:rPr>
          <w:rFonts w:ascii="Humnst777 Lt BT" w:hAnsi="Humnst777 Lt BT"/>
          <w:szCs w:val="24"/>
        </w:rPr>
      </w:pPr>
    </w:p>
    <w:p w14:paraId="21BFE6D4" w14:textId="77777777" w:rsidR="00651334" w:rsidRDefault="00651334" w:rsidP="00651334">
      <w:pPr>
        <w:rPr>
          <w:rFonts w:ascii="Humnst777 Lt BT" w:hAnsi="Humnst777 Lt BT"/>
          <w:szCs w:val="24"/>
        </w:rPr>
      </w:pPr>
    </w:p>
    <w:p w14:paraId="7564D9C9" w14:textId="77777777" w:rsidR="00651334" w:rsidRDefault="00651334"/>
    <w:sectPr w:rsidR="00651334" w:rsidSect="00FB44FE">
      <w:footerReference w:type="default" r:id="rId15"/>
      <w:pgSz w:w="11906" w:h="16838"/>
      <w:pgMar w:top="70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C29A" w14:textId="77777777" w:rsidR="00497E23" w:rsidRDefault="00497E23" w:rsidP="00DA7D3B">
      <w:r>
        <w:separator/>
      </w:r>
    </w:p>
  </w:endnote>
  <w:endnote w:type="continuationSeparator" w:id="0">
    <w:p w14:paraId="3419100E" w14:textId="77777777" w:rsidR="00497E23" w:rsidRDefault="00497E23" w:rsidP="00DA7D3B">
      <w:r>
        <w:continuationSeparator/>
      </w:r>
    </w:p>
  </w:endnote>
  <w:endnote w:type="continuationNotice" w:id="1">
    <w:p w14:paraId="7C1F7CC6" w14:textId="77777777" w:rsidR="00497E23" w:rsidRDefault="00497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Lt BT">
    <w:altName w:val="Lucida Sans Unicode"/>
    <w:panose1 w:val="020B0402030504020204"/>
    <w:charset w:val="00"/>
    <w:family w:val="swiss"/>
    <w:pitch w:val="variable"/>
    <w:sig w:usb0="800000AF" w:usb1="1000204A" w:usb2="00000000" w:usb3="00000000" w:csb0="000000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773985"/>
      <w:docPartObj>
        <w:docPartGallery w:val="Page Numbers (Bottom of Page)"/>
        <w:docPartUnique/>
      </w:docPartObj>
    </w:sdtPr>
    <w:sdtEndPr>
      <w:rPr>
        <w:rFonts w:ascii="Humnst777 Lt BT" w:hAnsi="Humnst777 Lt BT"/>
        <w:noProof/>
      </w:rPr>
    </w:sdtEndPr>
    <w:sdtContent>
      <w:p w14:paraId="7CB3AB5D" w14:textId="174A0BB6" w:rsidR="003F6DA0" w:rsidRPr="00F632AA" w:rsidRDefault="003F6DA0">
        <w:pPr>
          <w:pStyle w:val="Footer"/>
          <w:jc w:val="center"/>
          <w:rPr>
            <w:rFonts w:ascii="Humnst777 Lt BT" w:hAnsi="Humnst777 Lt BT"/>
          </w:rPr>
        </w:pPr>
        <w:r w:rsidRPr="00F632AA">
          <w:rPr>
            <w:rFonts w:ascii="Humnst777 Lt BT" w:hAnsi="Humnst777 Lt BT"/>
          </w:rPr>
          <w:fldChar w:fldCharType="begin"/>
        </w:r>
        <w:r w:rsidRPr="00F632AA">
          <w:rPr>
            <w:rFonts w:ascii="Humnst777 Lt BT" w:hAnsi="Humnst777 Lt BT"/>
          </w:rPr>
          <w:instrText xml:space="preserve"> PAGE   \* MERGEFORMAT </w:instrText>
        </w:r>
        <w:r w:rsidRPr="00F632AA">
          <w:rPr>
            <w:rFonts w:ascii="Humnst777 Lt BT" w:hAnsi="Humnst777 Lt BT"/>
          </w:rPr>
          <w:fldChar w:fldCharType="separate"/>
        </w:r>
        <w:r w:rsidRPr="00F632AA">
          <w:rPr>
            <w:rFonts w:ascii="Humnst777 Lt BT" w:hAnsi="Humnst777 Lt BT"/>
            <w:noProof/>
          </w:rPr>
          <w:t>2</w:t>
        </w:r>
        <w:r w:rsidRPr="00F632AA">
          <w:rPr>
            <w:rFonts w:ascii="Humnst777 Lt BT" w:hAnsi="Humnst777 Lt BT"/>
            <w:noProof/>
          </w:rPr>
          <w:fldChar w:fldCharType="end"/>
        </w:r>
      </w:p>
    </w:sdtContent>
  </w:sdt>
  <w:p w14:paraId="6B90B7C7" w14:textId="55D99B8F" w:rsidR="00DA7D3B" w:rsidRPr="00DA7D3B" w:rsidRDefault="00DA7D3B">
    <w:pPr>
      <w:pStyle w:val="Footer"/>
      <w:rPr>
        <w:rFonts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BAA6" w14:textId="77777777" w:rsidR="00497E23" w:rsidRDefault="00497E23" w:rsidP="00DA7D3B">
      <w:r>
        <w:separator/>
      </w:r>
    </w:p>
  </w:footnote>
  <w:footnote w:type="continuationSeparator" w:id="0">
    <w:p w14:paraId="14FC8E53" w14:textId="77777777" w:rsidR="00497E23" w:rsidRDefault="00497E23" w:rsidP="00DA7D3B">
      <w:r>
        <w:continuationSeparator/>
      </w:r>
    </w:p>
  </w:footnote>
  <w:footnote w:type="continuationNotice" w:id="1">
    <w:p w14:paraId="13153F12" w14:textId="77777777" w:rsidR="00497E23" w:rsidRDefault="00497E23"/>
  </w:footnote>
  <w:footnote w:id="2">
    <w:p w14:paraId="67547F35" w14:textId="77777777" w:rsidR="00F9117D" w:rsidRPr="002A5100" w:rsidRDefault="00F9117D" w:rsidP="00F9117D">
      <w:pPr>
        <w:pStyle w:val="FootnoteText"/>
        <w:rPr>
          <w:rFonts w:ascii="Humnst777 Lt BT" w:hAnsi="Humnst777 Lt BT"/>
        </w:rPr>
      </w:pPr>
      <w:r w:rsidRPr="002A5100">
        <w:rPr>
          <w:rStyle w:val="FootnoteReference"/>
          <w:rFonts w:ascii="Humnst777 Lt BT" w:hAnsi="Humnst777 Lt BT"/>
        </w:rPr>
        <w:footnoteRef/>
      </w:r>
      <w:r w:rsidRPr="002A5100">
        <w:rPr>
          <w:rFonts w:ascii="Humnst777 Lt BT" w:hAnsi="Humnst777 Lt BT"/>
        </w:rPr>
        <w:t xml:space="preserve"> The Financial Crime Information Network (FIN-NET) and the Shared Intelligence Service (SIS) are established information sharing arrangements, with a set of criteria that PBSs are required to reach in order to be members. These criteria include: </w:t>
      </w:r>
    </w:p>
    <w:p w14:paraId="2FA10865" w14:textId="77777777" w:rsidR="00F9117D" w:rsidRPr="002A5100" w:rsidRDefault="00F9117D" w:rsidP="00F9117D">
      <w:pPr>
        <w:pStyle w:val="FootnoteText"/>
        <w:numPr>
          <w:ilvl w:val="0"/>
          <w:numId w:val="41"/>
        </w:numPr>
        <w:rPr>
          <w:rFonts w:ascii="Humnst777 Lt BT" w:hAnsi="Humnst777 Lt BT"/>
        </w:rPr>
      </w:pPr>
      <w:r w:rsidRPr="002A5100">
        <w:rPr>
          <w:rFonts w:ascii="Humnst777 Lt BT" w:hAnsi="Humnst777 Lt BT"/>
        </w:rPr>
        <w:t xml:space="preserve">a willingness to respond promptly and fully to referrals and enquiries from others, </w:t>
      </w:r>
    </w:p>
    <w:p w14:paraId="4FCBD2FF" w14:textId="77777777" w:rsidR="00F9117D" w:rsidRPr="002A5100" w:rsidRDefault="00F9117D" w:rsidP="00F9117D">
      <w:pPr>
        <w:pStyle w:val="FootnoteText"/>
        <w:numPr>
          <w:ilvl w:val="0"/>
          <w:numId w:val="41"/>
        </w:numPr>
        <w:rPr>
          <w:rFonts w:ascii="Humnst777 Lt BT" w:hAnsi="Humnst777 Lt BT"/>
        </w:rPr>
      </w:pPr>
      <w:r w:rsidRPr="002A5100">
        <w:rPr>
          <w:rFonts w:ascii="Humnst777 Lt BT" w:hAnsi="Humnst777 Lt BT"/>
        </w:rPr>
        <w:t>adequate physical and electronic security to ensure that all documentation received is held securely,</w:t>
      </w:r>
    </w:p>
    <w:p w14:paraId="596A6557" w14:textId="77777777" w:rsidR="00F9117D" w:rsidRPr="002A5100" w:rsidRDefault="00F9117D" w:rsidP="00F9117D">
      <w:pPr>
        <w:pStyle w:val="FootnoteText"/>
        <w:numPr>
          <w:ilvl w:val="0"/>
          <w:numId w:val="41"/>
        </w:numPr>
        <w:rPr>
          <w:rFonts w:ascii="Humnst777 Lt BT" w:hAnsi="Humnst777 Lt BT"/>
        </w:rPr>
      </w:pPr>
      <w:r w:rsidRPr="002A5100">
        <w:rPr>
          <w:rFonts w:ascii="Humnst777 Lt BT" w:hAnsi="Humnst777 Lt BT"/>
        </w:rPr>
        <w:t>a commitment to input intelligence flags</w:t>
      </w:r>
    </w:p>
    <w:p w14:paraId="61BE993D" w14:textId="77777777" w:rsidR="00F9117D" w:rsidRPr="002A5100" w:rsidRDefault="00F9117D" w:rsidP="00F9117D">
      <w:pPr>
        <w:pStyle w:val="FootnoteText"/>
        <w:numPr>
          <w:ilvl w:val="0"/>
          <w:numId w:val="41"/>
        </w:numPr>
        <w:rPr>
          <w:rFonts w:ascii="Humnst777 Lt BT" w:hAnsi="Humnst777 Lt BT"/>
        </w:rPr>
      </w:pPr>
      <w:r w:rsidRPr="002A5100">
        <w:rPr>
          <w:rFonts w:ascii="Humnst777 Lt BT" w:hAnsi="Humnst777 Lt BT"/>
        </w:rPr>
        <w:t>access to, or willingness to install, an accredited secure means of communication,</w:t>
      </w:r>
    </w:p>
    <w:p w14:paraId="6809A2CF" w14:textId="77777777" w:rsidR="00F9117D" w:rsidRDefault="00F9117D" w:rsidP="00F9117D">
      <w:pPr>
        <w:pStyle w:val="FootnoteText"/>
        <w:numPr>
          <w:ilvl w:val="0"/>
          <w:numId w:val="41"/>
        </w:numPr>
      </w:pPr>
      <w:r w:rsidRPr="002A5100">
        <w:rPr>
          <w:rFonts w:ascii="Humnst777 Lt BT" w:hAnsi="Humnst777 Lt BT"/>
        </w:rPr>
        <w:t>agreement to pay costs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3B6"/>
    <w:multiLevelType w:val="multilevel"/>
    <w:tmpl w:val="02AAA3AA"/>
    <w:lvl w:ilvl="0">
      <w:start w:val="15"/>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 w15:restartNumberingAfterBreak="0">
    <w:nsid w:val="02202DF7"/>
    <w:multiLevelType w:val="multilevel"/>
    <w:tmpl w:val="2F18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871E4"/>
    <w:multiLevelType w:val="multilevel"/>
    <w:tmpl w:val="5484D9E4"/>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89202E7"/>
    <w:multiLevelType w:val="multilevel"/>
    <w:tmpl w:val="069043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15824"/>
    <w:multiLevelType w:val="multilevel"/>
    <w:tmpl w:val="FE105B6C"/>
    <w:styleLink w:val="StyleOutlinenumberedLeft089cmHanging063cm"/>
    <w:lvl w:ilvl="0">
      <w:start w:val="1"/>
      <w:numFmt w:val="decimal"/>
      <w:lvlText w:val="%1."/>
      <w:lvlJc w:val="left"/>
      <w:pPr>
        <w:ind w:left="56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B020EC9"/>
    <w:multiLevelType w:val="multilevel"/>
    <w:tmpl w:val="C3784894"/>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B282526"/>
    <w:multiLevelType w:val="hybridMultilevel"/>
    <w:tmpl w:val="F18C4532"/>
    <w:lvl w:ilvl="0" w:tplc="8AC66BC6">
      <w:start w:val="58"/>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5D4B2A"/>
    <w:multiLevelType w:val="multilevel"/>
    <w:tmpl w:val="908C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270F5F"/>
    <w:multiLevelType w:val="multilevel"/>
    <w:tmpl w:val="C38AFE70"/>
    <w:lvl w:ilvl="0">
      <w:start w:val="1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96F6E"/>
    <w:multiLevelType w:val="multilevel"/>
    <w:tmpl w:val="4BC8A8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AB1B07"/>
    <w:multiLevelType w:val="multilevel"/>
    <w:tmpl w:val="5C00C69A"/>
    <w:lvl w:ilvl="0">
      <w:start w:val="22"/>
      <w:numFmt w:val="decimal"/>
      <w:lvlText w:val="%1."/>
      <w:lvlJc w:val="left"/>
      <w:pPr>
        <w:tabs>
          <w:tab w:val="num" w:pos="720"/>
        </w:tabs>
        <w:ind w:left="720" w:hanging="360"/>
      </w:pPr>
      <w:rPr>
        <w:rFonts w:ascii="Humnst777 Lt BT" w:hAnsi="Humnst777 Lt BT" w:hint="default"/>
        <w:b w:val="0"/>
        <w:bCs w:val="0"/>
      </w:rPr>
    </w:lvl>
    <w:lvl w:ilvl="1">
      <w:start w:val="1"/>
      <w:numFmt w:val="lowerLetter"/>
      <w:lvlText w:val="%2)"/>
      <w:lvlJc w:val="left"/>
      <w:pPr>
        <w:tabs>
          <w:tab w:val="num" w:pos="1440"/>
        </w:tabs>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18D0CC8"/>
    <w:multiLevelType w:val="hybridMultilevel"/>
    <w:tmpl w:val="35A0A5B2"/>
    <w:lvl w:ilvl="0" w:tplc="7608976A">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2" w15:restartNumberingAfterBreak="0">
    <w:nsid w:val="16BF5E28"/>
    <w:multiLevelType w:val="multilevel"/>
    <w:tmpl w:val="D6C03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A82E64"/>
    <w:multiLevelType w:val="multilevel"/>
    <w:tmpl w:val="BF8C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E549E4"/>
    <w:multiLevelType w:val="multilevel"/>
    <w:tmpl w:val="E42E4B50"/>
    <w:lvl w:ilvl="0">
      <w:start w:val="1"/>
      <w:numFmt w:val="lowerLetter"/>
      <w:lvlText w:val="%1)"/>
      <w:lvlJc w:val="left"/>
      <w:pPr>
        <w:tabs>
          <w:tab w:val="num" w:pos="1080"/>
        </w:tabs>
        <w:ind w:left="1080" w:hanging="360"/>
      </w:pPr>
    </w:lvl>
    <w:lvl w:ilvl="1">
      <w:start w:val="1"/>
      <w:numFmt w:val="low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1B1827CB"/>
    <w:multiLevelType w:val="multilevel"/>
    <w:tmpl w:val="76A871C6"/>
    <w:lvl w:ilvl="0">
      <w:start w:val="1"/>
      <w:numFmt w:val="decimal"/>
      <w:lvlText w:val="%1."/>
      <w:lvlJc w:val="left"/>
      <w:pPr>
        <w:tabs>
          <w:tab w:val="num" w:pos="720"/>
        </w:tabs>
        <w:ind w:left="720" w:hanging="360"/>
      </w:pPr>
      <w:rPr>
        <w:rFonts w:ascii="Humnst777 Lt BT" w:hAnsi="Humnst777 Lt BT"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CAD4476"/>
    <w:multiLevelType w:val="multilevel"/>
    <w:tmpl w:val="32A699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0D18D0"/>
    <w:multiLevelType w:val="multilevel"/>
    <w:tmpl w:val="376E06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D63077"/>
    <w:multiLevelType w:val="multilevel"/>
    <w:tmpl w:val="0B46BC76"/>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2122491C"/>
    <w:multiLevelType w:val="multilevel"/>
    <w:tmpl w:val="5C00C69A"/>
    <w:lvl w:ilvl="0">
      <w:start w:val="22"/>
      <w:numFmt w:val="decimal"/>
      <w:lvlText w:val="%1."/>
      <w:lvlJc w:val="left"/>
      <w:pPr>
        <w:tabs>
          <w:tab w:val="num" w:pos="720"/>
        </w:tabs>
        <w:ind w:left="720" w:hanging="360"/>
      </w:pPr>
      <w:rPr>
        <w:rFonts w:ascii="Humnst777 Lt BT" w:hAnsi="Humnst777 Lt BT" w:hint="default"/>
        <w:b w:val="0"/>
        <w:bCs w:val="0"/>
      </w:rPr>
    </w:lvl>
    <w:lvl w:ilvl="1">
      <w:start w:val="1"/>
      <w:numFmt w:val="lowerLetter"/>
      <w:lvlText w:val="%2)"/>
      <w:lvlJc w:val="left"/>
      <w:pPr>
        <w:tabs>
          <w:tab w:val="num" w:pos="1440"/>
        </w:tabs>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21625422"/>
    <w:multiLevelType w:val="multilevel"/>
    <w:tmpl w:val="AE1E25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FA5872"/>
    <w:multiLevelType w:val="hybridMultilevel"/>
    <w:tmpl w:val="A53A28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87258"/>
    <w:multiLevelType w:val="multilevel"/>
    <w:tmpl w:val="8F74D43C"/>
    <w:styleLink w:val="TableBullets"/>
    <w:lvl w:ilvl="0">
      <w:start w:val="1"/>
      <w:numFmt w:val="bullet"/>
      <w:lvlText w:val=""/>
      <w:lvlJc w:val="left"/>
      <w:pPr>
        <w:tabs>
          <w:tab w:val="num" w:pos="171"/>
        </w:tabs>
        <w:ind w:left="171" w:hanging="171"/>
      </w:pPr>
      <w:rPr>
        <w:rFonts w:ascii="Symbol" w:hAnsi="Symbol" w:hint="default"/>
        <w:color w:val="000000"/>
        <w:sz w:val="24"/>
      </w:rPr>
    </w:lvl>
    <w:lvl w:ilvl="1">
      <w:start w:val="1"/>
      <w:numFmt w:val="bullet"/>
      <w:lvlText w:val=""/>
      <w:lvlJc w:val="left"/>
      <w:pPr>
        <w:tabs>
          <w:tab w:val="num" w:pos="113"/>
        </w:tabs>
        <w:ind w:left="227" w:hanging="114"/>
      </w:pPr>
      <w:rPr>
        <w:rFonts w:ascii="Symbol" w:hAnsi="Symbol"/>
        <w:color w:val="000000"/>
        <w:sz w:val="24"/>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23" w15:restartNumberingAfterBreak="0">
    <w:nsid w:val="29D1798D"/>
    <w:multiLevelType w:val="multilevel"/>
    <w:tmpl w:val="B41297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B016EF7"/>
    <w:multiLevelType w:val="multilevel"/>
    <w:tmpl w:val="8946CF0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9B4BEC"/>
    <w:multiLevelType w:val="multilevel"/>
    <w:tmpl w:val="D57A3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6B6318"/>
    <w:multiLevelType w:val="multilevel"/>
    <w:tmpl w:val="A0CE8048"/>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9EF496E"/>
    <w:multiLevelType w:val="hybridMultilevel"/>
    <w:tmpl w:val="AD8E8B4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B101FAC"/>
    <w:multiLevelType w:val="multilevel"/>
    <w:tmpl w:val="0E9A7E82"/>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BE2093E"/>
    <w:multiLevelType w:val="multilevel"/>
    <w:tmpl w:val="5B367E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9619C1"/>
    <w:multiLevelType w:val="multilevel"/>
    <w:tmpl w:val="8EAE46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D2371E"/>
    <w:multiLevelType w:val="multilevel"/>
    <w:tmpl w:val="5C34BD66"/>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437C283A"/>
    <w:multiLevelType w:val="multilevel"/>
    <w:tmpl w:val="ED3E17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312B18"/>
    <w:multiLevelType w:val="multilevel"/>
    <w:tmpl w:val="0554B9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6C7A07"/>
    <w:multiLevelType w:val="multilevel"/>
    <w:tmpl w:val="6E4A7D52"/>
    <w:lvl w:ilvl="0">
      <w:start w:val="22"/>
      <w:numFmt w:val="decimal"/>
      <w:lvlText w:val="%1."/>
      <w:lvlJc w:val="left"/>
      <w:pPr>
        <w:tabs>
          <w:tab w:val="num" w:pos="720"/>
        </w:tabs>
        <w:ind w:left="720" w:hanging="360"/>
      </w:pPr>
      <w:rPr>
        <w:rFonts w:ascii="Humnst777 Lt BT" w:hAnsi="Humnst777 Lt BT"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46486FF5"/>
    <w:multiLevelType w:val="multilevel"/>
    <w:tmpl w:val="BB9A84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C316FF"/>
    <w:multiLevelType w:val="multilevel"/>
    <w:tmpl w:val="E146CC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487A0D"/>
    <w:multiLevelType w:val="hybridMultilevel"/>
    <w:tmpl w:val="14486F60"/>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4E457B00"/>
    <w:multiLevelType w:val="multilevel"/>
    <w:tmpl w:val="DD8E3800"/>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4F5C4A16"/>
    <w:multiLevelType w:val="multilevel"/>
    <w:tmpl w:val="0ADAC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9A0424"/>
    <w:multiLevelType w:val="multilevel"/>
    <w:tmpl w:val="3AEA813A"/>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FA70D2F"/>
    <w:multiLevelType w:val="multilevel"/>
    <w:tmpl w:val="D870EA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06E52C7"/>
    <w:multiLevelType w:val="multilevel"/>
    <w:tmpl w:val="BB984CF0"/>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510E4EB0"/>
    <w:multiLevelType w:val="multilevel"/>
    <w:tmpl w:val="F7E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2856CA9"/>
    <w:multiLevelType w:val="multilevel"/>
    <w:tmpl w:val="BF5CBA9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5625767"/>
    <w:multiLevelType w:val="multilevel"/>
    <w:tmpl w:val="22DC9D0A"/>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5BED4CA8"/>
    <w:multiLevelType w:val="multilevel"/>
    <w:tmpl w:val="4B5693A4"/>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5DEF5B2A"/>
    <w:multiLevelType w:val="multilevel"/>
    <w:tmpl w:val="44B65D82"/>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5F091BC6"/>
    <w:multiLevelType w:val="multilevel"/>
    <w:tmpl w:val="A238B326"/>
    <w:lvl w:ilvl="0">
      <w:start w:val="3"/>
      <w:numFmt w:val="decimal"/>
      <w:lvlText w:val="%1."/>
      <w:lvlJc w:val="left"/>
      <w:pPr>
        <w:tabs>
          <w:tab w:val="num" w:pos="720"/>
        </w:tabs>
        <w:ind w:left="720" w:hanging="360"/>
      </w:pPr>
      <w:rPr>
        <w:rFonts w:ascii="Humnst777 Lt BT" w:hAnsi="Humnst777 Lt BT"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622C0228"/>
    <w:multiLevelType w:val="multilevel"/>
    <w:tmpl w:val="7578E2F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2FA6389"/>
    <w:multiLevelType w:val="multilevel"/>
    <w:tmpl w:val="A94C744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890F81"/>
    <w:multiLevelType w:val="multilevel"/>
    <w:tmpl w:val="E050E8BA"/>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65C21F8F"/>
    <w:multiLevelType w:val="multilevel"/>
    <w:tmpl w:val="B3B49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8108EF"/>
    <w:multiLevelType w:val="multilevel"/>
    <w:tmpl w:val="A2620B7E"/>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6A5C0C9B"/>
    <w:multiLevelType w:val="hybridMultilevel"/>
    <w:tmpl w:val="A22C1CA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AE765F9"/>
    <w:multiLevelType w:val="hybridMultilevel"/>
    <w:tmpl w:val="5210A9C0"/>
    <w:lvl w:ilvl="0" w:tplc="383EEB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E1E3B21"/>
    <w:multiLevelType w:val="multilevel"/>
    <w:tmpl w:val="CD386BF2"/>
    <w:styleLink w:val="Numberlist"/>
    <w:lvl w:ilvl="0">
      <w:start w:val="1"/>
      <w:numFmt w:val="decimal"/>
      <w:lvlText w:val="%1."/>
      <w:lvlJc w:val="left"/>
      <w:pPr>
        <w:ind w:left="862" w:hanging="357"/>
      </w:pPr>
      <w:rPr>
        <w:rFonts w:ascii="Arial" w:hAnsi="Arial"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7" w15:restartNumberingAfterBreak="0">
    <w:nsid w:val="714E1528"/>
    <w:multiLevelType w:val="multilevel"/>
    <w:tmpl w:val="6312055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72CC4CDA"/>
    <w:multiLevelType w:val="multilevel"/>
    <w:tmpl w:val="1DF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4180CC5"/>
    <w:multiLevelType w:val="multilevel"/>
    <w:tmpl w:val="2C02B1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0051FD"/>
    <w:multiLevelType w:val="hybridMultilevel"/>
    <w:tmpl w:val="49D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CA136F"/>
    <w:multiLevelType w:val="hybridMultilevel"/>
    <w:tmpl w:val="BD8AD63C"/>
    <w:lvl w:ilvl="0" w:tplc="37541278">
      <w:start w:val="1"/>
      <w:numFmt w:val="bullet"/>
      <w:pStyle w:val="BIS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6380FF5"/>
    <w:multiLevelType w:val="hybridMultilevel"/>
    <w:tmpl w:val="BE22968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8EC5099"/>
    <w:multiLevelType w:val="hybridMultilevel"/>
    <w:tmpl w:val="019CFAB2"/>
    <w:lvl w:ilvl="0" w:tplc="260846F8">
      <w:start w:val="1"/>
      <w:numFmt w:val="decimal"/>
      <w:pStyle w:val="BISnumberingBold"/>
      <w:lvlText w:val="%1."/>
      <w:lvlJc w:val="left"/>
      <w:pPr>
        <w:ind w:left="862" w:hanging="360"/>
      </w:pPr>
      <w:rPr>
        <w:rFonts w:cs="Times New Roman"/>
      </w:rPr>
    </w:lvl>
    <w:lvl w:ilvl="1" w:tplc="08090019" w:tentative="1">
      <w:start w:val="1"/>
      <w:numFmt w:val="lowerLetter"/>
      <w:lvlText w:val="%2."/>
      <w:lvlJc w:val="left"/>
      <w:pPr>
        <w:ind w:left="1582" w:hanging="360"/>
      </w:pPr>
      <w:rPr>
        <w:rFonts w:cs="Times New Roman"/>
      </w:rPr>
    </w:lvl>
    <w:lvl w:ilvl="2" w:tplc="0809001B" w:tentative="1">
      <w:start w:val="1"/>
      <w:numFmt w:val="lowerRoman"/>
      <w:lvlText w:val="%3."/>
      <w:lvlJc w:val="right"/>
      <w:pPr>
        <w:ind w:left="2302" w:hanging="180"/>
      </w:pPr>
      <w:rPr>
        <w:rFonts w:cs="Times New Roman"/>
      </w:rPr>
    </w:lvl>
    <w:lvl w:ilvl="3" w:tplc="0809000F" w:tentative="1">
      <w:start w:val="1"/>
      <w:numFmt w:val="decimal"/>
      <w:lvlText w:val="%4."/>
      <w:lvlJc w:val="left"/>
      <w:pPr>
        <w:ind w:left="3022" w:hanging="360"/>
      </w:pPr>
      <w:rPr>
        <w:rFonts w:cs="Times New Roman"/>
      </w:rPr>
    </w:lvl>
    <w:lvl w:ilvl="4" w:tplc="08090019" w:tentative="1">
      <w:start w:val="1"/>
      <w:numFmt w:val="lowerLetter"/>
      <w:lvlText w:val="%5."/>
      <w:lvlJc w:val="left"/>
      <w:pPr>
        <w:ind w:left="3742" w:hanging="360"/>
      </w:pPr>
      <w:rPr>
        <w:rFonts w:cs="Times New Roman"/>
      </w:rPr>
    </w:lvl>
    <w:lvl w:ilvl="5" w:tplc="0809001B" w:tentative="1">
      <w:start w:val="1"/>
      <w:numFmt w:val="lowerRoman"/>
      <w:lvlText w:val="%6."/>
      <w:lvlJc w:val="right"/>
      <w:pPr>
        <w:ind w:left="4462" w:hanging="180"/>
      </w:pPr>
      <w:rPr>
        <w:rFonts w:cs="Times New Roman"/>
      </w:rPr>
    </w:lvl>
    <w:lvl w:ilvl="6" w:tplc="0809000F" w:tentative="1">
      <w:start w:val="1"/>
      <w:numFmt w:val="decimal"/>
      <w:lvlText w:val="%7."/>
      <w:lvlJc w:val="left"/>
      <w:pPr>
        <w:ind w:left="5182" w:hanging="360"/>
      </w:pPr>
      <w:rPr>
        <w:rFonts w:cs="Times New Roman"/>
      </w:rPr>
    </w:lvl>
    <w:lvl w:ilvl="7" w:tplc="08090019" w:tentative="1">
      <w:start w:val="1"/>
      <w:numFmt w:val="lowerLetter"/>
      <w:lvlText w:val="%8."/>
      <w:lvlJc w:val="left"/>
      <w:pPr>
        <w:ind w:left="5902" w:hanging="360"/>
      </w:pPr>
      <w:rPr>
        <w:rFonts w:cs="Times New Roman"/>
      </w:rPr>
    </w:lvl>
    <w:lvl w:ilvl="8" w:tplc="0809001B" w:tentative="1">
      <w:start w:val="1"/>
      <w:numFmt w:val="lowerRoman"/>
      <w:lvlText w:val="%9."/>
      <w:lvlJc w:val="right"/>
      <w:pPr>
        <w:ind w:left="6622" w:hanging="180"/>
      </w:pPr>
      <w:rPr>
        <w:rFonts w:cs="Times New Roman"/>
      </w:rPr>
    </w:lvl>
  </w:abstractNum>
  <w:abstractNum w:abstractNumId="64" w15:restartNumberingAfterBreak="0">
    <w:nsid w:val="7BB47838"/>
    <w:multiLevelType w:val="multilevel"/>
    <w:tmpl w:val="AAD0624A"/>
    <w:lvl w:ilvl="0">
      <w:start w:val="13"/>
      <w:numFmt w:val="decimal"/>
      <w:lvlText w:val="%1."/>
      <w:lvlJc w:val="left"/>
      <w:pPr>
        <w:tabs>
          <w:tab w:val="num" w:pos="644"/>
        </w:tabs>
        <w:ind w:left="644" w:hanging="360"/>
      </w:pPr>
      <w:rPr>
        <w:rFonts w:hint="default"/>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2084"/>
        </w:tabs>
        <w:ind w:left="2084" w:hanging="360"/>
      </w:pPr>
      <w:rPr>
        <w:rFonts w:hint="default"/>
      </w:rPr>
    </w:lvl>
    <w:lvl w:ilvl="3">
      <w:start w:val="1"/>
      <w:numFmt w:val="decimal"/>
      <w:lvlText w:val="%4."/>
      <w:lvlJc w:val="left"/>
      <w:pPr>
        <w:tabs>
          <w:tab w:val="num" w:pos="2804"/>
        </w:tabs>
        <w:ind w:left="2804" w:hanging="360"/>
      </w:pPr>
      <w:rPr>
        <w:rFonts w:hint="default"/>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65" w15:restartNumberingAfterBreak="0">
    <w:nsid w:val="7BD314F6"/>
    <w:multiLevelType w:val="multilevel"/>
    <w:tmpl w:val="6F1CFFF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7E1F2D57"/>
    <w:multiLevelType w:val="hybridMultilevel"/>
    <w:tmpl w:val="2728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6F374F"/>
    <w:multiLevelType w:val="multilevel"/>
    <w:tmpl w:val="12B86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2"/>
  </w:num>
  <w:num w:numId="3">
    <w:abstractNumId w:val="56"/>
  </w:num>
  <w:num w:numId="4">
    <w:abstractNumId w:val="11"/>
  </w:num>
  <w:num w:numId="5">
    <w:abstractNumId w:val="61"/>
  </w:num>
  <w:num w:numId="6">
    <w:abstractNumId w:val="63"/>
  </w:num>
  <w:num w:numId="7">
    <w:abstractNumId w:val="62"/>
  </w:num>
  <w:num w:numId="8">
    <w:abstractNumId w:val="58"/>
  </w:num>
  <w:num w:numId="9">
    <w:abstractNumId w:val="43"/>
  </w:num>
  <w:num w:numId="10">
    <w:abstractNumId w:val="1"/>
  </w:num>
  <w:num w:numId="11">
    <w:abstractNumId w:val="7"/>
  </w:num>
  <w:num w:numId="12">
    <w:abstractNumId w:val="13"/>
  </w:num>
  <w:num w:numId="13">
    <w:abstractNumId w:val="39"/>
  </w:num>
  <w:num w:numId="14">
    <w:abstractNumId w:val="65"/>
  </w:num>
  <w:num w:numId="15">
    <w:abstractNumId w:val="18"/>
  </w:num>
  <w:num w:numId="16">
    <w:abstractNumId w:val="49"/>
  </w:num>
  <w:num w:numId="17">
    <w:abstractNumId w:val="57"/>
  </w:num>
  <w:num w:numId="18">
    <w:abstractNumId w:val="38"/>
  </w:num>
  <w:num w:numId="19">
    <w:abstractNumId w:val="5"/>
  </w:num>
  <w:num w:numId="20">
    <w:abstractNumId w:val="31"/>
  </w:num>
  <w:num w:numId="21">
    <w:abstractNumId w:val="53"/>
  </w:num>
  <w:num w:numId="22">
    <w:abstractNumId w:val="64"/>
  </w:num>
  <w:num w:numId="23">
    <w:abstractNumId w:val="28"/>
  </w:num>
  <w:num w:numId="24">
    <w:abstractNumId w:val="46"/>
  </w:num>
  <w:num w:numId="25">
    <w:abstractNumId w:val="40"/>
  </w:num>
  <w:num w:numId="26">
    <w:abstractNumId w:val="42"/>
  </w:num>
  <w:num w:numId="27">
    <w:abstractNumId w:val="45"/>
  </w:num>
  <w:num w:numId="28">
    <w:abstractNumId w:val="2"/>
  </w:num>
  <w:num w:numId="29">
    <w:abstractNumId w:val="47"/>
  </w:num>
  <w:num w:numId="30">
    <w:abstractNumId w:val="48"/>
  </w:num>
  <w:num w:numId="31">
    <w:abstractNumId w:val="54"/>
  </w:num>
  <w:num w:numId="32">
    <w:abstractNumId w:val="14"/>
  </w:num>
  <w:num w:numId="33">
    <w:abstractNumId w:val="37"/>
  </w:num>
  <w:num w:numId="34">
    <w:abstractNumId w:val="8"/>
  </w:num>
  <w:num w:numId="35">
    <w:abstractNumId w:val="26"/>
  </w:num>
  <w:num w:numId="36">
    <w:abstractNumId w:val="27"/>
  </w:num>
  <w:num w:numId="37">
    <w:abstractNumId w:val="6"/>
  </w:num>
  <w:num w:numId="38">
    <w:abstractNumId w:val="55"/>
  </w:num>
  <w:num w:numId="39">
    <w:abstractNumId w:val="21"/>
  </w:num>
  <w:num w:numId="40">
    <w:abstractNumId w:val="60"/>
  </w:num>
  <w:num w:numId="41">
    <w:abstractNumId w:val="66"/>
  </w:num>
  <w:num w:numId="42">
    <w:abstractNumId w:val="25"/>
  </w:num>
  <w:num w:numId="43">
    <w:abstractNumId w:val="12"/>
  </w:num>
  <w:num w:numId="44">
    <w:abstractNumId w:val="67"/>
  </w:num>
  <w:num w:numId="45">
    <w:abstractNumId w:val="52"/>
  </w:num>
  <w:num w:numId="46">
    <w:abstractNumId w:val="9"/>
  </w:num>
  <w:num w:numId="47">
    <w:abstractNumId w:val="3"/>
  </w:num>
  <w:num w:numId="48">
    <w:abstractNumId w:val="59"/>
  </w:num>
  <w:num w:numId="49">
    <w:abstractNumId w:val="36"/>
  </w:num>
  <w:num w:numId="50">
    <w:abstractNumId w:val="17"/>
  </w:num>
  <w:num w:numId="51">
    <w:abstractNumId w:val="29"/>
  </w:num>
  <w:num w:numId="52">
    <w:abstractNumId w:val="32"/>
  </w:num>
  <w:num w:numId="53">
    <w:abstractNumId w:val="16"/>
  </w:num>
  <w:num w:numId="54">
    <w:abstractNumId w:val="30"/>
  </w:num>
  <w:num w:numId="55">
    <w:abstractNumId w:val="41"/>
  </w:num>
  <w:num w:numId="56">
    <w:abstractNumId w:val="0"/>
  </w:num>
  <w:num w:numId="57">
    <w:abstractNumId w:val="20"/>
  </w:num>
  <w:num w:numId="58">
    <w:abstractNumId w:val="23"/>
  </w:num>
  <w:num w:numId="59">
    <w:abstractNumId w:val="35"/>
  </w:num>
  <w:num w:numId="60">
    <w:abstractNumId w:val="33"/>
  </w:num>
  <w:num w:numId="61">
    <w:abstractNumId w:val="44"/>
  </w:num>
  <w:num w:numId="62">
    <w:abstractNumId w:val="50"/>
  </w:num>
  <w:num w:numId="63">
    <w:abstractNumId w:val="24"/>
  </w:num>
  <w:num w:numId="64">
    <w:abstractNumId w:val="15"/>
  </w:num>
  <w:num w:numId="65">
    <w:abstractNumId w:val="51"/>
  </w:num>
  <w:num w:numId="66">
    <w:abstractNumId w:val="10"/>
  </w:num>
  <w:num w:numId="67">
    <w:abstractNumId w:val="34"/>
  </w:num>
  <w:num w:numId="68">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nforcement="0"/>
  <w:autoFormatOverride/>
  <w:styleLockTheme/>
  <w:styleLockQFSet/>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FB44FE"/>
    <w:rsid w:val="000002C1"/>
    <w:rsid w:val="000033EC"/>
    <w:rsid w:val="00003DA7"/>
    <w:rsid w:val="0000481C"/>
    <w:rsid w:val="00005467"/>
    <w:rsid w:val="000060C8"/>
    <w:rsid w:val="00010074"/>
    <w:rsid w:val="00011501"/>
    <w:rsid w:val="000125EA"/>
    <w:rsid w:val="000126B5"/>
    <w:rsid w:val="00014674"/>
    <w:rsid w:val="0001602E"/>
    <w:rsid w:val="000170DC"/>
    <w:rsid w:val="000174FA"/>
    <w:rsid w:val="000218F7"/>
    <w:rsid w:val="00022815"/>
    <w:rsid w:val="00022CCB"/>
    <w:rsid w:val="00022DD7"/>
    <w:rsid w:val="0002353B"/>
    <w:rsid w:val="00024B87"/>
    <w:rsid w:val="00026947"/>
    <w:rsid w:val="0003344B"/>
    <w:rsid w:val="0003350F"/>
    <w:rsid w:val="0003586D"/>
    <w:rsid w:val="000372EC"/>
    <w:rsid w:val="00042FA6"/>
    <w:rsid w:val="00044463"/>
    <w:rsid w:val="00044843"/>
    <w:rsid w:val="00045EBA"/>
    <w:rsid w:val="00046095"/>
    <w:rsid w:val="00046CA5"/>
    <w:rsid w:val="00047625"/>
    <w:rsid w:val="00047CA9"/>
    <w:rsid w:val="00050381"/>
    <w:rsid w:val="00051030"/>
    <w:rsid w:val="000511A3"/>
    <w:rsid w:val="00051332"/>
    <w:rsid w:val="00051666"/>
    <w:rsid w:val="00053FB0"/>
    <w:rsid w:val="000551C6"/>
    <w:rsid w:val="00057A2E"/>
    <w:rsid w:val="00060260"/>
    <w:rsid w:val="000602BB"/>
    <w:rsid w:val="00061BCE"/>
    <w:rsid w:val="00061FEF"/>
    <w:rsid w:val="00062D3B"/>
    <w:rsid w:val="00063DFE"/>
    <w:rsid w:val="00063F18"/>
    <w:rsid w:val="00064AD4"/>
    <w:rsid w:val="000657DC"/>
    <w:rsid w:val="000669B9"/>
    <w:rsid w:val="000677C1"/>
    <w:rsid w:val="000726C6"/>
    <w:rsid w:val="0007453E"/>
    <w:rsid w:val="0007687F"/>
    <w:rsid w:val="00080941"/>
    <w:rsid w:val="000817F7"/>
    <w:rsid w:val="00085760"/>
    <w:rsid w:val="0008758F"/>
    <w:rsid w:val="000908C0"/>
    <w:rsid w:val="00092393"/>
    <w:rsid w:val="000928CE"/>
    <w:rsid w:val="00092A88"/>
    <w:rsid w:val="00093930"/>
    <w:rsid w:val="00094482"/>
    <w:rsid w:val="000944DC"/>
    <w:rsid w:val="00095843"/>
    <w:rsid w:val="00095931"/>
    <w:rsid w:val="000A030C"/>
    <w:rsid w:val="000A055A"/>
    <w:rsid w:val="000A57F5"/>
    <w:rsid w:val="000A66D4"/>
    <w:rsid w:val="000A6911"/>
    <w:rsid w:val="000A7D26"/>
    <w:rsid w:val="000B0B59"/>
    <w:rsid w:val="000B169C"/>
    <w:rsid w:val="000B1DEA"/>
    <w:rsid w:val="000B266F"/>
    <w:rsid w:val="000B4910"/>
    <w:rsid w:val="000B4EAC"/>
    <w:rsid w:val="000B5CE0"/>
    <w:rsid w:val="000B648C"/>
    <w:rsid w:val="000B79C2"/>
    <w:rsid w:val="000B7E77"/>
    <w:rsid w:val="000B7F59"/>
    <w:rsid w:val="000C4CCB"/>
    <w:rsid w:val="000C5332"/>
    <w:rsid w:val="000C64E0"/>
    <w:rsid w:val="000C7F2B"/>
    <w:rsid w:val="000C7F79"/>
    <w:rsid w:val="000D05A3"/>
    <w:rsid w:val="000D0AAE"/>
    <w:rsid w:val="000D1E77"/>
    <w:rsid w:val="000D20EE"/>
    <w:rsid w:val="000D3150"/>
    <w:rsid w:val="000D62EF"/>
    <w:rsid w:val="000D7620"/>
    <w:rsid w:val="000D79AF"/>
    <w:rsid w:val="000E01D1"/>
    <w:rsid w:val="000E1C73"/>
    <w:rsid w:val="000E274D"/>
    <w:rsid w:val="000E3FAD"/>
    <w:rsid w:val="000E42AC"/>
    <w:rsid w:val="000E446F"/>
    <w:rsid w:val="000E505D"/>
    <w:rsid w:val="000E63DC"/>
    <w:rsid w:val="000E6883"/>
    <w:rsid w:val="000F0E3C"/>
    <w:rsid w:val="000F75A8"/>
    <w:rsid w:val="0010399B"/>
    <w:rsid w:val="001040CF"/>
    <w:rsid w:val="00105988"/>
    <w:rsid w:val="001061EC"/>
    <w:rsid w:val="001063A8"/>
    <w:rsid w:val="001066F4"/>
    <w:rsid w:val="001142F9"/>
    <w:rsid w:val="0011473A"/>
    <w:rsid w:val="001161A9"/>
    <w:rsid w:val="00116F22"/>
    <w:rsid w:val="00120FF0"/>
    <w:rsid w:val="001214B9"/>
    <w:rsid w:val="00121894"/>
    <w:rsid w:val="00121F6B"/>
    <w:rsid w:val="00122CCD"/>
    <w:rsid w:val="001237AB"/>
    <w:rsid w:val="0012406E"/>
    <w:rsid w:val="0012468F"/>
    <w:rsid w:val="00125F18"/>
    <w:rsid w:val="00131FA4"/>
    <w:rsid w:val="00134B4F"/>
    <w:rsid w:val="001350A5"/>
    <w:rsid w:val="00135506"/>
    <w:rsid w:val="0013607F"/>
    <w:rsid w:val="00136EA5"/>
    <w:rsid w:val="001403F2"/>
    <w:rsid w:val="00140BC7"/>
    <w:rsid w:val="0014165A"/>
    <w:rsid w:val="001429D4"/>
    <w:rsid w:val="00142C2F"/>
    <w:rsid w:val="001441ED"/>
    <w:rsid w:val="001467F2"/>
    <w:rsid w:val="00150EA2"/>
    <w:rsid w:val="00151B49"/>
    <w:rsid w:val="00152D71"/>
    <w:rsid w:val="0015327C"/>
    <w:rsid w:val="00153350"/>
    <w:rsid w:val="00153567"/>
    <w:rsid w:val="00153A3C"/>
    <w:rsid w:val="001555D8"/>
    <w:rsid w:val="0015577E"/>
    <w:rsid w:val="00155E9E"/>
    <w:rsid w:val="001567BE"/>
    <w:rsid w:val="00156DD5"/>
    <w:rsid w:val="00157890"/>
    <w:rsid w:val="001606B7"/>
    <w:rsid w:val="00161CE9"/>
    <w:rsid w:val="0016592A"/>
    <w:rsid w:val="00166314"/>
    <w:rsid w:val="00166817"/>
    <w:rsid w:val="001676D3"/>
    <w:rsid w:val="00167861"/>
    <w:rsid w:val="0017098D"/>
    <w:rsid w:val="0017111D"/>
    <w:rsid w:val="00171A53"/>
    <w:rsid w:val="0017556E"/>
    <w:rsid w:val="00180143"/>
    <w:rsid w:val="00182AB5"/>
    <w:rsid w:val="0018410A"/>
    <w:rsid w:val="00185185"/>
    <w:rsid w:val="00187FE4"/>
    <w:rsid w:val="00190D18"/>
    <w:rsid w:val="00192872"/>
    <w:rsid w:val="0019291A"/>
    <w:rsid w:val="001941C8"/>
    <w:rsid w:val="0019541A"/>
    <w:rsid w:val="001954FE"/>
    <w:rsid w:val="00195815"/>
    <w:rsid w:val="00195F89"/>
    <w:rsid w:val="00197978"/>
    <w:rsid w:val="001A1383"/>
    <w:rsid w:val="001A4625"/>
    <w:rsid w:val="001A58DA"/>
    <w:rsid w:val="001A646E"/>
    <w:rsid w:val="001A7750"/>
    <w:rsid w:val="001B1BF6"/>
    <w:rsid w:val="001B20C5"/>
    <w:rsid w:val="001B2204"/>
    <w:rsid w:val="001B2EFB"/>
    <w:rsid w:val="001B2FA0"/>
    <w:rsid w:val="001B336D"/>
    <w:rsid w:val="001B49E4"/>
    <w:rsid w:val="001B4A3B"/>
    <w:rsid w:val="001B4D51"/>
    <w:rsid w:val="001C1FB0"/>
    <w:rsid w:val="001C20BF"/>
    <w:rsid w:val="001C2809"/>
    <w:rsid w:val="001C3961"/>
    <w:rsid w:val="001C3A29"/>
    <w:rsid w:val="001C3ABD"/>
    <w:rsid w:val="001C3DA0"/>
    <w:rsid w:val="001C6023"/>
    <w:rsid w:val="001C6914"/>
    <w:rsid w:val="001C767C"/>
    <w:rsid w:val="001C7E85"/>
    <w:rsid w:val="001D00DB"/>
    <w:rsid w:val="001D23A8"/>
    <w:rsid w:val="001D282F"/>
    <w:rsid w:val="001D2B71"/>
    <w:rsid w:val="001D2F42"/>
    <w:rsid w:val="001D47B7"/>
    <w:rsid w:val="001D4845"/>
    <w:rsid w:val="001D486C"/>
    <w:rsid w:val="001D51B2"/>
    <w:rsid w:val="001E11EE"/>
    <w:rsid w:val="001F0826"/>
    <w:rsid w:val="001F276E"/>
    <w:rsid w:val="001F372D"/>
    <w:rsid w:val="001F629B"/>
    <w:rsid w:val="001F67B6"/>
    <w:rsid w:val="001F73C1"/>
    <w:rsid w:val="001F78C0"/>
    <w:rsid w:val="001F7DCA"/>
    <w:rsid w:val="00200845"/>
    <w:rsid w:val="002019ED"/>
    <w:rsid w:val="00203645"/>
    <w:rsid w:val="00203C4D"/>
    <w:rsid w:val="00204B1E"/>
    <w:rsid w:val="00204C34"/>
    <w:rsid w:val="00207057"/>
    <w:rsid w:val="00213C1A"/>
    <w:rsid w:val="00215A0B"/>
    <w:rsid w:val="0021663A"/>
    <w:rsid w:val="002176F9"/>
    <w:rsid w:val="002208E7"/>
    <w:rsid w:val="00221BD2"/>
    <w:rsid w:val="00225239"/>
    <w:rsid w:val="002324C4"/>
    <w:rsid w:val="00232FE4"/>
    <w:rsid w:val="00234A3C"/>
    <w:rsid w:val="0023575F"/>
    <w:rsid w:val="00236C45"/>
    <w:rsid w:val="00236DA5"/>
    <w:rsid w:val="00237F43"/>
    <w:rsid w:val="00240291"/>
    <w:rsid w:val="002404DB"/>
    <w:rsid w:val="00240FC4"/>
    <w:rsid w:val="00242DD4"/>
    <w:rsid w:val="00244323"/>
    <w:rsid w:val="0024448F"/>
    <w:rsid w:val="002470A4"/>
    <w:rsid w:val="00247857"/>
    <w:rsid w:val="00250503"/>
    <w:rsid w:val="00251AEC"/>
    <w:rsid w:val="00252EEA"/>
    <w:rsid w:val="0025432E"/>
    <w:rsid w:val="0025471B"/>
    <w:rsid w:val="00254826"/>
    <w:rsid w:val="002568FB"/>
    <w:rsid w:val="002579CC"/>
    <w:rsid w:val="002634C6"/>
    <w:rsid w:val="00265109"/>
    <w:rsid w:val="00265DBA"/>
    <w:rsid w:val="002661EF"/>
    <w:rsid w:val="00266683"/>
    <w:rsid w:val="00267A84"/>
    <w:rsid w:val="00270CBF"/>
    <w:rsid w:val="0027594E"/>
    <w:rsid w:val="0027716E"/>
    <w:rsid w:val="0027732A"/>
    <w:rsid w:val="0027769D"/>
    <w:rsid w:val="00277C1A"/>
    <w:rsid w:val="0028190E"/>
    <w:rsid w:val="00283FC3"/>
    <w:rsid w:val="0028642F"/>
    <w:rsid w:val="00286D3C"/>
    <w:rsid w:val="00286E30"/>
    <w:rsid w:val="00290521"/>
    <w:rsid w:val="00290571"/>
    <w:rsid w:val="00290956"/>
    <w:rsid w:val="00291B59"/>
    <w:rsid w:val="00292E62"/>
    <w:rsid w:val="00293257"/>
    <w:rsid w:val="0029381E"/>
    <w:rsid w:val="00293AEB"/>
    <w:rsid w:val="002976BF"/>
    <w:rsid w:val="0029775E"/>
    <w:rsid w:val="002978B9"/>
    <w:rsid w:val="002A160C"/>
    <w:rsid w:val="002A233B"/>
    <w:rsid w:val="002A452B"/>
    <w:rsid w:val="002A5100"/>
    <w:rsid w:val="002B0A37"/>
    <w:rsid w:val="002B1D8B"/>
    <w:rsid w:val="002B4CA5"/>
    <w:rsid w:val="002B5246"/>
    <w:rsid w:val="002B5843"/>
    <w:rsid w:val="002B6C08"/>
    <w:rsid w:val="002B74A6"/>
    <w:rsid w:val="002C04EA"/>
    <w:rsid w:val="002C30BA"/>
    <w:rsid w:val="002C335B"/>
    <w:rsid w:val="002C3A88"/>
    <w:rsid w:val="002C3DD3"/>
    <w:rsid w:val="002C7AF6"/>
    <w:rsid w:val="002D05B9"/>
    <w:rsid w:val="002D26AA"/>
    <w:rsid w:val="002D5DCD"/>
    <w:rsid w:val="002D6BE0"/>
    <w:rsid w:val="002D7799"/>
    <w:rsid w:val="002D7E70"/>
    <w:rsid w:val="002E19F5"/>
    <w:rsid w:val="002E44B9"/>
    <w:rsid w:val="002E68E8"/>
    <w:rsid w:val="002E74FB"/>
    <w:rsid w:val="002F06FC"/>
    <w:rsid w:val="002F3155"/>
    <w:rsid w:val="002F3586"/>
    <w:rsid w:val="002F4DC9"/>
    <w:rsid w:val="002F5239"/>
    <w:rsid w:val="00301725"/>
    <w:rsid w:val="00301755"/>
    <w:rsid w:val="00302454"/>
    <w:rsid w:val="00302465"/>
    <w:rsid w:val="003027C5"/>
    <w:rsid w:val="00302A6F"/>
    <w:rsid w:val="00303958"/>
    <w:rsid w:val="00306098"/>
    <w:rsid w:val="003071B7"/>
    <w:rsid w:val="003076D4"/>
    <w:rsid w:val="00307DB0"/>
    <w:rsid w:val="00311A3B"/>
    <w:rsid w:val="00315F05"/>
    <w:rsid w:val="00316773"/>
    <w:rsid w:val="00317240"/>
    <w:rsid w:val="003222C9"/>
    <w:rsid w:val="00322FB6"/>
    <w:rsid w:val="003258F9"/>
    <w:rsid w:val="00326744"/>
    <w:rsid w:val="003273A9"/>
    <w:rsid w:val="0032799E"/>
    <w:rsid w:val="0033047B"/>
    <w:rsid w:val="00330720"/>
    <w:rsid w:val="00330EEF"/>
    <w:rsid w:val="00331893"/>
    <w:rsid w:val="0033555F"/>
    <w:rsid w:val="0033610B"/>
    <w:rsid w:val="00337D06"/>
    <w:rsid w:val="00337E27"/>
    <w:rsid w:val="00340332"/>
    <w:rsid w:val="00342FA2"/>
    <w:rsid w:val="00344220"/>
    <w:rsid w:val="00346A52"/>
    <w:rsid w:val="00347DB1"/>
    <w:rsid w:val="00356EA8"/>
    <w:rsid w:val="00360967"/>
    <w:rsid w:val="00362CC3"/>
    <w:rsid w:val="00363BD6"/>
    <w:rsid w:val="003669D9"/>
    <w:rsid w:val="00366E34"/>
    <w:rsid w:val="0037034A"/>
    <w:rsid w:val="00370B5E"/>
    <w:rsid w:val="00373B58"/>
    <w:rsid w:val="00377664"/>
    <w:rsid w:val="00383DE2"/>
    <w:rsid w:val="00384139"/>
    <w:rsid w:val="003848EF"/>
    <w:rsid w:val="00385232"/>
    <w:rsid w:val="00386091"/>
    <w:rsid w:val="00387FFC"/>
    <w:rsid w:val="00390FA6"/>
    <w:rsid w:val="003918D8"/>
    <w:rsid w:val="00395B08"/>
    <w:rsid w:val="00396982"/>
    <w:rsid w:val="00397F8F"/>
    <w:rsid w:val="003A023F"/>
    <w:rsid w:val="003A180C"/>
    <w:rsid w:val="003A18DD"/>
    <w:rsid w:val="003A34BE"/>
    <w:rsid w:val="003A4B5C"/>
    <w:rsid w:val="003A59CB"/>
    <w:rsid w:val="003A5F1A"/>
    <w:rsid w:val="003B0AF6"/>
    <w:rsid w:val="003B1741"/>
    <w:rsid w:val="003B28F5"/>
    <w:rsid w:val="003B2C32"/>
    <w:rsid w:val="003B5440"/>
    <w:rsid w:val="003B5E6A"/>
    <w:rsid w:val="003B6C04"/>
    <w:rsid w:val="003C0954"/>
    <w:rsid w:val="003C0D1C"/>
    <w:rsid w:val="003C171E"/>
    <w:rsid w:val="003C1B2F"/>
    <w:rsid w:val="003C66FF"/>
    <w:rsid w:val="003C67FE"/>
    <w:rsid w:val="003C756D"/>
    <w:rsid w:val="003C7633"/>
    <w:rsid w:val="003D0A80"/>
    <w:rsid w:val="003D1761"/>
    <w:rsid w:val="003D6C69"/>
    <w:rsid w:val="003D7EC0"/>
    <w:rsid w:val="003E1A6A"/>
    <w:rsid w:val="003F306E"/>
    <w:rsid w:val="003F3E1E"/>
    <w:rsid w:val="003F4BEC"/>
    <w:rsid w:val="003F6DA0"/>
    <w:rsid w:val="003F7224"/>
    <w:rsid w:val="00402620"/>
    <w:rsid w:val="0040467F"/>
    <w:rsid w:val="0040474A"/>
    <w:rsid w:val="00404C44"/>
    <w:rsid w:val="00404CB8"/>
    <w:rsid w:val="00406078"/>
    <w:rsid w:val="00406BBC"/>
    <w:rsid w:val="00410E83"/>
    <w:rsid w:val="00410EAE"/>
    <w:rsid w:val="0041308D"/>
    <w:rsid w:val="00413D86"/>
    <w:rsid w:val="00413E81"/>
    <w:rsid w:val="00415C08"/>
    <w:rsid w:val="00415F20"/>
    <w:rsid w:val="00416331"/>
    <w:rsid w:val="0041638B"/>
    <w:rsid w:val="00416BDB"/>
    <w:rsid w:val="00416EC9"/>
    <w:rsid w:val="00416F38"/>
    <w:rsid w:val="00417464"/>
    <w:rsid w:val="004174CC"/>
    <w:rsid w:val="004175FC"/>
    <w:rsid w:val="00417FF0"/>
    <w:rsid w:val="004205B6"/>
    <w:rsid w:val="004208BA"/>
    <w:rsid w:val="00421C35"/>
    <w:rsid w:val="004225DC"/>
    <w:rsid w:val="00423D2D"/>
    <w:rsid w:val="004254AA"/>
    <w:rsid w:val="004254C6"/>
    <w:rsid w:val="0043196F"/>
    <w:rsid w:val="004319E2"/>
    <w:rsid w:val="004322FD"/>
    <w:rsid w:val="00432EDC"/>
    <w:rsid w:val="004336C3"/>
    <w:rsid w:val="00434167"/>
    <w:rsid w:val="0043453D"/>
    <w:rsid w:val="00435216"/>
    <w:rsid w:val="00435FC8"/>
    <w:rsid w:val="0043767C"/>
    <w:rsid w:val="00440BED"/>
    <w:rsid w:val="004418FF"/>
    <w:rsid w:val="00441D1E"/>
    <w:rsid w:val="00443B45"/>
    <w:rsid w:val="00444591"/>
    <w:rsid w:val="00444BE2"/>
    <w:rsid w:val="00444E8D"/>
    <w:rsid w:val="00447E15"/>
    <w:rsid w:val="00452AD3"/>
    <w:rsid w:val="0045338F"/>
    <w:rsid w:val="00454345"/>
    <w:rsid w:val="00456ADB"/>
    <w:rsid w:val="00457358"/>
    <w:rsid w:val="00457AC1"/>
    <w:rsid w:val="004607C4"/>
    <w:rsid w:val="0046082C"/>
    <w:rsid w:val="00463CD5"/>
    <w:rsid w:val="0046722A"/>
    <w:rsid w:val="0046750A"/>
    <w:rsid w:val="0047032D"/>
    <w:rsid w:val="00470AFB"/>
    <w:rsid w:val="004716D4"/>
    <w:rsid w:val="00471A7E"/>
    <w:rsid w:val="00471E78"/>
    <w:rsid w:val="00473933"/>
    <w:rsid w:val="0047409B"/>
    <w:rsid w:val="00477C2F"/>
    <w:rsid w:val="00480D3B"/>
    <w:rsid w:val="004812B1"/>
    <w:rsid w:val="004815EF"/>
    <w:rsid w:val="00481C69"/>
    <w:rsid w:val="00482CC6"/>
    <w:rsid w:val="00482D16"/>
    <w:rsid w:val="00483517"/>
    <w:rsid w:val="004839EF"/>
    <w:rsid w:val="00483B6F"/>
    <w:rsid w:val="00484CC8"/>
    <w:rsid w:val="00485AAF"/>
    <w:rsid w:val="0048711C"/>
    <w:rsid w:val="00490625"/>
    <w:rsid w:val="004906A1"/>
    <w:rsid w:val="00491D3E"/>
    <w:rsid w:val="004928A5"/>
    <w:rsid w:val="00493AE8"/>
    <w:rsid w:val="004958CB"/>
    <w:rsid w:val="00495C4F"/>
    <w:rsid w:val="004979AF"/>
    <w:rsid w:val="00497E23"/>
    <w:rsid w:val="004A14FE"/>
    <w:rsid w:val="004A203D"/>
    <w:rsid w:val="004A72F6"/>
    <w:rsid w:val="004B2864"/>
    <w:rsid w:val="004B30A7"/>
    <w:rsid w:val="004B3198"/>
    <w:rsid w:val="004B4832"/>
    <w:rsid w:val="004B5BCD"/>
    <w:rsid w:val="004B72D3"/>
    <w:rsid w:val="004C0048"/>
    <w:rsid w:val="004C3122"/>
    <w:rsid w:val="004C3A99"/>
    <w:rsid w:val="004C4397"/>
    <w:rsid w:val="004C6B12"/>
    <w:rsid w:val="004C6DBF"/>
    <w:rsid w:val="004C74D3"/>
    <w:rsid w:val="004D0135"/>
    <w:rsid w:val="004D11E5"/>
    <w:rsid w:val="004D3195"/>
    <w:rsid w:val="004D4FB8"/>
    <w:rsid w:val="004D658A"/>
    <w:rsid w:val="004D67A4"/>
    <w:rsid w:val="004D6928"/>
    <w:rsid w:val="004D6ACB"/>
    <w:rsid w:val="004D6EBB"/>
    <w:rsid w:val="004E202E"/>
    <w:rsid w:val="004E2CCA"/>
    <w:rsid w:val="004E3375"/>
    <w:rsid w:val="004E3D2E"/>
    <w:rsid w:val="004E5630"/>
    <w:rsid w:val="004F0CB9"/>
    <w:rsid w:val="004F70D5"/>
    <w:rsid w:val="0050116E"/>
    <w:rsid w:val="00502847"/>
    <w:rsid w:val="0050289B"/>
    <w:rsid w:val="0050494B"/>
    <w:rsid w:val="0050760E"/>
    <w:rsid w:val="00507B8A"/>
    <w:rsid w:val="00513C5E"/>
    <w:rsid w:val="0051410E"/>
    <w:rsid w:val="00514899"/>
    <w:rsid w:val="00514C08"/>
    <w:rsid w:val="00515E84"/>
    <w:rsid w:val="00516250"/>
    <w:rsid w:val="00516870"/>
    <w:rsid w:val="00516A24"/>
    <w:rsid w:val="00521B21"/>
    <w:rsid w:val="0052585D"/>
    <w:rsid w:val="0052678D"/>
    <w:rsid w:val="00526FB2"/>
    <w:rsid w:val="00527D59"/>
    <w:rsid w:val="00530AC9"/>
    <w:rsid w:val="00530CFA"/>
    <w:rsid w:val="00531E21"/>
    <w:rsid w:val="0053348D"/>
    <w:rsid w:val="00535D6C"/>
    <w:rsid w:val="00535E77"/>
    <w:rsid w:val="00542A0D"/>
    <w:rsid w:val="005454D9"/>
    <w:rsid w:val="0054707D"/>
    <w:rsid w:val="00547902"/>
    <w:rsid w:val="00550AB0"/>
    <w:rsid w:val="00554951"/>
    <w:rsid w:val="0055580E"/>
    <w:rsid w:val="0055700F"/>
    <w:rsid w:val="005610FB"/>
    <w:rsid w:val="00561240"/>
    <w:rsid w:val="00562F64"/>
    <w:rsid w:val="005635E2"/>
    <w:rsid w:val="00563859"/>
    <w:rsid w:val="00564BF1"/>
    <w:rsid w:val="00567383"/>
    <w:rsid w:val="005719E3"/>
    <w:rsid w:val="00571B82"/>
    <w:rsid w:val="00572B21"/>
    <w:rsid w:val="0057309A"/>
    <w:rsid w:val="00573C42"/>
    <w:rsid w:val="005748B7"/>
    <w:rsid w:val="00576917"/>
    <w:rsid w:val="00576B0F"/>
    <w:rsid w:val="00577C16"/>
    <w:rsid w:val="00581BD5"/>
    <w:rsid w:val="00584E9E"/>
    <w:rsid w:val="00584F16"/>
    <w:rsid w:val="005874FF"/>
    <w:rsid w:val="00587EE8"/>
    <w:rsid w:val="0058B8E4"/>
    <w:rsid w:val="0059154E"/>
    <w:rsid w:val="00593300"/>
    <w:rsid w:val="00593327"/>
    <w:rsid w:val="005935E1"/>
    <w:rsid w:val="005942DF"/>
    <w:rsid w:val="00596017"/>
    <w:rsid w:val="00597090"/>
    <w:rsid w:val="00597ABD"/>
    <w:rsid w:val="00597D7A"/>
    <w:rsid w:val="005A0E18"/>
    <w:rsid w:val="005A1CC8"/>
    <w:rsid w:val="005A3CFC"/>
    <w:rsid w:val="005A5196"/>
    <w:rsid w:val="005A6055"/>
    <w:rsid w:val="005A7958"/>
    <w:rsid w:val="005B617D"/>
    <w:rsid w:val="005B7103"/>
    <w:rsid w:val="005B79E2"/>
    <w:rsid w:val="005C1464"/>
    <w:rsid w:val="005C21F0"/>
    <w:rsid w:val="005C3343"/>
    <w:rsid w:val="005C3E4F"/>
    <w:rsid w:val="005C5532"/>
    <w:rsid w:val="005C5AC5"/>
    <w:rsid w:val="005C600F"/>
    <w:rsid w:val="005C6077"/>
    <w:rsid w:val="005C71C2"/>
    <w:rsid w:val="005D2DEC"/>
    <w:rsid w:val="005D5ED0"/>
    <w:rsid w:val="005D7988"/>
    <w:rsid w:val="005D7F6D"/>
    <w:rsid w:val="005E0304"/>
    <w:rsid w:val="005E1D90"/>
    <w:rsid w:val="005E7996"/>
    <w:rsid w:val="005F01B1"/>
    <w:rsid w:val="005F1C2E"/>
    <w:rsid w:val="005F2C1B"/>
    <w:rsid w:val="005F3ABB"/>
    <w:rsid w:val="005F41EB"/>
    <w:rsid w:val="00600648"/>
    <w:rsid w:val="00600F71"/>
    <w:rsid w:val="0060289D"/>
    <w:rsid w:val="00604D99"/>
    <w:rsid w:val="006064AA"/>
    <w:rsid w:val="00606A12"/>
    <w:rsid w:val="00610115"/>
    <w:rsid w:val="00610346"/>
    <w:rsid w:val="0061086B"/>
    <w:rsid w:val="00610A0F"/>
    <w:rsid w:val="00610A42"/>
    <w:rsid w:val="00613960"/>
    <w:rsid w:val="00617A23"/>
    <w:rsid w:val="0062048E"/>
    <w:rsid w:val="0062081F"/>
    <w:rsid w:val="0062382D"/>
    <w:rsid w:val="00627C82"/>
    <w:rsid w:val="0063092E"/>
    <w:rsid w:val="00632190"/>
    <w:rsid w:val="00632256"/>
    <w:rsid w:val="0063262E"/>
    <w:rsid w:val="00634043"/>
    <w:rsid w:val="00634EB2"/>
    <w:rsid w:val="00637898"/>
    <w:rsid w:val="0064121D"/>
    <w:rsid w:val="006444BA"/>
    <w:rsid w:val="00644A79"/>
    <w:rsid w:val="00644E27"/>
    <w:rsid w:val="00645A68"/>
    <w:rsid w:val="0064694E"/>
    <w:rsid w:val="00651270"/>
    <w:rsid w:val="00651334"/>
    <w:rsid w:val="0065242F"/>
    <w:rsid w:val="006531FF"/>
    <w:rsid w:val="006548F5"/>
    <w:rsid w:val="0065604B"/>
    <w:rsid w:val="00656F4A"/>
    <w:rsid w:val="0066012C"/>
    <w:rsid w:val="00660140"/>
    <w:rsid w:val="0066254F"/>
    <w:rsid w:val="00662A99"/>
    <w:rsid w:val="00662D03"/>
    <w:rsid w:val="0066524F"/>
    <w:rsid w:val="00670AA9"/>
    <w:rsid w:val="00671136"/>
    <w:rsid w:val="00671328"/>
    <w:rsid w:val="00671491"/>
    <w:rsid w:val="00671D56"/>
    <w:rsid w:val="00673F4D"/>
    <w:rsid w:val="0067515E"/>
    <w:rsid w:val="006778B0"/>
    <w:rsid w:val="00680074"/>
    <w:rsid w:val="006823E4"/>
    <w:rsid w:val="006842BB"/>
    <w:rsid w:val="00684AD3"/>
    <w:rsid w:val="00684AF6"/>
    <w:rsid w:val="0068543A"/>
    <w:rsid w:val="00686561"/>
    <w:rsid w:val="00686CB6"/>
    <w:rsid w:val="00687787"/>
    <w:rsid w:val="00687FB4"/>
    <w:rsid w:val="006901C2"/>
    <w:rsid w:val="006934CA"/>
    <w:rsid w:val="006959AC"/>
    <w:rsid w:val="0069788E"/>
    <w:rsid w:val="006A1B70"/>
    <w:rsid w:val="006A20CF"/>
    <w:rsid w:val="006A2549"/>
    <w:rsid w:val="006A4F1C"/>
    <w:rsid w:val="006A71BA"/>
    <w:rsid w:val="006A71DD"/>
    <w:rsid w:val="006B2C19"/>
    <w:rsid w:val="006B46C1"/>
    <w:rsid w:val="006B6DE4"/>
    <w:rsid w:val="006B74D3"/>
    <w:rsid w:val="006B77EB"/>
    <w:rsid w:val="006B786F"/>
    <w:rsid w:val="006B7A61"/>
    <w:rsid w:val="006C1613"/>
    <w:rsid w:val="006C3664"/>
    <w:rsid w:val="006C4BE1"/>
    <w:rsid w:val="006C4EC1"/>
    <w:rsid w:val="006C5262"/>
    <w:rsid w:val="006D3F88"/>
    <w:rsid w:val="006D471F"/>
    <w:rsid w:val="006D70B9"/>
    <w:rsid w:val="006D70C9"/>
    <w:rsid w:val="006E3F9A"/>
    <w:rsid w:val="006E4C41"/>
    <w:rsid w:val="006E4C9A"/>
    <w:rsid w:val="006E5035"/>
    <w:rsid w:val="006E640F"/>
    <w:rsid w:val="006F05ED"/>
    <w:rsid w:val="006F2E78"/>
    <w:rsid w:val="006F3513"/>
    <w:rsid w:val="006F61E0"/>
    <w:rsid w:val="006F6CF5"/>
    <w:rsid w:val="007008F0"/>
    <w:rsid w:val="00701A12"/>
    <w:rsid w:val="0070375C"/>
    <w:rsid w:val="00704214"/>
    <w:rsid w:val="00706723"/>
    <w:rsid w:val="0070699E"/>
    <w:rsid w:val="007077DC"/>
    <w:rsid w:val="00710F6C"/>
    <w:rsid w:val="0071161E"/>
    <w:rsid w:val="007127C8"/>
    <w:rsid w:val="00712E72"/>
    <w:rsid w:val="00713204"/>
    <w:rsid w:val="00713966"/>
    <w:rsid w:val="00715566"/>
    <w:rsid w:val="00715DE0"/>
    <w:rsid w:val="00721244"/>
    <w:rsid w:val="00721D15"/>
    <w:rsid w:val="007242BA"/>
    <w:rsid w:val="00724669"/>
    <w:rsid w:val="00725601"/>
    <w:rsid w:val="00727B1F"/>
    <w:rsid w:val="007309CB"/>
    <w:rsid w:val="00731560"/>
    <w:rsid w:val="00732CCA"/>
    <w:rsid w:val="0073311B"/>
    <w:rsid w:val="00733618"/>
    <w:rsid w:val="0073380B"/>
    <w:rsid w:val="007359B7"/>
    <w:rsid w:val="00737348"/>
    <w:rsid w:val="007377B9"/>
    <w:rsid w:val="00742384"/>
    <w:rsid w:val="0074447C"/>
    <w:rsid w:val="00746A31"/>
    <w:rsid w:val="007470BA"/>
    <w:rsid w:val="00751213"/>
    <w:rsid w:val="00752706"/>
    <w:rsid w:val="00753CCE"/>
    <w:rsid w:val="00755B8D"/>
    <w:rsid w:val="00761BCA"/>
    <w:rsid w:val="00763704"/>
    <w:rsid w:val="00775C4E"/>
    <w:rsid w:val="00777679"/>
    <w:rsid w:val="00781569"/>
    <w:rsid w:val="00781BB3"/>
    <w:rsid w:val="0078451E"/>
    <w:rsid w:val="0078495E"/>
    <w:rsid w:val="00785A02"/>
    <w:rsid w:val="00787B57"/>
    <w:rsid w:val="00790FE0"/>
    <w:rsid w:val="00791BFB"/>
    <w:rsid w:val="00793059"/>
    <w:rsid w:val="0079554F"/>
    <w:rsid w:val="00797BCF"/>
    <w:rsid w:val="007A013A"/>
    <w:rsid w:val="007A04FA"/>
    <w:rsid w:val="007A08E4"/>
    <w:rsid w:val="007A2028"/>
    <w:rsid w:val="007A35D4"/>
    <w:rsid w:val="007A4002"/>
    <w:rsid w:val="007A56BE"/>
    <w:rsid w:val="007A75BB"/>
    <w:rsid w:val="007B01A5"/>
    <w:rsid w:val="007B0A23"/>
    <w:rsid w:val="007B2356"/>
    <w:rsid w:val="007B2F10"/>
    <w:rsid w:val="007C08D7"/>
    <w:rsid w:val="007C0CE5"/>
    <w:rsid w:val="007C1F2E"/>
    <w:rsid w:val="007C2B24"/>
    <w:rsid w:val="007C3268"/>
    <w:rsid w:val="007C3902"/>
    <w:rsid w:val="007C4A07"/>
    <w:rsid w:val="007C5919"/>
    <w:rsid w:val="007C66EA"/>
    <w:rsid w:val="007C6BC7"/>
    <w:rsid w:val="007C6F61"/>
    <w:rsid w:val="007D0199"/>
    <w:rsid w:val="007D1DD6"/>
    <w:rsid w:val="007D6380"/>
    <w:rsid w:val="007D7EF5"/>
    <w:rsid w:val="007E17C8"/>
    <w:rsid w:val="007E1F82"/>
    <w:rsid w:val="007E3F35"/>
    <w:rsid w:val="007E49B9"/>
    <w:rsid w:val="007E51C5"/>
    <w:rsid w:val="007E5B42"/>
    <w:rsid w:val="007E5ECE"/>
    <w:rsid w:val="007E6F35"/>
    <w:rsid w:val="007E7878"/>
    <w:rsid w:val="007F0B24"/>
    <w:rsid w:val="007F0DE3"/>
    <w:rsid w:val="007F13EB"/>
    <w:rsid w:val="007F36A1"/>
    <w:rsid w:val="007F3869"/>
    <w:rsid w:val="007F39AA"/>
    <w:rsid w:val="007F4F72"/>
    <w:rsid w:val="007F5BFA"/>
    <w:rsid w:val="007F78E4"/>
    <w:rsid w:val="008014FD"/>
    <w:rsid w:val="00804BBA"/>
    <w:rsid w:val="008067CD"/>
    <w:rsid w:val="00807681"/>
    <w:rsid w:val="00807777"/>
    <w:rsid w:val="008079AD"/>
    <w:rsid w:val="00825F33"/>
    <w:rsid w:val="008261CC"/>
    <w:rsid w:val="00831447"/>
    <w:rsid w:val="00833A09"/>
    <w:rsid w:val="00836A02"/>
    <w:rsid w:val="00837D16"/>
    <w:rsid w:val="00841074"/>
    <w:rsid w:val="00843A0E"/>
    <w:rsid w:val="00844C44"/>
    <w:rsid w:val="00844D55"/>
    <w:rsid w:val="00844FB6"/>
    <w:rsid w:val="00845137"/>
    <w:rsid w:val="0084627F"/>
    <w:rsid w:val="00846E77"/>
    <w:rsid w:val="008514FA"/>
    <w:rsid w:val="00852D53"/>
    <w:rsid w:val="00853082"/>
    <w:rsid w:val="00854A25"/>
    <w:rsid w:val="00856D5E"/>
    <w:rsid w:val="0085709B"/>
    <w:rsid w:val="008601A4"/>
    <w:rsid w:val="00860964"/>
    <w:rsid w:val="00860A59"/>
    <w:rsid w:val="0086263F"/>
    <w:rsid w:val="00865035"/>
    <w:rsid w:val="00865A32"/>
    <w:rsid w:val="00866098"/>
    <w:rsid w:val="00867987"/>
    <w:rsid w:val="008726B3"/>
    <w:rsid w:val="008726B7"/>
    <w:rsid w:val="008730F9"/>
    <w:rsid w:val="0087416D"/>
    <w:rsid w:val="008743B1"/>
    <w:rsid w:val="00875158"/>
    <w:rsid w:val="008760AD"/>
    <w:rsid w:val="00876473"/>
    <w:rsid w:val="00876A63"/>
    <w:rsid w:val="008812D2"/>
    <w:rsid w:val="00885BD2"/>
    <w:rsid w:val="008869CC"/>
    <w:rsid w:val="00887751"/>
    <w:rsid w:val="00887849"/>
    <w:rsid w:val="00890BA4"/>
    <w:rsid w:val="00890E34"/>
    <w:rsid w:val="00892578"/>
    <w:rsid w:val="008937EC"/>
    <w:rsid w:val="00893C83"/>
    <w:rsid w:val="008948F1"/>
    <w:rsid w:val="00895F17"/>
    <w:rsid w:val="00897672"/>
    <w:rsid w:val="008A0336"/>
    <w:rsid w:val="008A2F41"/>
    <w:rsid w:val="008A35C1"/>
    <w:rsid w:val="008A49E2"/>
    <w:rsid w:val="008A4DFA"/>
    <w:rsid w:val="008A5C16"/>
    <w:rsid w:val="008A6A00"/>
    <w:rsid w:val="008A6C40"/>
    <w:rsid w:val="008A7293"/>
    <w:rsid w:val="008B155B"/>
    <w:rsid w:val="008B1F11"/>
    <w:rsid w:val="008B38BF"/>
    <w:rsid w:val="008B5132"/>
    <w:rsid w:val="008B54E1"/>
    <w:rsid w:val="008B5A4E"/>
    <w:rsid w:val="008B61DC"/>
    <w:rsid w:val="008B6ABF"/>
    <w:rsid w:val="008C10D2"/>
    <w:rsid w:val="008C1138"/>
    <w:rsid w:val="008C2562"/>
    <w:rsid w:val="008C3554"/>
    <w:rsid w:val="008C4332"/>
    <w:rsid w:val="008C4CE6"/>
    <w:rsid w:val="008C5284"/>
    <w:rsid w:val="008C6206"/>
    <w:rsid w:val="008C63A7"/>
    <w:rsid w:val="008C6691"/>
    <w:rsid w:val="008C77E6"/>
    <w:rsid w:val="008C7A8A"/>
    <w:rsid w:val="008D0AC1"/>
    <w:rsid w:val="008D1042"/>
    <w:rsid w:val="008D68A0"/>
    <w:rsid w:val="008E04C7"/>
    <w:rsid w:val="008E28AC"/>
    <w:rsid w:val="008E2C89"/>
    <w:rsid w:val="008E2D4A"/>
    <w:rsid w:val="008E3035"/>
    <w:rsid w:val="008E46DA"/>
    <w:rsid w:val="008E52A7"/>
    <w:rsid w:val="008E5F92"/>
    <w:rsid w:val="008F3D57"/>
    <w:rsid w:val="008F62F6"/>
    <w:rsid w:val="008F6390"/>
    <w:rsid w:val="00900242"/>
    <w:rsid w:val="00900BFB"/>
    <w:rsid w:val="00901AB1"/>
    <w:rsid w:val="00902200"/>
    <w:rsid w:val="00904401"/>
    <w:rsid w:val="00904B84"/>
    <w:rsid w:val="009119E4"/>
    <w:rsid w:val="0091396B"/>
    <w:rsid w:val="00914127"/>
    <w:rsid w:val="0091417C"/>
    <w:rsid w:val="00914AE7"/>
    <w:rsid w:val="00915B42"/>
    <w:rsid w:val="0092245B"/>
    <w:rsid w:val="0092376B"/>
    <w:rsid w:val="009239CB"/>
    <w:rsid w:val="00927F19"/>
    <w:rsid w:val="00930D07"/>
    <w:rsid w:val="00932503"/>
    <w:rsid w:val="0093421D"/>
    <w:rsid w:val="00934229"/>
    <w:rsid w:val="0093506B"/>
    <w:rsid w:val="00935D0C"/>
    <w:rsid w:val="00942716"/>
    <w:rsid w:val="009444E0"/>
    <w:rsid w:val="0094616D"/>
    <w:rsid w:val="00946745"/>
    <w:rsid w:val="00947CDC"/>
    <w:rsid w:val="00950ABD"/>
    <w:rsid w:val="009526AB"/>
    <w:rsid w:val="009555E8"/>
    <w:rsid w:val="00955D76"/>
    <w:rsid w:val="00956FAA"/>
    <w:rsid w:val="00957CDF"/>
    <w:rsid w:val="0096009B"/>
    <w:rsid w:val="00960774"/>
    <w:rsid w:val="009630BA"/>
    <w:rsid w:val="0096370F"/>
    <w:rsid w:val="00963A87"/>
    <w:rsid w:val="00965075"/>
    <w:rsid w:val="009652E4"/>
    <w:rsid w:val="00965347"/>
    <w:rsid w:val="00967372"/>
    <w:rsid w:val="00970E1D"/>
    <w:rsid w:val="00971E92"/>
    <w:rsid w:val="009724BF"/>
    <w:rsid w:val="00974A92"/>
    <w:rsid w:val="00975B20"/>
    <w:rsid w:val="00975B71"/>
    <w:rsid w:val="009769EA"/>
    <w:rsid w:val="009777B8"/>
    <w:rsid w:val="00980F26"/>
    <w:rsid w:val="009811F2"/>
    <w:rsid w:val="00981969"/>
    <w:rsid w:val="009819CB"/>
    <w:rsid w:val="00982CE1"/>
    <w:rsid w:val="00983E5B"/>
    <w:rsid w:val="009853BB"/>
    <w:rsid w:val="009869E3"/>
    <w:rsid w:val="00986FDF"/>
    <w:rsid w:val="009873CF"/>
    <w:rsid w:val="00991E93"/>
    <w:rsid w:val="009921A3"/>
    <w:rsid w:val="009927BE"/>
    <w:rsid w:val="00994EFD"/>
    <w:rsid w:val="0099586C"/>
    <w:rsid w:val="009966DF"/>
    <w:rsid w:val="00996CF6"/>
    <w:rsid w:val="009A09DF"/>
    <w:rsid w:val="009A1162"/>
    <w:rsid w:val="009A1214"/>
    <w:rsid w:val="009A2EAB"/>
    <w:rsid w:val="009A556C"/>
    <w:rsid w:val="009A6551"/>
    <w:rsid w:val="009B1A98"/>
    <w:rsid w:val="009B1E45"/>
    <w:rsid w:val="009B2CA3"/>
    <w:rsid w:val="009B50AA"/>
    <w:rsid w:val="009B7A21"/>
    <w:rsid w:val="009C00FE"/>
    <w:rsid w:val="009C1422"/>
    <w:rsid w:val="009C19ED"/>
    <w:rsid w:val="009C3169"/>
    <w:rsid w:val="009C356B"/>
    <w:rsid w:val="009C38FB"/>
    <w:rsid w:val="009C3D8A"/>
    <w:rsid w:val="009C59B9"/>
    <w:rsid w:val="009C5E4A"/>
    <w:rsid w:val="009C69B7"/>
    <w:rsid w:val="009C6FFF"/>
    <w:rsid w:val="009D0711"/>
    <w:rsid w:val="009D0F3A"/>
    <w:rsid w:val="009D1183"/>
    <w:rsid w:val="009D1529"/>
    <w:rsid w:val="009D2BCE"/>
    <w:rsid w:val="009D3396"/>
    <w:rsid w:val="009D46EA"/>
    <w:rsid w:val="009D4A4B"/>
    <w:rsid w:val="009D4E28"/>
    <w:rsid w:val="009D58A6"/>
    <w:rsid w:val="009D5F5F"/>
    <w:rsid w:val="009D69FC"/>
    <w:rsid w:val="009D6AFB"/>
    <w:rsid w:val="009D7507"/>
    <w:rsid w:val="009E02D3"/>
    <w:rsid w:val="009E18B0"/>
    <w:rsid w:val="009E19FF"/>
    <w:rsid w:val="009E209F"/>
    <w:rsid w:val="009E3675"/>
    <w:rsid w:val="009E44A4"/>
    <w:rsid w:val="009E474D"/>
    <w:rsid w:val="009E4897"/>
    <w:rsid w:val="009E4CF0"/>
    <w:rsid w:val="009E4E8A"/>
    <w:rsid w:val="009E5A91"/>
    <w:rsid w:val="009E5DF8"/>
    <w:rsid w:val="009F0A2B"/>
    <w:rsid w:val="009F23C1"/>
    <w:rsid w:val="009F2F85"/>
    <w:rsid w:val="009F56A4"/>
    <w:rsid w:val="009F7C30"/>
    <w:rsid w:val="00A00880"/>
    <w:rsid w:val="00A00F69"/>
    <w:rsid w:val="00A04B3D"/>
    <w:rsid w:val="00A05D9C"/>
    <w:rsid w:val="00A068C9"/>
    <w:rsid w:val="00A070ED"/>
    <w:rsid w:val="00A07488"/>
    <w:rsid w:val="00A10ADA"/>
    <w:rsid w:val="00A133BE"/>
    <w:rsid w:val="00A14294"/>
    <w:rsid w:val="00A15856"/>
    <w:rsid w:val="00A16782"/>
    <w:rsid w:val="00A20016"/>
    <w:rsid w:val="00A20FD7"/>
    <w:rsid w:val="00A21AFA"/>
    <w:rsid w:val="00A22294"/>
    <w:rsid w:val="00A22934"/>
    <w:rsid w:val="00A230CD"/>
    <w:rsid w:val="00A2314D"/>
    <w:rsid w:val="00A26646"/>
    <w:rsid w:val="00A26CFB"/>
    <w:rsid w:val="00A27893"/>
    <w:rsid w:val="00A311BB"/>
    <w:rsid w:val="00A325E0"/>
    <w:rsid w:val="00A325F2"/>
    <w:rsid w:val="00A3523A"/>
    <w:rsid w:val="00A401F1"/>
    <w:rsid w:val="00A4179A"/>
    <w:rsid w:val="00A43A98"/>
    <w:rsid w:val="00A475A8"/>
    <w:rsid w:val="00A50F6F"/>
    <w:rsid w:val="00A568E9"/>
    <w:rsid w:val="00A57E37"/>
    <w:rsid w:val="00A57F89"/>
    <w:rsid w:val="00A6036F"/>
    <w:rsid w:val="00A632E3"/>
    <w:rsid w:val="00A64A38"/>
    <w:rsid w:val="00A64DA8"/>
    <w:rsid w:val="00A654A0"/>
    <w:rsid w:val="00A65841"/>
    <w:rsid w:val="00A7148C"/>
    <w:rsid w:val="00A73061"/>
    <w:rsid w:val="00A7536E"/>
    <w:rsid w:val="00A815BE"/>
    <w:rsid w:val="00A8379A"/>
    <w:rsid w:val="00A83975"/>
    <w:rsid w:val="00A8409D"/>
    <w:rsid w:val="00A8518A"/>
    <w:rsid w:val="00A90D12"/>
    <w:rsid w:val="00A9182C"/>
    <w:rsid w:val="00A93F7F"/>
    <w:rsid w:val="00A95BBE"/>
    <w:rsid w:val="00A97178"/>
    <w:rsid w:val="00A9742E"/>
    <w:rsid w:val="00A97A0A"/>
    <w:rsid w:val="00AA2C23"/>
    <w:rsid w:val="00AA315B"/>
    <w:rsid w:val="00AA4FF9"/>
    <w:rsid w:val="00AA5E5E"/>
    <w:rsid w:val="00AB00ED"/>
    <w:rsid w:val="00AB04DA"/>
    <w:rsid w:val="00AB0A11"/>
    <w:rsid w:val="00AB1263"/>
    <w:rsid w:val="00AB1491"/>
    <w:rsid w:val="00AB1D91"/>
    <w:rsid w:val="00AB1FCC"/>
    <w:rsid w:val="00AB2AFC"/>
    <w:rsid w:val="00AB3892"/>
    <w:rsid w:val="00AB5E4B"/>
    <w:rsid w:val="00AB764F"/>
    <w:rsid w:val="00AC0BC9"/>
    <w:rsid w:val="00AC387C"/>
    <w:rsid w:val="00AC4922"/>
    <w:rsid w:val="00AD06FB"/>
    <w:rsid w:val="00AD39F4"/>
    <w:rsid w:val="00AD5A5A"/>
    <w:rsid w:val="00AD6A19"/>
    <w:rsid w:val="00AD6D1B"/>
    <w:rsid w:val="00AD7B0A"/>
    <w:rsid w:val="00AE0F6F"/>
    <w:rsid w:val="00AE19D6"/>
    <w:rsid w:val="00AE3106"/>
    <w:rsid w:val="00AE3221"/>
    <w:rsid w:val="00AE3885"/>
    <w:rsid w:val="00AE451F"/>
    <w:rsid w:val="00AE47F0"/>
    <w:rsid w:val="00AE5473"/>
    <w:rsid w:val="00AE6186"/>
    <w:rsid w:val="00AE629F"/>
    <w:rsid w:val="00AE7E96"/>
    <w:rsid w:val="00AF0DF8"/>
    <w:rsid w:val="00AF1253"/>
    <w:rsid w:val="00AF15DF"/>
    <w:rsid w:val="00AF1F44"/>
    <w:rsid w:val="00AF2E35"/>
    <w:rsid w:val="00AF3DBA"/>
    <w:rsid w:val="00AF4254"/>
    <w:rsid w:val="00AF7A2C"/>
    <w:rsid w:val="00B0017B"/>
    <w:rsid w:val="00B00676"/>
    <w:rsid w:val="00B00D21"/>
    <w:rsid w:val="00B03A4C"/>
    <w:rsid w:val="00B11568"/>
    <w:rsid w:val="00B11D0F"/>
    <w:rsid w:val="00B15389"/>
    <w:rsid w:val="00B21DB6"/>
    <w:rsid w:val="00B238A2"/>
    <w:rsid w:val="00B23D36"/>
    <w:rsid w:val="00B2514F"/>
    <w:rsid w:val="00B25267"/>
    <w:rsid w:val="00B271A2"/>
    <w:rsid w:val="00B27399"/>
    <w:rsid w:val="00B325FA"/>
    <w:rsid w:val="00B32F60"/>
    <w:rsid w:val="00B3408E"/>
    <w:rsid w:val="00B35029"/>
    <w:rsid w:val="00B370C7"/>
    <w:rsid w:val="00B4155F"/>
    <w:rsid w:val="00B4399E"/>
    <w:rsid w:val="00B43C54"/>
    <w:rsid w:val="00B466DD"/>
    <w:rsid w:val="00B500E8"/>
    <w:rsid w:val="00B50882"/>
    <w:rsid w:val="00B545A6"/>
    <w:rsid w:val="00B627F6"/>
    <w:rsid w:val="00B62A85"/>
    <w:rsid w:val="00B62A9C"/>
    <w:rsid w:val="00B6446E"/>
    <w:rsid w:val="00B6502F"/>
    <w:rsid w:val="00B67F76"/>
    <w:rsid w:val="00B711B6"/>
    <w:rsid w:val="00B71527"/>
    <w:rsid w:val="00B71630"/>
    <w:rsid w:val="00B7390E"/>
    <w:rsid w:val="00B75C4A"/>
    <w:rsid w:val="00B76B69"/>
    <w:rsid w:val="00B7738C"/>
    <w:rsid w:val="00B77489"/>
    <w:rsid w:val="00B775B8"/>
    <w:rsid w:val="00B802E0"/>
    <w:rsid w:val="00B826D0"/>
    <w:rsid w:val="00B85C3B"/>
    <w:rsid w:val="00B90F84"/>
    <w:rsid w:val="00B9193F"/>
    <w:rsid w:val="00B95E62"/>
    <w:rsid w:val="00B965F0"/>
    <w:rsid w:val="00B96D6B"/>
    <w:rsid w:val="00B970FA"/>
    <w:rsid w:val="00BA0823"/>
    <w:rsid w:val="00BA09C8"/>
    <w:rsid w:val="00BA10AF"/>
    <w:rsid w:val="00BA1807"/>
    <w:rsid w:val="00BA2774"/>
    <w:rsid w:val="00BA2C22"/>
    <w:rsid w:val="00BA2C38"/>
    <w:rsid w:val="00BA2F10"/>
    <w:rsid w:val="00BA5738"/>
    <w:rsid w:val="00BA6269"/>
    <w:rsid w:val="00BA6591"/>
    <w:rsid w:val="00BB0D2C"/>
    <w:rsid w:val="00BB1073"/>
    <w:rsid w:val="00BB6796"/>
    <w:rsid w:val="00BB75B3"/>
    <w:rsid w:val="00BC05F1"/>
    <w:rsid w:val="00BC0706"/>
    <w:rsid w:val="00BC2C76"/>
    <w:rsid w:val="00BC438F"/>
    <w:rsid w:val="00BD0BE6"/>
    <w:rsid w:val="00BD3CFA"/>
    <w:rsid w:val="00BD7DFC"/>
    <w:rsid w:val="00BE0DDA"/>
    <w:rsid w:val="00BE2784"/>
    <w:rsid w:val="00BE3D69"/>
    <w:rsid w:val="00BF0892"/>
    <w:rsid w:val="00BF09BD"/>
    <w:rsid w:val="00BF112F"/>
    <w:rsid w:val="00BF1586"/>
    <w:rsid w:val="00BF1C62"/>
    <w:rsid w:val="00BF304C"/>
    <w:rsid w:val="00BF34D9"/>
    <w:rsid w:val="00BF380E"/>
    <w:rsid w:val="00BF3E62"/>
    <w:rsid w:val="00BF58BA"/>
    <w:rsid w:val="00BF5C37"/>
    <w:rsid w:val="00BF5DB8"/>
    <w:rsid w:val="00C00578"/>
    <w:rsid w:val="00C00AEA"/>
    <w:rsid w:val="00C02238"/>
    <w:rsid w:val="00C022C3"/>
    <w:rsid w:val="00C02719"/>
    <w:rsid w:val="00C03CB4"/>
    <w:rsid w:val="00C0547C"/>
    <w:rsid w:val="00C07B12"/>
    <w:rsid w:val="00C07D8C"/>
    <w:rsid w:val="00C10E45"/>
    <w:rsid w:val="00C154B9"/>
    <w:rsid w:val="00C16552"/>
    <w:rsid w:val="00C21562"/>
    <w:rsid w:val="00C230D3"/>
    <w:rsid w:val="00C25800"/>
    <w:rsid w:val="00C25DEC"/>
    <w:rsid w:val="00C27048"/>
    <w:rsid w:val="00C277C2"/>
    <w:rsid w:val="00C33670"/>
    <w:rsid w:val="00C339E5"/>
    <w:rsid w:val="00C3648F"/>
    <w:rsid w:val="00C36C36"/>
    <w:rsid w:val="00C432E4"/>
    <w:rsid w:val="00C443B1"/>
    <w:rsid w:val="00C44B2E"/>
    <w:rsid w:val="00C457EE"/>
    <w:rsid w:val="00C46065"/>
    <w:rsid w:val="00C4771E"/>
    <w:rsid w:val="00C51F20"/>
    <w:rsid w:val="00C52712"/>
    <w:rsid w:val="00C528C6"/>
    <w:rsid w:val="00C52E78"/>
    <w:rsid w:val="00C53691"/>
    <w:rsid w:val="00C55984"/>
    <w:rsid w:val="00C56CAF"/>
    <w:rsid w:val="00C6021F"/>
    <w:rsid w:val="00C611F3"/>
    <w:rsid w:val="00C61864"/>
    <w:rsid w:val="00C62874"/>
    <w:rsid w:val="00C654D6"/>
    <w:rsid w:val="00C706A1"/>
    <w:rsid w:val="00C717C7"/>
    <w:rsid w:val="00C763B5"/>
    <w:rsid w:val="00C828AB"/>
    <w:rsid w:val="00C835B6"/>
    <w:rsid w:val="00C83829"/>
    <w:rsid w:val="00C85968"/>
    <w:rsid w:val="00C90954"/>
    <w:rsid w:val="00C926A7"/>
    <w:rsid w:val="00C95C61"/>
    <w:rsid w:val="00C970A6"/>
    <w:rsid w:val="00C978B6"/>
    <w:rsid w:val="00C97B4C"/>
    <w:rsid w:val="00C97C9B"/>
    <w:rsid w:val="00CA0894"/>
    <w:rsid w:val="00CA3968"/>
    <w:rsid w:val="00CA3A41"/>
    <w:rsid w:val="00CA58EE"/>
    <w:rsid w:val="00CA673A"/>
    <w:rsid w:val="00CA68B6"/>
    <w:rsid w:val="00CA6C11"/>
    <w:rsid w:val="00CB081C"/>
    <w:rsid w:val="00CB254D"/>
    <w:rsid w:val="00CC1FA2"/>
    <w:rsid w:val="00CC2B55"/>
    <w:rsid w:val="00CC4E2A"/>
    <w:rsid w:val="00CC5E84"/>
    <w:rsid w:val="00CC60BE"/>
    <w:rsid w:val="00CC6B26"/>
    <w:rsid w:val="00CC741B"/>
    <w:rsid w:val="00CD0A32"/>
    <w:rsid w:val="00CD0B41"/>
    <w:rsid w:val="00CD133E"/>
    <w:rsid w:val="00CD72B4"/>
    <w:rsid w:val="00CD72EF"/>
    <w:rsid w:val="00CD7CFD"/>
    <w:rsid w:val="00CE006A"/>
    <w:rsid w:val="00CE118C"/>
    <w:rsid w:val="00CE1252"/>
    <w:rsid w:val="00CE1D6F"/>
    <w:rsid w:val="00CE2434"/>
    <w:rsid w:val="00CE44DB"/>
    <w:rsid w:val="00CE4AF1"/>
    <w:rsid w:val="00CF031F"/>
    <w:rsid w:val="00CF0B35"/>
    <w:rsid w:val="00CF2459"/>
    <w:rsid w:val="00CF4A27"/>
    <w:rsid w:val="00CF4F65"/>
    <w:rsid w:val="00CF5938"/>
    <w:rsid w:val="00CF6D36"/>
    <w:rsid w:val="00D0013E"/>
    <w:rsid w:val="00D0087A"/>
    <w:rsid w:val="00D03007"/>
    <w:rsid w:val="00D03887"/>
    <w:rsid w:val="00D04573"/>
    <w:rsid w:val="00D06435"/>
    <w:rsid w:val="00D075F3"/>
    <w:rsid w:val="00D120DD"/>
    <w:rsid w:val="00D123AC"/>
    <w:rsid w:val="00D12EB7"/>
    <w:rsid w:val="00D139E0"/>
    <w:rsid w:val="00D20746"/>
    <w:rsid w:val="00D2198C"/>
    <w:rsid w:val="00D22155"/>
    <w:rsid w:val="00D22594"/>
    <w:rsid w:val="00D22C83"/>
    <w:rsid w:val="00D23409"/>
    <w:rsid w:val="00D23CFB"/>
    <w:rsid w:val="00D270AA"/>
    <w:rsid w:val="00D30568"/>
    <w:rsid w:val="00D3178B"/>
    <w:rsid w:val="00D31BDB"/>
    <w:rsid w:val="00D31C09"/>
    <w:rsid w:val="00D32610"/>
    <w:rsid w:val="00D33421"/>
    <w:rsid w:val="00D3425A"/>
    <w:rsid w:val="00D35BEC"/>
    <w:rsid w:val="00D362FC"/>
    <w:rsid w:val="00D372FB"/>
    <w:rsid w:val="00D4027F"/>
    <w:rsid w:val="00D40DA3"/>
    <w:rsid w:val="00D4209F"/>
    <w:rsid w:val="00D443AD"/>
    <w:rsid w:val="00D46DF9"/>
    <w:rsid w:val="00D47C95"/>
    <w:rsid w:val="00D47DC9"/>
    <w:rsid w:val="00D504F2"/>
    <w:rsid w:val="00D514D9"/>
    <w:rsid w:val="00D519B3"/>
    <w:rsid w:val="00D52029"/>
    <w:rsid w:val="00D52196"/>
    <w:rsid w:val="00D5264D"/>
    <w:rsid w:val="00D53D95"/>
    <w:rsid w:val="00D549AB"/>
    <w:rsid w:val="00D55C72"/>
    <w:rsid w:val="00D57AF3"/>
    <w:rsid w:val="00D57F91"/>
    <w:rsid w:val="00D63096"/>
    <w:rsid w:val="00D650A0"/>
    <w:rsid w:val="00D65130"/>
    <w:rsid w:val="00D666CB"/>
    <w:rsid w:val="00D66E55"/>
    <w:rsid w:val="00D72C98"/>
    <w:rsid w:val="00D7375F"/>
    <w:rsid w:val="00D75623"/>
    <w:rsid w:val="00D77B36"/>
    <w:rsid w:val="00D77F3E"/>
    <w:rsid w:val="00D82AF1"/>
    <w:rsid w:val="00D85126"/>
    <w:rsid w:val="00D863D7"/>
    <w:rsid w:val="00D872CF"/>
    <w:rsid w:val="00D90770"/>
    <w:rsid w:val="00D91E1F"/>
    <w:rsid w:val="00D93DB8"/>
    <w:rsid w:val="00D9415A"/>
    <w:rsid w:val="00D944EC"/>
    <w:rsid w:val="00D95149"/>
    <w:rsid w:val="00D954EE"/>
    <w:rsid w:val="00D95982"/>
    <w:rsid w:val="00D959F8"/>
    <w:rsid w:val="00DA13CC"/>
    <w:rsid w:val="00DA2E25"/>
    <w:rsid w:val="00DA35D7"/>
    <w:rsid w:val="00DA482B"/>
    <w:rsid w:val="00DA5FDD"/>
    <w:rsid w:val="00DA608B"/>
    <w:rsid w:val="00DA62EA"/>
    <w:rsid w:val="00DA6A76"/>
    <w:rsid w:val="00DA7B85"/>
    <w:rsid w:val="00DA7C01"/>
    <w:rsid w:val="00DA7D3B"/>
    <w:rsid w:val="00DB2D6F"/>
    <w:rsid w:val="00DB3324"/>
    <w:rsid w:val="00DB35E7"/>
    <w:rsid w:val="00DB4370"/>
    <w:rsid w:val="00DB5517"/>
    <w:rsid w:val="00DB56E3"/>
    <w:rsid w:val="00DB6645"/>
    <w:rsid w:val="00DB781D"/>
    <w:rsid w:val="00DC000E"/>
    <w:rsid w:val="00DC065A"/>
    <w:rsid w:val="00DC0A2D"/>
    <w:rsid w:val="00DC1CA4"/>
    <w:rsid w:val="00DC1F0F"/>
    <w:rsid w:val="00DC228F"/>
    <w:rsid w:val="00DC479B"/>
    <w:rsid w:val="00DC6129"/>
    <w:rsid w:val="00DC67F5"/>
    <w:rsid w:val="00DC6EBB"/>
    <w:rsid w:val="00DC6EF0"/>
    <w:rsid w:val="00DC73FC"/>
    <w:rsid w:val="00DC7D7F"/>
    <w:rsid w:val="00DD0076"/>
    <w:rsid w:val="00DD1499"/>
    <w:rsid w:val="00DD1678"/>
    <w:rsid w:val="00DD260A"/>
    <w:rsid w:val="00DD2CBA"/>
    <w:rsid w:val="00DD3104"/>
    <w:rsid w:val="00DD4219"/>
    <w:rsid w:val="00DD4940"/>
    <w:rsid w:val="00DD49EF"/>
    <w:rsid w:val="00DD4B0E"/>
    <w:rsid w:val="00DF06BC"/>
    <w:rsid w:val="00DF0D6E"/>
    <w:rsid w:val="00DF1F52"/>
    <w:rsid w:val="00DF2935"/>
    <w:rsid w:val="00DF41DE"/>
    <w:rsid w:val="00DF4F54"/>
    <w:rsid w:val="00DF5685"/>
    <w:rsid w:val="00DF7D36"/>
    <w:rsid w:val="00E0093B"/>
    <w:rsid w:val="00E00BF7"/>
    <w:rsid w:val="00E00D0B"/>
    <w:rsid w:val="00E00EED"/>
    <w:rsid w:val="00E018E9"/>
    <w:rsid w:val="00E060CB"/>
    <w:rsid w:val="00E0758F"/>
    <w:rsid w:val="00E11F6E"/>
    <w:rsid w:val="00E12B99"/>
    <w:rsid w:val="00E12EF6"/>
    <w:rsid w:val="00E13E27"/>
    <w:rsid w:val="00E16FF6"/>
    <w:rsid w:val="00E17236"/>
    <w:rsid w:val="00E20222"/>
    <w:rsid w:val="00E202E4"/>
    <w:rsid w:val="00E20A12"/>
    <w:rsid w:val="00E2155F"/>
    <w:rsid w:val="00E22D6E"/>
    <w:rsid w:val="00E26BFC"/>
    <w:rsid w:val="00E27A2D"/>
    <w:rsid w:val="00E3123F"/>
    <w:rsid w:val="00E3194E"/>
    <w:rsid w:val="00E3207C"/>
    <w:rsid w:val="00E32D35"/>
    <w:rsid w:val="00E34C6F"/>
    <w:rsid w:val="00E353B5"/>
    <w:rsid w:val="00E367E3"/>
    <w:rsid w:val="00E4016C"/>
    <w:rsid w:val="00E4159A"/>
    <w:rsid w:val="00E41A1F"/>
    <w:rsid w:val="00E4284D"/>
    <w:rsid w:val="00E430C0"/>
    <w:rsid w:val="00E4401C"/>
    <w:rsid w:val="00E4492E"/>
    <w:rsid w:val="00E44973"/>
    <w:rsid w:val="00E47446"/>
    <w:rsid w:val="00E476C5"/>
    <w:rsid w:val="00E50604"/>
    <w:rsid w:val="00E513CF"/>
    <w:rsid w:val="00E51481"/>
    <w:rsid w:val="00E52138"/>
    <w:rsid w:val="00E539C2"/>
    <w:rsid w:val="00E53D7E"/>
    <w:rsid w:val="00E54EE8"/>
    <w:rsid w:val="00E5544D"/>
    <w:rsid w:val="00E60CAB"/>
    <w:rsid w:val="00E617CC"/>
    <w:rsid w:val="00E624C5"/>
    <w:rsid w:val="00E63959"/>
    <w:rsid w:val="00E63A7E"/>
    <w:rsid w:val="00E63AFA"/>
    <w:rsid w:val="00E65439"/>
    <w:rsid w:val="00E658F6"/>
    <w:rsid w:val="00E70A17"/>
    <w:rsid w:val="00E72240"/>
    <w:rsid w:val="00E72550"/>
    <w:rsid w:val="00E74FF8"/>
    <w:rsid w:val="00E7586C"/>
    <w:rsid w:val="00E75F92"/>
    <w:rsid w:val="00E77A48"/>
    <w:rsid w:val="00E77C54"/>
    <w:rsid w:val="00E86AF4"/>
    <w:rsid w:val="00E87594"/>
    <w:rsid w:val="00E92E8A"/>
    <w:rsid w:val="00E949B9"/>
    <w:rsid w:val="00E955BF"/>
    <w:rsid w:val="00E97507"/>
    <w:rsid w:val="00EA0D52"/>
    <w:rsid w:val="00EA129D"/>
    <w:rsid w:val="00EA1D7F"/>
    <w:rsid w:val="00EA4DB4"/>
    <w:rsid w:val="00EA4DEE"/>
    <w:rsid w:val="00EB0214"/>
    <w:rsid w:val="00EB10C0"/>
    <w:rsid w:val="00EB2415"/>
    <w:rsid w:val="00EB3119"/>
    <w:rsid w:val="00EB4DA4"/>
    <w:rsid w:val="00EB5CB2"/>
    <w:rsid w:val="00EB610B"/>
    <w:rsid w:val="00EB6375"/>
    <w:rsid w:val="00EB6692"/>
    <w:rsid w:val="00EB7992"/>
    <w:rsid w:val="00EC37E8"/>
    <w:rsid w:val="00EC3E56"/>
    <w:rsid w:val="00EC46EC"/>
    <w:rsid w:val="00EC7B8B"/>
    <w:rsid w:val="00ED0B35"/>
    <w:rsid w:val="00ED17C5"/>
    <w:rsid w:val="00ED251E"/>
    <w:rsid w:val="00ED306E"/>
    <w:rsid w:val="00ED335A"/>
    <w:rsid w:val="00ED5355"/>
    <w:rsid w:val="00ED5804"/>
    <w:rsid w:val="00EE156F"/>
    <w:rsid w:val="00EE1B7E"/>
    <w:rsid w:val="00EE2426"/>
    <w:rsid w:val="00EE3C10"/>
    <w:rsid w:val="00EE436F"/>
    <w:rsid w:val="00EE682C"/>
    <w:rsid w:val="00EE6E51"/>
    <w:rsid w:val="00EF04C5"/>
    <w:rsid w:val="00EF08FC"/>
    <w:rsid w:val="00EF217A"/>
    <w:rsid w:val="00EF28EA"/>
    <w:rsid w:val="00EF47CD"/>
    <w:rsid w:val="00F014F7"/>
    <w:rsid w:val="00F01BEA"/>
    <w:rsid w:val="00F037C6"/>
    <w:rsid w:val="00F04CBE"/>
    <w:rsid w:val="00F0501F"/>
    <w:rsid w:val="00F053D2"/>
    <w:rsid w:val="00F066B3"/>
    <w:rsid w:val="00F07D0C"/>
    <w:rsid w:val="00F129F3"/>
    <w:rsid w:val="00F12E64"/>
    <w:rsid w:val="00F14D55"/>
    <w:rsid w:val="00F157D3"/>
    <w:rsid w:val="00F16518"/>
    <w:rsid w:val="00F16715"/>
    <w:rsid w:val="00F169D5"/>
    <w:rsid w:val="00F200F6"/>
    <w:rsid w:val="00F22624"/>
    <w:rsid w:val="00F228AE"/>
    <w:rsid w:val="00F230FF"/>
    <w:rsid w:val="00F26569"/>
    <w:rsid w:val="00F26E18"/>
    <w:rsid w:val="00F33BFC"/>
    <w:rsid w:val="00F3416B"/>
    <w:rsid w:val="00F34866"/>
    <w:rsid w:val="00F351CB"/>
    <w:rsid w:val="00F36B3C"/>
    <w:rsid w:val="00F401EB"/>
    <w:rsid w:val="00F4283D"/>
    <w:rsid w:val="00F42BE7"/>
    <w:rsid w:val="00F43BA9"/>
    <w:rsid w:val="00F43FD0"/>
    <w:rsid w:val="00F449AA"/>
    <w:rsid w:val="00F4561F"/>
    <w:rsid w:val="00F46064"/>
    <w:rsid w:val="00F50610"/>
    <w:rsid w:val="00F51C72"/>
    <w:rsid w:val="00F51C81"/>
    <w:rsid w:val="00F5251A"/>
    <w:rsid w:val="00F531D3"/>
    <w:rsid w:val="00F56932"/>
    <w:rsid w:val="00F6229C"/>
    <w:rsid w:val="00F632AA"/>
    <w:rsid w:val="00F64764"/>
    <w:rsid w:val="00F65456"/>
    <w:rsid w:val="00F6554A"/>
    <w:rsid w:val="00F65C35"/>
    <w:rsid w:val="00F71A36"/>
    <w:rsid w:val="00F72165"/>
    <w:rsid w:val="00F72514"/>
    <w:rsid w:val="00F729B6"/>
    <w:rsid w:val="00F7328D"/>
    <w:rsid w:val="00F77F72"/>
    <w:rsid w:val="00F809B8"/>
    <w:rsid w:val="00F8231A"/>
    <w:rsid w:val="00F83E43"/>
    <w:rsid w:val="00F847C8"/>
    <w:rsid w:val="00F853D6"/>
    <w:rsid w:val="00F90472"/>
    <w:rsid w:val="00F9117D"/>
    <w:rsid w:val="00F91283"/>
    <w:rsid w:val="00F91FD4"/>
    <w:rsid w:val="00F94035"/>
    <w:rsid w:val="00F95357"/>
    <w:rsid w:val="00F95FE5"/>
    <w:rsid w:val="00FA0CCC"/>
    <w:rsid w:val="00FB037B"/>
    <w:rsid w:val="00FB0D5B"/>
    <w:rsid w:val="00FB44FE"/>
    <w:rsid w:val="00FB4EFD"/>
    <w:rsid w:val="00FB7392"/>
    <w:rsid w:val="00FC1311"/>
    <w:rsid w:val="00FC1874"/>
    <w:rsid w:val="00FC3494"/>
    <w:rsid w:val="00FC3861"/>
    <w:rsid w:val="00FC3CA3"/>
    <w:rsid w:val="00FC659C"/>
    <w:rsid w:val="00FD107E"/>
    <w:rsid w:val="00FE0147"/>
    <w:rsid w:val="00FE01D5"/>
    <w:rsid w:val="00FE1E16"/>
    <w:rsid w:val="00FE3C44"/>
    <w:rsid w:val="00FE4CA9"/>
    <w:rsid w:val="00FE6111"/>
    <w:rsid w:val="00FE64D0"/>
    <w:rsid w:val="00FE7746"/>
    <w:rsid w:val="00FE7E25"/>
    <w:rsid w:val="00FF1FEE"/>
    <w:rsid w:val="00FF37C1"/>
    <w:rsid w:val="00FF4C9A"/>
    <w:rsid w:val="00FF4D9C"/>
    <w:rsid w:val="00FF6312"/>
    <w:rsid w:val="00FF65D7"/>
    <w:rsid w:val="0100D0BD"/>
    <w:rsid w:val="013EC02C"/>
    <w:rsid w:val="0142A42E"/>
    <w:rsid w:val="014D21BE"/>
    <w:rsid w:val="01656394"/>
    <w:rsid w:val="01BD71B2"/>
    <w:rsid w:val="022D6671"/>
    <w:rsid w:val="02433CBA"/>
    <w:rsid w:val="0267D22B"/>
    <w:rsid w:val="028EDC03"/>
    <w:rsid w:val="02C1BBC2"/>
    <w:rsid w:val="02D3C131"/>
    <w:rsid w:val="02D3F402"/>
    <w:rsid w:val="0311FD3F"/>
    <w:rsid w:val="036DF925"/>
    <w:rsid w:val="037F44A5"/>
    <w:rsid w:val="03999A82"/>
    <w:rsid w:val="03E9FD25"/>
    <w:rsid w:val="040428E6"/>
    <w:rsid w:val="040C638F"/>
    <w:rsid w:val="0467E919"/>
    <w:rsid w:val="04D38E03"/>
    <w:rsid w:val="04DF6870"/>
    <w:rsid w:val="051F59B5"/>
    <w:rsid w:val="051F8C86"/>
    <w:rsid w:val="0524AF63"/>
    <w:rsid w:val="053477FD"/>
    <w:rsid w:val="057670AD"/>
    <w:rsid w:val="05C6065D"/>
    <w:rsid w:val="05F2D10E"/>
    <w:rsid w:val="0603C7D0"/>
    <w:rsid w:val="061A687A"/>
    <w:rsid w:val="0622C3E8"/>
    <w:rsid w:val="06E97E62"/>
    <w:rsid w:val="07B06328"/>
    <w:rsid w:val="087321C9"/>
    <w:rsid w:val="0873F98E"/>
    <w:rsid w:val="08B23B49"/>
    <w:rsid w:val="091908F7"/>
    <w:rsid w:val="095F8254"/>
    <w:rsid w:val="09AFA081"/>
    <w:rsid w:val="0A2A6A98"/>
    <w:rsid w:val="0AAC8094"/>
    <w:rsid w:val="0AB51573"/>
    <w:rsid w:val="0AEA0CEA"/>
    <w:rsid w:val="0B0E3CA2"/>
    <w:rsid w:val="0B811FE5"/>
    <w:rsid w:val="0BC78C4E"/>
    <w:rsid w:val="0C534FCF"/>
    <w:rsid w:val="0C771CAE"/>
    <w:rsid w:val="0C8097C4"/>
    <w:rsid w:val="0CAE6525"/>
    <w:rsid w:val="0D062E91"/>
    <w:rsid w:val="0D36489F"/>
    <w:rsid w:val="0D9BFB64"/>
    <w:rsid w:val="0DE3C9C4"/>
    <w:rsid w:val="0E6D5AD1"/>
    <w:rsid w:val="0E7EACB7"/>
    <w:rsid w:val="0EB744E8"/>
    <w:rsid w:val="0ECD5750"/>
    <w:rsid w:val="0EE598F2"/>
    <w:rsid w:val="0F1359B5"/>
    <w:rsid w:val="0F4AC0BE"/>
    <w:rsid w:val="0F922042"/>
    <w:rsid w:val="0FB65C43"/>
    <w:rsid w:val="0FBD2F91"/>
    <w:rsid w:val="0FF61392"/>
    <w:rsid w:val="10441699"/>
    <w:rsid w:val="1061103D"/>
    <w:rsid w:val="109FDF47"/>
    <w:rsid w:val="11A235B8"/>
    <w:rsid w:val="11B062EE"/>
    <w:rsid w:val="11D59707"/>
    <w:rsid w:val="12018594"/>
    <w:rsid w:val="12442060"/>
    <w:rsid w:val="12B517E9"/>
    <w:rsid w:val="12D73864"/>
    <w:rsid w:val="13532298"/>
    <w:rsid w:val="1372F67B"/>
    <w:rsid w:val="137F883E"/>
    <w:rsid w:val="1398C332"/>
    <w:rsid w:val="13F5902C"/>
    <w:rsid w:val="1471C650"/>
    <w:rsid w:val="14D09ED6"/>
    <w:rsid w:val="14E8355E"/>
    <w:rsid w:val="14F3E24A"/>
    <w:rsid w:val="14F89C87"/>
    <w:rsid w:val="151B736A"/>
    <w:rsid w:val="15258A36"/>
    <w:rsid w:val="15971477"/>
    <w:rsid w:val="15BBD5A2"/>
    <w:rsid w:val="15DCD319"/>
    <w:rsid w:val="16186A42"/>
    <w:rsid w:val="16908E4E"/>
    <w:rsid w:val="1699AFCD"/>
    <w:rsid w:val="1747619A"/>
    <w:rsid w:val="1763B37B"/>
    <w:rsid w:val="17AF6795"/>
    <w:rsid w:val="1808E832"/>
    <w:rsid w:val="1815904C"/>
    <w:rsid w:val="18983038"/>
    <w:rsid w:val="18B0B46A"/>
    <w:rsid w:val="18D221B3"/>
    <w:rsid w:val="18FCC9E2"/>
    <w:rsid w:val="191D4073"/>
    <w:rsid w:val="194F738C"/>
    <w:rsid w:val="197255FD"/>
    <w:rsid w:val="19CA93A1"/>
    <w:rsid w:val="1A269D31"/>
    <w:rsid w:val="1ACC5A14"/>
    <w:rsid w:val="1B111E32"/>
    <w:rsid w:val="1B1E2098"/>
    <w:rsid w:val="1B50D9EE"/>
    <w:rsid w:val="1B8ACD58"/>
    <w:rsid w:val="1BE78AE3"/>
    <w:rsid w:val="1BEC9E90"/>
    <w:rsid w:val="1C27CAE1"/>
    <w:rsid w:val="1C3555D5"/>
    <w:rsid w:val="1D34E36F"/>
    <w:rsid w:val="1DF3B81B"/>
    <w:rsid w:val="1E497E46"/>
    <w:rsid w:val="1E772282"/>
    <w:rsid w:val="1E9E9131"/>
    <w:rsid w:val="1EEB7CB0"/>
    <w:rsid w:val="1F3A0B63"/>
    <w:rsid w:val="1FC7FA89"/>
    <w:rsid w:val="1FD74BDF"/>
    <w:rsid w:val="1FDA40D2"/>
    <w:rsid w:val="1FFDAF2F"/>
    <w:rsid w:val="20358436"/>
    <w:rsid w:val="2086B1AD"/>
    <w:rsid w:val="21213F32"/>
    <w:rsid w:val="2186EB7B"/>
    <w:rsid w:val="21B9583C"/>
    <w:rsid w:val="21D540B3"/>
    <w:rsid w:val="222769A4"/>
    <w:rsid w:val="222EBC1C"/>
    <w:rsid w:val="22420BA5"/>
    <w:rsid w:val="228A55AE"/>
    <w:rsid w:val="22C251EA"/>
    <w:rsid w:val="23098598"/>
    <w:rsid w:val="235C5A7F"/>
    <w:rsid w:val="238649D1"/>
    <w:rsid w:val="23B2EC95"/>
    <w:rsid w:val="23C0CDA3"/>
    <w:rsid w:val="23E217A2"/>
    <w:rsid w:val="246B1D24"/>
    <w:rsid w:val="24A9C875"/>
    <w:rsid w:val="24EFCEEE"/>
    <w:rsid w:val="250E8D08"/>
    <w:rsid w:val="25153121"/>
    <w:rsid w:val="25185756"/>
    <w:rsid w:val="25576589"/>
    <w:rsid w:val="2600E343"/>
    <w:rsid w:val="26260A09"/>
    <w:rsid w:val="263EA3B1"/>
    <w:rsid w:val="271147FE"/>
    <w:rsid w:val="27BBD1B8"/>
    <w:rsid w:val="28019A14"/>
    <w:rsid w:val="28143706"/>
    <w:rsid w:val="2814B231"/>
    <w:rsid w:val="286FABE2"/>
    <w:rsid w:val="28BDEBA0"/>
    <w:rsid w:val="28F156CA"/>
    <w:rsid w:val="2A0EAA3A"/>
    <w:rsid w:val="2A402440"/>
    <w:rsid w:val="2A579903"/>
    <w:rsid w:val="2B4D0076"/>
    <w:rsid w:val="2BFC9DCA"/>
    <w:rsid w:val="2C2D90A1"/>
    <w:rsid w:val="2CE09B70"/>
    <w:rsid w:val="2D311EBD"/>
    <w:rsid w:val="2D6D7165"/>
    <w:rsid w:val="2D78FB95"/>
    <w:rsid w:val="2E27F3F0"/>
    <w:rsid w:val="2E7471F1"/>
    <w:rsid w:val="2E7F41A1"/>
    <w:rsid w:val="2EA8B52B"/>
    <w:rsid w:val="2EBA7254"/>
    <w:rsid w:val="2F7DB547"/>
    <w:rsid w:val="2FCBC4BF"/>
    <w:rsid w:val="2FD5A323"/>
    <w:rsid w:val="2FEACF8D"/>
    <w:rsid w:val="3025D11D"/>
    <w:rsid w:val="30390522"/>
    <w:rsid w:val="305581E4"/>
    <w:rsid w:val="3075BB97"/>
    <w:rsid w:val="3079C7EA"/>
    <w:rsid w:val="30EDDE9A"/>
    <w:rsid w:val="3137F14B"/>
    <w:rsid w:val="316F2320"/>
    <w:rsid w:val="31948B42"/>
    <w:rsid w:val="321CC034"/>
    <w:rsid w:val="32628598"/>
    <w:rsid w:val="327C81A2"/>
    <w:rsid w:val="32AFEEE2"/>
    <w:rsid w:val="32B3404F"/>
    <w:rsid w:val="32BCCCD7"/>
    <w:rsid w:val="32F4B300"/>
    <w:rsid w:val="330B18D6"/>
    <w:rsid w:val="33516189"/>
    <w:rsid w:val="3383336A"/>
    <w:rsid w:val="339929A2"/>
    <w:rsid w:val="33E298FB"/>
    <w:rsid w:val="3410E101"/>
    <w:rsid w:val="3464CD37"/>
    <w:rsid w:val="34ABBB50"/>
    <w:rsid w:val="34E43F32"/>
    <w:rsid w:val="34F67D09"/>
    <w:rsid w:val="3552FB9E"/>
    <w:rsid w:val="35543313"/>
    <w:rsid w:val="35B9FAAA"/>
    <w:rsid w:val="35E9E043"/>
    <w:rsid w:val="369B750B"/>
    <w:rsid w:val="36BD320C"/>
    <w:rsid w:val="36EA2F8E"/>
    <w:rsid w:val="374BB22C"/>
    <w:rsid w:val="376E6726"/>
    <w:rsid w:val="37F30B10"/>
    <w:rsid w:val="380134FD"/>
    <w:rsid w:val="3859497C"/>
    <w:rsid w:val="38FE4B92"/>
    <w:rsid w:val="39119D6B"/>
    <w:rsid w:val="39B986BD"/>
    <w:rsid w:val="3A883418"/>
    <w:rsid w:val="3AD28EEF"/>
    <w:rsid w:val="3B2C5DC0"/>
    <w:rsid w:val="3B44245C"/>
    <w:rsid w:val="3B6888BE"/>
    <w:rsid w:val="3B8F3203"/>
    <w:rsid w:val="3B9E1F60"/>
    <w:rsid w:val="3BBFA996"/>
    <w:rsid w:val="3BFF6E9F"/>
    <w:rsid w:val="3C0A3B8B"/>
    <w:rsid w:val="3C1D9AD7"/>
    <w:rsid w:val="3C2437BA"/>
    <w:rsid w:val="3C45CEB2"/>
    <w:rsid w:val="3C579DC1"/>
    <w:rsid w:val="3C7D91A5"/>
    <w:rsid w:val="3CA45BA9"/>
    <w:rsid w:val="3D1F2939"/>
    <w:rsid w:val="3D3A611A"/>
    <w:rsid w:val="3E0B57FE"/>
    <w:rsid w:val="3E81B7A9"/>
    <w:rsid w:val="3EB4B684"/>
    <w:rsid w:val="3EF4DCCC"/>
    <w:rsid w:val="3F4EA4FF"/>
    <w:rsid w:val="3F7E97D9"/>
    <w:rsid w:val="409883E9"/>
    <w:rsid w:val="40C55F7B"/>
    <w:rsid w:val="41287BE3"/>
    <w:rsid w:val="412FE506"/>
    <w:rsid w:val="414166A5"/>
    <w:rsid w:val="415212D4"/>
    <w:rsid w:val="41CCAA44"/>
    <w:rsid w:val="41CEF5BA"/>
    <w:rsid w:val="41E6EF27"/>
    <w:rsid w:val="420C31F4"/>
    <w:rsid w:val="423AD184"/>
    <w:rsid w:val="42DE861C"/>
    <w:rsid w:val="432904D1"/>
    <w:rsid w:val="43946D7D"/>
    <w:rsid w:val="43972CC4"/>
    <w:rsid w:val="43D6A1E5"/>
    <w:rsid w:val="4400D596"/>
    <w:rsid w:val="4406F493"/>
    <w:rsid w:val="441A8E3E"/>
    <w:rsid w:val="442AA498"/>
    <w:rsid w:val="44C71ACD"/>
    <w:rsid w:val="44EBAD56"/>
    <w:rsid w:val="4522DEFD"/>
    <w:rsid w:val="453C25E2"/>
    <w:rsid w:val="45E4BDE2"/>
    <w:rsid w:val="460C5E8F"/>
    <w:rsid w:val="468B3BA5"/>
    <w:rsid w:val="469ADEF9"/>
    <w:rsid w:val="46F3C6ED"/>
    <w:rsid w:val="46F49D29"/>
    <w:rsid w:val="48086A53"/>
    <w:rsid w:val="48CE7E10"/>
    <w:rsid w:val="48E0789C"/>
    <w:rsid w:val="48F88CD8"/>
    <w:rsid w:val="491766FA"/>
    <w:rsid w:val="49795EA2"/>
    <w:rsid w:val="4A45E369"/>
    <w:rsid w:val="4A635E05"/>
    <w:rsid w:val="4AB82D43"/>
    <w:rsid w:val="4AB9C288"/>
    <w:rsid w:val="4AFB77CF"/>
    <w:rsid w:val="4BC78A4F"/>
    <w:rsid w:val="4BE25A23"/>
    <w:rsid w:val="4C0DFA04"/>
    <w:rsid w:val="4C30427F"/>
    <w:rsid w:val="4C9023F7"/>
    <w:rsid w:val="4CB432F7"/>
    <w:rsid w:val="4CFD7B2A"/>
    <w:rsid w:val="4D04B770"/>
    <w:rsid w:val="4D557060"/>
    <w:rsid w:val="4D5C5821"/>
    <w:rsid w:val="4DC24CF7"/>
    <w:rsid w:val="4DCC12E0"/>
    <w:rsid w:val="4DDC664A"/>
    <w:rsid w:val="4E1F0FDE"/>
    <w:rsid w:val="4E44094F"/>
    <w:rsid w:val="4E88CD6D"/>
    <w:rsid w:val="4E9EFC4F"/>
    <w:rsid w:val="4ECCB638"/>
    <w:rsid w:val="4EFFA774"/>
    <w:rsid w:val="4F4C164C"/>
    <w:rsid w:val="50A19D11"/>
    <w:rsid w:val="50C4DAFF"/>
    <w:rsid w:val="51243049"/>
    <w:rsid w:val="51361BAA"/>
    <w:rsid w:val="513AC0A0"/>
    <w:rsid w:val="5142164F"/>
    <w:rsid w:val="51DD7368"/>
    <w:rsid w:val="522DF5A4"/>
    <w:rsid w:val="523A9CA3"/>
    <w:rsid w:val="524FA3FA"/>
    <w:rsid w:val="5287889D"/>
    <w:rsid w:val="52A11450"/>
    <w:rsid w:val="52DF0C12"/>
    <w:rsid w:val="534B6AAE"/>
    <w:rsid w:val="54C543F9"/>
    <w:rsid w:val="54DCA237"/>
    <w:rsid w:val="553DD644"/>
    <w:rsid w:val="55425065"/>
    <w:rsid w:val="55435ED4"/>
    <w:rsid w:val="5576578F"/>
    <w:rsid w:val="55E1CE11"/>
    <w:rsid w:val="562499C8"/>
    <w:rsid w:val="562ECF9A"/>
    <w:rsid w:val="56569473"/>
    <w:rsid w:val="56636F94"/>
    <w:rsid w:val="56CB5767"/>
    <w:rsid w:val="56EEED83"/>
    <w:rsid w:val="5705B9F2"/>
    <w:rsid w:val="571D35B8"/>
    <w:rsid w:val="5731FCB7"/>
    <w:rsid w:val="5749ED73"/>
    <w:rsid w:val="5771ED78"/>
    <w:rsid w:val="57F07A40"/>
    <w:rsid w:val="57FED8FD"/>
    <w:rsid w:val="583470D8"/>
    <w:rsid w:val="58A89868"/>
    <w:rsid w:val="59191872"/>
    <w:rsid w:val="591A5F32"/>
    <w:rsid w:val="59239595"/>
    <w:rsid w:val="59CA83F5"/>
    <w:rsid w:val="5A0BBBEE"/>
    <w:rsid w:val="5A0DFBFC"/>
    <w:rsid w:val="5A2BDF59"/>
    <w:rsid w:val="5A9BF469"/>
    <w:rsid w:val="5AB7C081"/>
    <w:rsid w:val="5AC74830"/>
    <w:rsid w:val="5ADBC409"/>
    <w:rsid w:val="5B6F8B9B"/>
    <w:rsid w:val="5B866510"/>
    <w:rsid w:val="5BCF379E"/>
    <w:rsid w:val="5C161C79"/>
    <w:rsid w:val="5C7ECDFD"/>
    <w:rsid w:val="5CCB41C2"/>
    <w:rsid w:val="5D70CA65"/>
    <w:rsid w:val="5E04F772"/>
    <w:rsid w:val="5E6B5BAA"/>
    <w:rsid w:val="5EA20ABF"/>
    <w:rsid w:val="5EAC346E"/>
    <w:rsid w:val="5F010808"/>
    <w:rsid w:val="5F9C9556"/>
    <w:rsid w:val="5FEAABF9"/>
    <w:rsid w:val="602E312E"/>
    <w:rsid w:val="60399679"/>
    <w:rsid w:val="60406886"/>
    <w:rsid w:val="60782229"/>
    <w:rsid w:val="60972E4C"/>
    <w:rsid w:val="60C28467"/>
    <w:rsid w:val="60CB1C1C"/>
    <w:rsid w:val="61A078FC"/>
    <w:rsid w:val="61B54A40"/>
    <w:rsid w:val="6218917F"/>
    <w:rsid w:val="62744832"/>
    <w:rsid w:val="628BB6F1"/>
    <w:rsid w:val="62A37D8D"/>
    <w:rsid w:val="62E5B1F5"/>
    <w:rsid w:val="6358C777"/>
    <w:rsid w:val="638F53F5"/>
    <w:rsid w:val="63BA6FB9"/>
    <w:rsid w:val="63D7DD3F"/>
    <w:rsid w:val="647A91EA"/>
    <w:rsid w:val="64928B57"/>
    <w:rsid w:val="6494774F"/>
    <w:rsid w:val="64A139BD"/>
    <w:rsid w:val="65C90CD5"/>
    <w:rsid w:val="65DEB11C"/>
    <w:rsid w:val="65DEE107"/>
    <w:rsid w:val="660AD212"/>
    <w:rsid w:val="6634BE24"/>
    <w:rsid w:val="663C6F61"/>
    <w:rsid w:val="66BCDE04"/>
    <w:rsid w:val="66C32ACF"/>
    <w:rsid w:val="66E24994"/>
    <w:rsid w:val="6711ED52"/>
    <w:rsid w:val="677F09CD"/>
    <w:rsid w:val="679F0842"/>
    <w:rsid w:val="67A8A535"/>
    <w:rsid w:val="67D29309"/>
    <w:rsid w:val="68180E8A"/>
    <w:rsid w:val="6841D7AA"/>
    <w:rsid w:val="68C1B59B"/>
    <w:rsid w:val="698A18F7"/>
    <w:rsid w:val="69D9A089"/>
    <w:rsid w:val="69EB4496"/>
    <w:rsid w:val="6A01B21F"/>
    <w:rsid w:val="6A1CE7DA"/>
    <w:rsid w:val="6A76FC5D"/>
    <w:rsid w:val="6AF168CE"/>
    <w:rsid w:val="6B020C0D"/>
    <w:rsid w:val="6B1BB009"/>
    <w:rsid w:val="6B703D4A"/>
    <w:rsid w:val="6BD312DF"/>
    <w:rsid w:val="6BD975F8"/>
    <w:rsid w:val="6BDCA491"/>
    <w:rsid w:val="6BF43E32"/>
    <w:rsid w:val="6C0C4A67"/>
    <w:rsid w:val="6C68B3DB"/>
    <w:rsid w:val="6C6CC70C"/>
    <w:rsid w:val="6C72CD1C"/>
    <w:rsid w:val="6C7D8473"/>
    <w:rsid w:val="6CAD25DB"/>
    <w:rsid w:val="6CE5C818"/>
    <w:rsid w:val="6D0EFA35"/>
    <w:rsid w:val="6D682E8C"/>
    <w:rsid w:val="6D81675D"/>
    <w:rsid w:val="6D840E10"/>
    <w:rsid w:val="6DB5740C"/>
    <w:rsid w:val="6E753247"/>
    <w:rsid w:val="6EA5C622"/>
    <w:rsid w:val="6EC05B2C"/>
    <w:rsid w:val="6EE8D119"/>
    <w:rsid w:val="6EE8FDCD"/>
    <w:rsid w:val="6F57A4AB"/>
    <w:rsid w:val="6FE91323"/>
    <w:rsid w:val="7048E20D"/>
    <w:rsid w:val="707C1C0F"/>
    <w:rsid w:val="7091A749"/>
    <w:rsid w:val="70A78667"/>
    <w:rsid w:val="70B9081F"/>
    <w:rsid w:val="70D7AC12"/>
    <w:rsid w:val="713BDCF3"/>
    <w:rsid w:val="71DAE374"/>
    <w:rsid w:val="71EFE789"/>
    <w:rsid w:val="71FF826F"/>
    <w:rsid w:val="72797B17"/>
    <w:rsid w:val="72F4BDA0"/>
    <w:rsid w:val="73150485"/>
    <w:rsid w:val="7422A516"/>
    <w:rsid w:val="7449AFB7"/>
    <w:rsid w:val="74D5FAA8"/>
    <w:rsid w:val="7525DD66"/>
    <w:rsid w:val="755E9E62"/>
    <w:rsid w:val="75672FE1"/>
    <w:rsid w:val="75800BAB"/>
    <w:rsid w:val="758A3BB6"/>
    <w:rsid w:val="758B7856"/>
    <w:rsid w:val="75A29675"/>
    <w:rsid w:val="75B86301"/>
    <w:rsid w:val="75C79BD9"/>
    <w:rsid w:val="75D06002"/>
    <w:rsid w:val="7691C0ED"/>
    <w:rsid w:val="769F7925"/>
    <w:rsid w:val="76AD0D90"/>
    <w:rsid w:val="76C21CD4"/>
    <w:rsid w:val="77354D1D"/>
    <w:rsid w:val="777A440C"/>
    <w:rsid w:val="77920AA8"/>
    <w:rsid w:val="77923D79"/>
    <w:rsid w:val="77966CFE"/>
    <w:rsid w:val="779CFE3A"/>
    <w:rsid w:val="77BF082A"/>
    <w:rsid w:val="77D41BCC"/>
    <w:rsid w:val="781E6F19"/>
    <w:rsid w:val="794102D3"/>
    <w:rsid w:val="79506BDA"/>
    <w:rsid w:val="79541AF0"/>
    <w:rsid w:val="79C6C3F3"/>
    <w:rsid w:val="7A398C72"/>
    <w:rsid w:val="7A5B6900"/>
    <w:rsid w:val="7A6F4BBF"/>
    <w:rsid w:val="7A7D0348"/>
    <w:rsid w:val="7A844FD4"/>
    <w:rsid w:val="7ABDBB22"/>
    <w:rsid w:val="7B017500"/>
    <w:rsid w:val="7B0F36B4"/>
    <w:rsid w:val="7B6DB64E"/>
    <w:rsid w:val="7C557A7A"/>
    <w:rsid w:val="7C72EC17"/>
    <w:rsid w:val="7D4964AD"/>
    <w:rsid w:val="7D5C50B1"/>
    <w:rsid w:val="7D6CF37C"/>
    <w:rsid w:val="7D988D05"/>
    <w:rsid w:val="7E3DE494"/>
    <w:rsid w:val="7E82BCE2"/>
    <w:rsid w:val="7ECDE8FE"/>
    <w:rsid w:val="7ECF25AA"/>
    <w:rsid w:val="7EDE7773"/>
    <w:rsid w:val="7EE62393"/>
    <w:rsid w:val="7EF754B6"/>
    <w:rsid w:val="7F5C0832"/>
    <w:rsid w:val="7F5C2CCF"/>
    <w:rsid w:val="7F8238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55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B87"/>
    <w:rPr>
      <w:rFonts w:ascii="Arial" w:hAnsi="Arial"/>
      <w:sz w:val="24"/>
    </w:rPr>
  </w:style>
  <w:style w:type="paragraph" w:styleId="Heading1">
    <w:name w:val="heading 1"/>
    <w:basedOn w:val="Normal"/>
    <w:next w:val="Normal"/>
    <w:link w:val="Heading1Char"/>
    <w:uiPriority w:val="99"/>
    <w:qFormat/>
    <w:rsid w:val="008C3554"/>
    <w:pPr>
      <w:spacing w:after="324"/>
      <w:outlineLvl w:val="0"/>
    </w:pPr>
    <w:rPr>
      <w:rFonts w:eastAsia="Times New Roman"/>
      <w:b/>
      <w:bCs/>
      <w:color w:val="003478"/>
      <w:kern w:val="32"/>
      <w:sz w:val="56"/>
      <w:szCs w:val="32"/>
    </w:rPr>
  </w:style>
  <w:style w:type="paragraph" w:styleId="Heading2">
    <w:name w:val="heading 2"/>
    <w:basedOn w:val="Normal"/>
    <w:next w:val="Normal"/>
    <w:link w:val="Heading2Char1"/>
    <w:uiPriority w:val="99"/>
    <w:qFormat/>
    <w:rsid w:val="008C3554"/>
    <w:pPr>
      <w:spacing w:before="120" w:after="240"/>
      <w:outlineLvl w:val="1"/>
    </w:pPr>
    <w:rPr>
      <w:rFonts w:eastAsia="Times New Roman"/>
      <w:b/>
      <w:bCs/>
      <w:iCs/>
      <w:color w:val="003478"/>
      <w:sz w:val="32"/>
      <w:szCs w:val="28"/>
    </w:rPr>
  </w:style>
  <w:style w:type="paragraph" w:styleId="Heading3">
    <w:name w:val="heading 3"/>
    <w:basedOn w:val="Normal"/>
    <w:next w:val="Normal"/>
    <w:link w:val="Heading3Char1"/>
    <w:uiPriority w:val="99"/>
    <w:qFormat/>
    <w:rsid w:val="008C3554"/>
    <w:pPr>
      <w:spacing w:after="120"/>
      <w:outlineLvl w:val="2"/>
    </w:pPr>
    <w:rPr>
      <w:rFonts w:eastAsia="Times New Roman"/>
      <w:b/>
      <w:bCs/>
      <w:color w:val="009BBB"/>
      <w:sz w:val="26"/>
      <w:szCs w:val="26"/>
    </w:rPr>
  </w:style>
  <w:style w:type="paragraph" w:styleId="Heading4">
    <w:name w:val="heading 4"/>
    <w:basedOn w:val="Normal"/>
    <w:next w:val="Normal"/>
    <w:link w:val="Heading4Char1"/>
    <w:uiPriority w:val="99"/>
    <w:qFormat/>
    <w:rsid w:val="008C3554"/>
    <w:pPr>
      <w:spacing w:after="60"/>
      <w:outlineLvl w:val="3"/>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8C355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uiPriority w:val="9"/>
    <w:semiHidden/>
    <w:rsid w:val="008C3554"/>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uiPriority w:val="9"/>
    <w:semiHidden/>
    <w:rsid w:val="008C3554"/>
    <w:rPr>
      <w:rFonts w:asciiTheme="minorHAnsi" w:eastAsiaTheme="minorEastAsia" w:hAnsiTheme="minorHAnsi" w:cstheme="minorBidi"/>
      <w:b/>
      <w:bCs/>
      <w:sz w:val="28"/>
      <w:szCs w:val="28"/>
      <w:lang w:eastAsia="en-US"/>
    </w:rPr>
  </w:style>
  <w:style w:type="paragraph" w:customStyle="1" w:styleId="BISTitle">
    <w:name w:val="BIS Title"/>
    <w:basedOn w:val="Normal"/>
    <w:autoRedefine/>
    <w:uiPriority w:val="99"/>
    <w:rsid w:val="008C3554"/>
    <w:pPr>
      <w:spacing w:line="240" w:lineRule="atLeast"/>
      <w:ind w:left="142"/>
    </w:pPr>
    <w:rPr>
      <w:rFonts w:eastAsia="Times New Roman"/>
      <w:b/>
      <w:noProof/>
      <w:color w:val="FFFFFF"/>
      <w:lang w:val="en-US"/>
    </w:rPr>
  </w:style>
  <w:style w:type="paragraph" w:customStyle="1" w:styleId="BISCovertext">
    <w:name w:val="BIS Cover text"/>
    <w:basedOn w:val="BISTitle"/>
    <w:autoRedefine/>
    <w:uiPriority w:val="99"/>
    <w:rsid w:val="008C3554"/>
    <w:rPr>
      <w:b w:val="0"/>
      <w:sz w:val="28"/>
      <w:szCs w:val="28"/>
    </w:rPr>
  </w:style>
  <w:style w:type="character" w:customStyle="1" w:styleId="HeaderChar">
    <w:name w:val="Header Char"/>
    <w:basedOn w:val="DefaultParagraphFont"/>
    <w:uiPriority w:val="99"/>
    <w:semiHidden/>
    <w:rsid w:val="008C3554"/>
    <w:rPr>
      <w:rFonts w:ascii="Arial" w:hAnsi="Arial"/>
      <w:sz w:val="24"/>
      <w:szCs w:val="24"/>
      <w:lang w:eastAsia="en-US"/>
    </w:rPr>
  </w:style>
  <w:style w:type="paragraph" w:customStyle="1" w:styleId="BISInsidebullets">
    <w:name w:val="BIS Inside bullets"/>
    <w:basedOn w:val="Normal"/>
    <w:autoRedefine/>
    <w:uiPriority w:val="99"/>
    <w:rsid w:val="008C3554"/>
    <w:pPr>
      <w:numPr>
        <w:numId w:val="5"/>
      </w:numPr>
      <w:tabs>
        <w:tab w:val="left" w:pos="284"/>
      </w:tabs>
      <w:spacing w:before="120"/>
      <w:outlineLvl w:val="0"/>
    </w:pPr>
    <w:rPr>
      <w:rFonts w:eastAsia="Times New Roman" w:cs="Arial"/>
      <w:bCs/>
      <w:color w:val="FFFFFF"/>
      <w:kern w:val="32"/>
      <w:szCs w:val="56"/>
    </w:rPr>
  </w:style>
  <w:style w:type="paragraph" w:customStyle="1" w:styleId="TableTitleRomanWhite">
    <w:name w:val="Table Title Roman White"/>
    <w:basedOn w:val="TableTitle"/>
    <w:uiPriority w:val="99"/>
    <w:rsid w:val="008C3554"/>
    <w:rPr>
      <w:b/>
      <w:color w:val="FFFFFF"/>
    </w:rPr>
  </w:style>
  <w:style w:type="paragraph" w:customStyle="1" w:styleId="BISOddHeader">
    <w:name w:val="BIS Odd Header"/>
    <w:basedOn w:val="Normal"/>
    <w:autoRedefine/>
    <w:uiPriority w:val="99"/>
    <w:rsid w:val="008C3554"/>
    <w:pPr>
      <w:tabs>
        <w:tab w:val="center" w:pos="4153"/>
        <w:tab w:val="right" w:pos="8306"/>
      </w:tabs>
      <w:jc w:val="right"/>
    </w:pPr>
    <w:rPr>
      <w:rFonts w:eastAsia="Times New Roman"/>
      <w:color w:val="003478"/>
      <w:sz w:val="18"/>
    </w:rPr>
  </w:style>
  <w:style w:type="paragraph" w:customStyle="1" w:styleId="Introparagraph">
    <w:name w:val="Intro paragraph"/>
    <w:basedOn w:val="Normal"/>
    <w:autoRedefine/>
    <w:uiPriority w:val="99"/>
    <w:rsid w:val="008C3554"/>
    <w:pPr>
      <w:keepNext/>
      <w:spacing w:before="120" w:after="360"/>
      <w:outlineLvl w:val="0"/>
    </w:pPr>
    <w:rPr>
      <w:rFonts w:eastAsia="Times New Roman"/>
      <w:b/>
      <w:bCs/>
      <w:noProof/>
      <w:kern w:val="32"/>
      <w:sz w:val="28"/>
      <w:szCs w:val="56"/>
    </w:rPr>
  </w:style>
  <w:style w:type="paragraph" w:customStyle="1" w:styleId="TintBox">
    <w:name w:val="Tint Box"/>
    <w:basedOn w:val="Normal"/>
    <w:next w:val="Normal"/>
    <w:uiPriority w:val="99"/>
    <w:rsid w:val="008C3554"/>
    <w:pPr>
      <w:pBdr>
        <w:top w:val="single" w:sz="2" w:space="6" w:color="FFFFFF"/>
        <w:left w:val="single" w:sz="2" w:space="8" w:color="FFFFFF"/>
        <w:bottom w:val="single" w:sz="2" w:space="8" w:color="FFFFFF"/>
        <w:right w:val="single" w:sz="2" w:space="8" w:color="FFFFFF"/>
      </w:pBdr>
      <w:shd w:val="pct10" w:color="auto" w:fill="auto"/>
      <w:spacing w:line="280" w:lineRule="exact"/>
    </w:pPr>
    <w:rPr>
      <w:rFonts w:eastAsia="Times New Roman"/>
      <w:b/>
    </w:rPr>
  </w:style>
  <w:style w:type="character" w:customStyle="1" w:styleId="FooterChar">
    <w:name w:val="Footer Char"/>
    <w:basedOn w:val="DefaultParagraphFont"/>
    <w:uiPriority w:val="99"/>
    <w:rsid w:val="008C3554"/>
    <w:rPr>
      <w:rFonts w:ascii="Arial" w:hAnsi="Arial"/>
      <w:sz w:val="24"/>
      <w:szCs w:val="24"/>
      <w:lang w:eastAsia="en-US"/>
    </w:rPr>
  </w:style>
  <w:style w:type="paragraph" w:customStyle="1" w:styleId="BISnumberingBold">
    <w:name w:val="BIS numbering Bold"/>
    <w:basedOn w:val="Normal"/>
    <w:autoRedefine/>
    <w:uiPriority w:val="99"/>
    <w:rsid w:val="008C3554"/>
    <w:pPr>
      <w:numPr>
        <w:numId w:val="6"/>
      </w:numPr>
      <w:tabs>
        <w:tab w:val="left" w:pos="567"/>
      </w:tabs>
      <w:ind w:right="11"/>
    </w:pPr>
    <w:rPr>
      <w:rFonts w:eastAsia="Times New Roman"/>
    </w:rPr>
  </w:style>
  <w:style w:type="character" w:customStyle="1" w:styleId="StylePantoneCyanBold">
    <w:name w:val="Style Pantone Cyan + Bold"/>
    <w:basedOn w:val="PantoneCyan"/>
    <w:uiPriority w:val="99"/>
    <w:rsid w:val="008C3554"/>
    <w:rPr>
      <w:rFonts w:cs="Times New Roman"/>
      <w:b/>
      <w:bCs/>
      <w:color w:val="003478"/>
    </w:rPr>
  </w:style>
  <w:style w:type="character" w:customStyle="1" w:styleId="Page1White">
    <w:name w:val="Page 1 White"/>
    <w:basedOn w:val="DefaultParagraphFont"/>
    <w:uiPriority w:val="99"/>
    <w:rsid w:val="008C3554"/>
    <w:rPr>
      <w:rFonts w:ascii="Arial" w:hAnsi="Arial" w:cs="Times New Roman"/>
      <w:color w:val="FFFFFF"/>
      <w:sz w:val="24"/>
    </w:rPr>
  </w:style>
  <w:style w:type="paragraph" w:customStyle="1" w:styleId="EvenPageNumber">
    <w:name w:val="Even Page Number"/>
    <w:basedOn w:val="Normal"/>
    <w:uiPriority w:val="99"/>
    <w:rsid w:val="008C3554"/>
    <w:rPr>
      <w:rFonts w:eastAsia="Times New Roman"/>
      <w:color w:val="003478"/>
    </w:rPr>
  </w:style>
  <w:style w:type="paragraph" w:customStyle="1" w:styleId="BISEvenHeader">
    <w:name w:val="BIS Even Header"/>
    <w:basedOn w:val="BISOddHeader"/>
    <w:uiPriority w:val="99"/>
    <w:rsid w:val="008C3554"/>
    <w:pPr>
      <w:jc w:val="left"/>
    </w:pPr>
  </w:style>
  <w:style w:type="character" w:customStyle="1" w:styleId="StylePantone144Bold">
    <w:name w:val="Style Pantone 144 + Bold"/>
    <w:basedOn w:val="Pantone144"/>
    <w:uiPriority w:val="99"/>
    <w:rsid w:val="008C3554"/>
    <w:rPr>
      <w:rFonts w:cs="Times New Roman"/>
      <w:b/>
      <w:bCs/>
      <w:color w:val="FFCC11"/>
    </w:rPr>
  </w:style>
  <w:style w:type="paragraph" w:customStyle="1" w:styleId="BoxText">
    <w:name w:val="Box Text"/>
    <w:basedOn w:val="Normal"/>
    <w:uiPriority w:val="99"/>
    <w:rsid w:val="008C3554"/>
    <w:pPr>
      <w:spacing w:line="288" w:lineRule="exact"/>
      <w:jc w:val="center"/>
    </w:pPr>
    <w:rPr>
      <w:rFonts w:ascii="Arial Bold" w:eastAsia="Times New Roman" w:hAnsi="Arial Bold"/>
      <w:b/>
      <w:color w:val="FFFFFF"/>
    </w:rPr>
  </w:style>
  <w:style w:type="paragraph" w:customStyle="1" w:styleId="TableText">
    <w:name w:val="Table Text"/>
    <w:basedOn w:val="Normal"/>
    <w:uiPriority w:val="99"/>
    <w:rsid w:val="008C3554"/>
    <w:pPr>
      <w:spacing w:after="80"/>
      <w:ind w:left="113" w:right="113"/>
    </w:pPr>
    <w:rPr>
      <w:rFonts w:eastAsia="Times New Roman"/>
      <w:b/>
    </w:rPr>
  </w:style>
  <w:style w:type="paragraph" w:customStyle="1" w:styleId="TableTitle">
    <w:name w:val="Table Title"/>
    <w:basedOn w:val="TableText"/>
    <w:uiPriority w:val="99"/>
    <w:rsid w:val="008C3554"/>
    <w:pPr>
      <w:spacing w:after="0"/>
    </w:pPr>
    <w:rPr>
      <w:b w:val="0"/>
    </w:rPr>
  </w:style>
  <w:style w:type="character" w:customStyle="1" w:styleId="PantoneCyan">
    <w:name w:val="Pantone Cyan"/>
    <w:basedOn w:val="DefaultParagraphFont"/>
    <w:uiPriority w:val="99"/>
    <w:rsid w:val="008C3554"/>
    <w:rPr>
      <w:rFonts w:cs="Times New Roman"/>
      <w:color w:val="009EE3"/>
    </w:rPr>
  </w:style>
  <w:style w:type="character" w:customStyle="1" w:styleId="Pantone144">
    <w:name w:val="Pantone 144"/>
    <w:basedOn w:val="DefaultParagraphFont"/>
    <w:uiPriority w:val="99"/>
    <w:rsid w:val="008C3554"/>
    <w:rPr>
      <w:rFonts w:cs="Times New Roman"/>
      <w:color w:val="FFCC11"/>
    </w:rPr>
  </w:style>
  <w:style w:type="character" w:customStyle="1" w:styleId="Pantone187">
    <w:name w:val="Pantone 187"/>
    <w:basedOn w:val="DefaultParagraphFont"/>
    <w:uiPriority w:val="99"/>
    <w:rsid w:val="008C3554"/>
    <w:rPr>
      <w:rFonts w:cs="Times New Roman"/>
      <w:color w:val="CC0033"/>
    </w:rPr>
  </w:style>
  <w:style w:type="character" w:customStyle="1" w:styleId="Pantone2593">
    <w:name w:val="Pantone 2593"/>
    <w:basedOn w:val="DefaultParagraphFont"/>
    <w:uiPriority w:val="99"/>
    <w:rsid w:val="008C3554"/>
    <w:rPr>
      <w:rFonts w:cs="Times New Roman"/>
      <w:color w:val="742F89"/>
    </w:rPr>
  </w:style>
  <w:style w:type="character" w:customStyle="1" w:styleId="PantoneWhite">
    <w:name w:val="Pantone White"/>
    <w:basedOn w:val="Pantone2593"/>
    <w:uiPriority w:val="99"/>
    <w:rsid w:val="008C3554"/>
    <w:rPr>
      <w:rFonts w:cs="Times New Roman"/>
      <w:color w:val="FFFFFF"/>
    </w:rPr>
  </w:style>
  <w:style w:type="paragraph" w:customStyle="1" w:styleId="Dateonfirstpage">
    <w:name w:val="Date on first page"/>
    <w:basedOn w:val="Normal"/>
    <w:uiPriority w:val="99"/>
    <w:locked/>
    <w:rsid w:val="008C3554"/>
    <w:pPr>
      <w:spacing w:line="360" w:lineRule="exact"/>
      <w:ind w:right="28"/>
      <w:jc w:val="right"/>
    </w:pPr>
    <w:rPr>
      <w:rFonts w:eastAsia="Times New Roman"/>
      <w:color w:val="FFFFFF"/>
      <w:sz w:val="30"/>
    </w:rPr>
  </w:style>
  <w:style w:type="paragraph" w:customStyle="1" w:styleId="ZeroLead">
    <w:name w:val="Zero Lead"/>
    <w:basedOn w:val="BISCovertext"/>
    <w:uiPriority w:val="99"/>
    <w:rsid w:val="008C3554"/>
    <w:pPr>
      <w:spacing w:line="20" w:lineRule="exact"/>
    </w:pPr>
  </w:style>
  <w:style w:type="paragraph" w:customStyle="1" w:styleId="EndpageText">
    <w:name w:val="End page Text"/>
    <w:basedOn w:val="Normal"/>
    <w:link w:val="EndpageTextChar"/>
    <w:uiPriority w:val="99"/>
    <w:rsid w:val="008C3554"/>
    <w:pPr>
      <w:spacing w:line="260" w:lineRule="exact"/>
    </w:pPr>
    <w:rPr>
      <w:rFonts w:eastAsia="Times New Roman"/>
      <w:sz w:val="20"/>
    </w:rPr>
  </w:style>
  <w:style w:type="character" w:customStyle="1" w:styleId="EndpageTextChar">
    <w:name w:val="End page Text Char"/>
    <w:basedOn w:val="DefaultParagraphFont"/>
    <w:link w:val="EndpageText"/>
    <w:uiPriority w:val="99"/>
    <w:rsid w:val="008C3554"/>
    <w:rPr>
      <w:rFonts w:ascii="Arial" w:eastAsia="Times New Roman" w:hAnsi="Arial" w:cs="Times New Roman"/>
      <w:sz w:val="20"/>
      <w:szCs w:val="24"/>
    </w:rPr>
  </w:style>
  <w:style w:type="paragraph" w:customStyle="1" w:styleId="Tabletitle-ConsulatationQuestionWhite">
    <w:name w:val="Table title - Consulatation Question White"/>
    <w:basedOn w:val="TableTitle"/>
    <w:uiPriority w:val="99"/>
    <w:rsid w:val="008C3554"/>
    <w:rPr>
      <w:rFonts w:ascii="Arial Bold" w:hAnsi="Arial Bold"/>
      <w:b/>
      <w:color w:val="FFFFFF"/>
    </w:rPr>
  </w:style>
  <w:style w:type="paragraph" w:customStyle="1" w:styleId="Documenttitle">
    <w:name w:val="Document title"/>
    <w:basedOn w:val="Normal"/>
    <w:uiPriority w:val="99"/>
    <w:locked/>
    <w:rsid w:val="008C3554"/>
    <w:pPr>
      <w:spacing w:line="240" w:lineRule="atLeast"/>
    </w:pPr>
    <w:rPr>
      <w:rFonts w:eastAsia="Times New Roman"/>
      <w:b/>
      <w:caps/>
    </w:rPr>
  </w:style>
  <w:style w:type="paragraph" w:customStyle="1" w:styleId="Secondarytitle">
    <w:name w:val="Secondary title"/>
    <w:basedOn w:val="Normal"/>
    <w:uiPriority w:val="99"/>
    <w:rsid w:val="008C3554"/>
    <w:pPr>
      <w:spacing w:line="240" w:lineRule="atLeast"/>
    </w:pPr>
    <w:rPr>
      <w:rFonts w:eastAsia="Times New Roman"/>
      <w:sz w:val="28"/>
    </w:rPr>
  </w:style>
  <w:style w:type="paragraph" w:customStyle="1" w:styleId="Tabletextnon-bold">
    <w:name w:val="Table text non-bold"/>
    <w:basedOn w:val="TableText"/>
    <w:uiPriority w:val="99"/>
    <w:rsid w:val="008C3554"/>
    <w:rPr>
      <w:b w:val="0"/>
    </w:rPr>
  </w:style>
  <w:style w:type="paragraph" w:customStyle="1" w:styleId="Supplementarytitle">
    <w:name w:val="Supplementary title"/>
    <w:basedOn w:val="Normal"/>
    <w:uiPriority w:val="99"/>
    <w:rsid w:val="008C3554"/>
    <w:pPr>
      <w:spacing w:line="240" w:lineRule="atLeast"/>
    </w:pPr>
    <w:rPr>
      <w:rFonts w:eastAsia="Times New Roman"/>
      <w:caps/>
      <w:sz w:val="20"/>
    </w:rPr>
  </w:style>
  <w:style w:type="character" w:customStyle="1" w:styleId="StylePantone187Bold">
    <w:name w:val="Style Pantone 187 + Bold"/>
    <w:basedOn w:val="Pantone187"/>
    <w:uiPriority w:val="99"/>
    <w:rsid w:val="008C3554"/>
    <w:rPr>
      <w:rFonts w:cs="Times New Roman"/>
      <w:b/>
      <w:bCs/>
      <w:color w:val="CC0033"/>
    </w:rPr>
  </w:style>
  <w:style w:type="numbering" w:customStyle="1" w:styleId="StyleOutlinenumberedLeft089cmHanging063cm">
    <w:name w:val="Style Outline numbered Left:  0.89 cm Hanging:  0.63 cm"/>
    <w:rsid w:val="008C3554"/>
    <w:pPr>
      <w:numPr>
        <w:numId w:val="1"/>
      </w:numPr>
    </w:pPr>
  </w:style>
  <w:style w:type="numbering" w:customStyle="1" w:styleId="TableBullets">
    <w:name w:val="Table Bullets"/>
    <w:rsid w:val="008C3554"/>
    <w:pPr>
      <w:numPr>
        <w:numId w:val="2"/>
      </w:numPr>
    </w:pPr>
  </w:style>
  <w:style w:type="numbering" w:customStyle="1" w:styleId="Numberlist">
    <w:name w:val="Number list"/>
    <w:rsid w:val="008C3554"/>
    <w:pPr>
      <w:numPr>
        <w:numId w:val="3"/>
      </w:numPr>
    </w:pPr>
  </w:style>
  <w:style w:type="paragraph" w:customStyle="1" w:styleId="URN">
    <w:name w:val="URN"/>
    <w:basedOn w:val="EndpageText"/>
    <w:link w:val="URNChar"/>
    <w:rsid w:val="008C3554"/>
    <w:pPr>
      <w:spacing w:line="240" w:lineRule="auto"/>
    </w:pPr>
    <w:rPr>
      <w:b/>
      <w:szCs w:val="20"/>
    </w:rPr>
  </w:style>
  <w:style w:type="character" w:customStyle="1" w:styleId="URNChar">
    <w:name w:val="URN Char"/>
    <w:basedOn w:val="EndpageTextChar"/>
    <w:link w:val="URN"/>
    <w:rsid w:val="008C3554"/>
    <w:rPr>
      <w:rFonts w:ascii="Arial" w:eastAsia="Times New Roman" w:hAnsi="Arial" w:cs="Times New Roman"/>
      <w:b/>
      <w:sz w:val="20"/>
      <w:szCs w:val="20"/>
    </w:rPr>
  </w:style>
  <w:style w:type="character" w:customStyle="1" w:styleId="Heading1Char">
    <w:name w:val="Heading 1 Char"/>
    <w:basedOn w:val="DefaultParagraphFont"/>
    <w:link w:val="Heading1"/>
    <w:uiPriority w:val="99"/>
    <w:rsid w:val="008C3554"/>
    <w:rPr>
      <w:rFonts w:ascii="Arial" w:eastAsia="Times New Roman" w:hAnsi="Arial" w:cs="Times New Roman"/>
      <w:b/>
      <w:bCs/>
      <w:color w:val="003478"/>
      <w:kern w:val="32"/>
      <w:sz w:val="56"/>
      <w:szCs w:val="32"/>
    </w:rPr>
  </w:style>
  <w:style w:type="character" w:customStyle="1" w:styleId="Heading2Char1">
    <w:name w:val="Heading 2 Char1"/>
    <w:basedOn w:val="DefaultParagraphFont"/>
    <w:link w:val="Heading2"/>
    <w:uiPriority w:val="99"/>
    <w:rsid w:val="008C3554"/>
    <w:rPr>
      <w:rFonts w:ascii="Arial" w:eastAsia="Times New Roman" w:hAnsi="Arial" w:cs="Times New Roman"/>
      <w:b/>
      <w:bCs/>
      <w:iCs/>
      <w:color w:val="003478"/>
      <w:sz w:val="32"/>
      <w:szCs w:val="28"/>
    </w:rPr>
  </w:style>
  <w:style w:type="character" w:customStyle="1" w:styleId="Heading3Char1">
    <w:name w:val="Heading 3 Char1"/>
    <w:basedOn w:val="DefaultParagraphFont"/>
    <w:link w:val="Heading3"/>
    <w:uiPriority w:val="99"/>
    <w:rsid w:val="008C3554"/>
    <w:rPr>
      <w:rFonts w:ascii="Arial" w:eastAsia="Times New Roman" w:hAnsi="Arial" w:cs="Times New Roman"/>
      <w:b/>
      <w:bCs/>
      <w:color w:val="009BBB"/>
      <w:sz w:val="26"/>
      <w:szCs w:val="26"/>
    </w:rPr>
  </w:style>
  <w:style w:type="character" w:customStyle="1" w:styleId="Heading4Char1">
    <w:name w:val="Heading 4 Char1"/>
    <w:basedOn w:val="DefaultParagraphFont"/>
    <w:link w:val="Heading4"/>
    <w:uiPriority w:val="99"/>
    <w:rsid w:val="008C3554"/>
    <w:rPr>
      <w:rFonts w:ascii="Arial" w:eastAsia="Times New Roman" w:hAnsi="Arial" w:cs="Times New Roman"/>
      <w:b/>
      <w:sz w:val="24"/>
      <w:szCs w:val="24"/>
    </w:rPr>
  </w:style>
  <w:style w:type="paragraph" w:styleId="TOC1">
    <w:name w:val="toc 1"/>
    <w:basedOn w:val="Normal"/>
    <w:next w:val="Normal"/>
    <w:autoRedefine/>
    <w:uiPriority w:val="39"/>
    <w:rsid w:val="008C3554"/>
    <w:pPr>
      <w:spacing w:line="280" w:lineRule="exact"/>
    </w:pPr>
    <w:rPr>
      <w:rFonts w:eastAsia="Times New Roman"/>
      <w:b/>
    </w:rPr>
  </w:style>
  <w:style w:type="paragraph" w:styleId="TOC2">
    <w:name w:val="toc 2"/>
    <w:basedOn w:val="Normal"/>
    <w:next w:val="Normal"/>
    <w:autoRedefine/>
    <w:uiPriority w:val="39"/>
    <w:rsid w:val="008C3554"/>
    <w:pPr>
      <w:spacing w:line="280" w:lineRule="exact"/>
      <w:ind w:left="238"/>
    </w:pPr>
    <w:rPr>
      <w:rFonts w:eastAsia="Times New Roman"/>
    </w:rPr>
  </w:style>
  <w:style w:type="paragraph" w:styleId="TOC3">
    <w:name w:val="toc 3"/>
    <w:basedOn w:val="Normal"/>
    <w:next w:val="Normal"/>
    <w:autoRedefine/>
    <w:uiPriority w:val="39"/>
    <w:rsid w:val="008C3554"/>
    <w:pPr>
      <w:spacing w:line="280" w:lineRule="exact"/>
      <w:ind w:left="482"/>
    </w:pPr>
    <w:rPr>
      <w:rFonts w:eastAsia="Times New Roman"/>
    </w:rPr>
  </w:style>
  <w:style w:type="paragraph" w:styleId="Header">
    <w:name w:val="header"/>
    <w:basedOn w:val="Normal"/>
    <w:link w:val="HeaderChar1"/>
    <w:uiPriority w:val="99"/>
    <w:rsid w:val="008C3554"/>
    <w:pPr>
      <w:tabs>
        <w:tab w:val="center" w:pos="4513"/>
        <w:tab w:val="right" w:pos="9026"/>
      </w:tabs>
    </w:pPr>
    <w:rPr>
      <w:rFonts w:eastAsia="Times New Roman"/>
    </w:rPr>
  </w:style>
  <w:style w:type="character" w:customStyle="1" w:styleId="HeaderChar1">
    <w:name w:val="Header Char1"/>
    <w:basedOn w:val="DefaultParagraphFont"/>
    <w:link w:val="Header"/>
    <w:uiPriority w:val="99"/>
    <w:rsid w:val="008C3554"/>
    <w:rPr>
      <w:rFonts w:ascii="Arial" w:eastAsia="Times New Roman" w:hAnsi="Arial" w:cs="Times New Roman"/>
      <w:sz w:val="24"/>
      <w:szCs w:val="24"/>
    </w:rPr>
  </w:style>
  <w:style w:type="paragraph" w:styleId="Footer">
    <w:name w:val="footer"/>
    <w:basedOn w:val="Normal"/>
    <w:link w:val="FooterChar1"/>
    <w:uiPriority w:val="99"/>
    <w:rsid w:val="008C3554"/>
    <w:pPr>
      <w:tabs>
        <w:tab w:val="center" w:pos="4513"/>
        <w:tab w:val="right" w:pos="9026"/>
      </w:tabs>
    </w:pPr>
    <w:rPr>
      <w:rFonts w:eastAsia="Times New Roman"/>
    </w:rPr>
  </w:style>
  <w:style w:type="character" w:customStyle="1" w:styleId="FooterChar1">
    <w:name w:val="Footer Char1"/>
    <w:basedOn w:val="DefaultParagraphFont"/>
    <w:link w:val="Footer"/>
    <w:uiPriority w:val="99"/>
    <w:rsid w:val="008C3554"/>
    <w:rPr>
      <w:rFonts w:ascii="Arial" w:eastAsia="Times New Roman" w:hAnsi="Arial" w:cs="Times New Roman"/>
      <w:sz w:val="24"/>
      <w:szCs w:val="24"/>
    </w:rPr>
  </w:style>
  <w:style w:type="paragraph" w:styleId="Caption">
    <w:name w:val="caption"/>
    <w:basedOn w:val="Normal"/>
    <w:next w:val="Normal"/>
    <w:uiPriority w:val="99"/>
    <w:qFormat/>
    <w:rsid w:val="008C3554"/>
    <w:rPr>
      <w:rFonts w:eastAsia="Times New Roman"/>
      <w:b/>
    </w:rPr>
  </w:style>
  <w:style w:type="character" w:styleId="PageNumber">
    <w:name w:val="page number"/>
    <w:basedOn w:val="DefaultParagraphFont"/>
    <w:uiPriority w:val="99"/>
    <w:rsid w:val="008C3554"/>
    <w:rPr>
      <w:rFonts w:cs="Times New Roman"/>
    </w:rPr>
  </w:style>
  <w:style w:type="paragraph" w:styleId="ListBullet">
    <w:name w:val="List Bullet"/>
    <w:basedOn w:val="Normal"/>
    <w:uiPriority w:val="99"/>
    <w:rsid w:val="008C3554"/>
    <w:pPr>
      <w:numPr>
        <w:numId w:val="4"/>
      </w:numPr>
      <w:spacing w:line="288" w:lineRule="exact"/>
    </w:pPr>
    <w:rPr>
      <w:rFonts w:eastAsia="Times New Roman"/>
    </w:rPr>
  </w:style>
  <w:style w:type="character" w:styleId="Hyperlink">
    <w:name w:val="Hyperlink"/>
    <w:basedOn w:val="DefaultParagraphFont"/>
    <w:uiPriority w:val="99"/>
    <w:rsid w:val="008C3554"/>
    <w:rPr>
      <w:rFonts w:ascii="Arial" w:hAnsi="Arial" w:cs="Times New Roman"/>
      <w:color w:val="0000FF"/>
      <w:sz w:val="24"/>
      <w:u w:val="single"/>
    </w:rPr>
  </w:style>
  <w:style w:type="character" w:styleId="FollowedHyperlink">
    <w:name w:val="FollowedHyperlink"/>
    <w:basedOn w:val="DefaultParagraphFont"/>
    <w:uiPriority w:val="99"/>
    <w:rsid w:val="008C3554"/>
    <w:rPr>
      <w:rFonts w:ascii="Arial" w:hAnsi="Arial" w:cs="Times New Roman"/>
      <w:color w:val="800080"/>
      <w:sz w:val="24"/>
      <w:u w:val="single"/>
    </w:rPr>
  </w:style>
  <w:style w:type="character" w:styleId="Strong">
    <w:name w:val="Strong"/>
    <w:aliases w:val="Bold"/>
    <w:basedOn w:val="DefaultParagraphFont"/>
    <w:uiPriority w:val="22"/>
    <w:qFormat/>
    <w:rsid w:val="008C3554"/>
    <w:rPr>
      <w:rFonts w:ascii="Arial" w:hAnsi="Arial"/>
      <w:b/>
      <w:bCs/>
      <w:sz w:val="24"/>
    </w:rPr>
  </w:style>
  <w:style w:type="character" w:styleId="Emphasis">
    <w:name w:val="Emphasis"/>
    <w:aliases w:val="Italic"/>
    <w:basedOn w:val="DefaultParagraphFont"/>
    <w:uiPriority w:val="20"/>
    <w:qFormat/>
    <w:rsid w:val="008C3554"/>
    <w:rPr>
      <w:i/>
      <w:iCs/>
    </w:rPr>
  </w:style>
  <w:style w:type="paragraph" w:styleId="DocumentMap">
    <w:name w:val="Document Map"/>
    <w:basedOn w:val="Normal"/>
    <w:link w:val="DocumentMapChar"/>
    <w:uiPriority w:val="99"/>
    <w:semiHidden/>
    <w:rsid w:val="008C3554"/>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8C3554"/>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rsid w:val="008C355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C3554"/>
    <w:rPr>
      <w:rFonts w:ascii="Tahoma" w:eastAsia="Times New Roman" w:hAnsi="Tahoma" w:cs="Tahoma"/>
      <w:sz w:val="16"/>
      <w:szCs w:val="16"/>
    </w:rPr>
  </w:style>
  <w:style w:type="table" w:styleId="TableGrid">
    <w:name w:val="Table Grid"/>
    <w:basedOn w:val="TableNormal"/>
    <w:uiPriority w:val="59"/>
    <w:rsid w:val="008C3554"/>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44FE"/>
    <w:rPr>
      <w:color w:val="808080"/>
    </w:rPr>
  </w:style>
  <w:style w:type="paragraph" w:customStyle="1" w:styleId="IATableLines">
    <w:name w:val="IATableLines"/>
    <w:basedOn w:val="Normal"/>
    <w:link w:val="IATableLinesChar"/>
    <w:rsid w:val="00BD7DFC"/>
    <w:pPr>
      <w:ind w:left="113" w:right="113"/>
    </w:pPr>
    <w:rPr>
      <w:rFonts w:eastAsia="SimSun"/>
      <w:spacing w:val="-5"/>
      <w:szCs w:val="20"/>
      <w:lang w:eastAsia="zh-CN"/>
    </w:rPr>
  </w:style>
  <w:style w:type="character" w:customStyle="1" w:styleId="IATableLinesChar">
    <w:name w:val="IATableLines Char"/>
    <w:link w:val="IATableLines"/>
    <w:rsid w:val="00BD7DFC"/>
    <w:rPr>
      <w:rFonts w:ascii="Arial" w:eastAsia="SimSun" w:hAnsi="Arial"/>
      <w:spacing w:val="-5"/>
      <w:szCs w:val="20"/>
      <w:lang w:eastAsia="zh-CN"/>
    </w:rPr>
  </w:style>
  <w:style w:type="paragraph" w:customStyle="1" w:styleId="IASign-offlabel">
    <w:name w:val="IA Sign-off label"/>
    <w:basedOn w:val="Normal"/>
    <w:link w:val="IASign-offlabelChar"/>
    <w:rsid w:val="00BD7DFC"/>
    <w:pPr>
      <w:spacing w:before="110" w:after="120"/>
    </w:pPr>
    <w:rPr>
      <w:rFonts w:eastAsia="SimSun"/>
      <w:b/>
      <w:color w:val="000000"/>
      <w:spacing w:val="-5"/>
      <w:sz w:val="20"/>
      <w:u w:val="single"/>
      <w:lang w:eastAsia="zh-CN"/>
    </w:rPr>
  </w:style>
  <w:style w:type="character" w:customStyle="1" w:styleId="IASign-offlabelChar">
    <w:name w:val="IA Sign-off label Char"/>
    <w:link w:val="IASign-offlabel"/>
    <w:rsid w:val="00BD7DFC"/>
    <w:rPr>
      <w:rFonts w:ascii="Arial" w:eastAsia="SimSun" w:hAnsi="Arial"/>
      <w:b/>
      <w:color w:val="000000"/>
      <w:spacing w:val="-5"/>
      <w:sz w:val="20"/>
      <w:u w:val="single"/>
      <w:lang w:eastAsia="zh-CN"/>
    </w:rPr>
  </w:style>
  <w:style w:type="paragraph" w:customStyle="1" w:styleId="IASign-off">
    <w:name w:val="IA Sign-off"/>
    <w:basedOn w:val="Normal"/>
    <w:rsid w:val="00BD7DFC"/>
    <w:pPr>
      <w:ind w:right="284"/>
    </w:pPr>
    <w:rPr>
      <w:rFonts w:eastAsia="SimSun"/>
      <w:b/>
      <w:i/>
      <w:spacing w:val="-5"/>
      <w:szCs w:val="20"/>
      <w:lang w:eastAsia="zh-CN"/>
    </w:rPr>
  </w:style>
  <w:style w:type="paragraph" w:customStyle="1" w:styleId="EBBodyPara">
    <w:name w:val="EBBodyPara"/>
    <w:basedOn w:val="BodyText"/>
    <w:rsid w:val="001D00DB"/>
    <w:rPr>
      <w:rFonts w:eastAsia="Times New Roman" w:cs="Arial"/>
      <w:bCs/>
      <w:color w:val="000000"/>
      <w:lang w:eastAsia="en-GB"/>
    </w:rPr>
  </w:style>
  <w:style w:type="paragraph" w:styleId="BodyText">
    <w:name w:val="Body Text"/>
    <w:basedOn w:val="Normal"/>
    <w:link w:val="BodyTextChar"/>
    <w:uiPriority w:val="99"/>
    <w:semiHidden/>
    <w:unhideWhenUsed/>
    <w:rsid w:val="001D00DB"/>
    <w:pPr>
      <w:spacing w:after="120"/>
    </w:pPr>
  </w:style>
  <w:style w:type="character" w:customStyle="1" w:styleId="BodyTextChar">
    <w:name w:val="Body Text Char"/>
    <w:basedOn w:val="DefaultParagraphFont"/>
    <w:link w:val="BodyText"/>
    <w:uiPriority w:val="99"/>
    <w:semiHidden/>
    <w:rsid w:val="001D00DB"/>
  </w:style>
  <w:style w:type="character" w:customStyle="1" w:styleId="Style1">
    <w:name w:val="Style1"/>
    <w:basedOn w:val="DefaultParagraphFont"/>
    <w:uiPriority w:val="1"/>
    <w:rsid w:val="00DA7D3B"/>
    <w:rPr>
      <w:rFonts w:ascii="Arial" w:hAnsi="Arial"/>
      <w:sz w:val="24"/>
    </w:rPr>
  </w:style>
  <w:style w:type="paragraph" w:styleId="ListParagraph">
    <w:name w:val="List Paragraph"/>
    <w:basedOn w:val="Normal"/>
    <w:uiPriority w:val="34"/>
    <w:qFormat/>
    <w:rsid w:val="00516250"/>
    <w:pPr>
      <w:ind w:left="720"/>
      <w:contextualSpacing/>
    </w:pPr>
  </w:style>
  <w:style w:type="paragraph" w:styleId="FootnoteText">
    <w:name w:val="footnote text"/>
    <w:basedOn w:val="Normal"/>
    <w:link w:val="FootnoteTextChar"/>
    <w:uiPriority w:val="99"/>
    <w:semiHidden/>
    <w:unhideWhenUsed/>
    <w:rsid w:val="00651334"/>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51334"/>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51334"/>
    <w:rPr>
      <w:vertAlign w:val="superscript"/>
    </w:rPr>
  </w:style>
  <w:style w:type="character" w:customStyle="1" w:styleId="normaltextrun">
    <w:name w:val="normaltextrun"/>
    <w:basedOn w:val="DefaultParagraphFont"/>
    <w:rsid w:val="00844FB6"/>
  </w:style>
  <w:style w:type="character" w:customStyle="1" w:styleId="eop">
    <w:name w:val="eop"/>
    <w:basedOn w:val="DefaultParagraphFont"/>
    <w:rsid w:val="00844FB6"/>
  </w:style>
  <w:style w:type="character" w:styleId="CommentReference">
    <w:name w:val="annotation reference"/>
    <w:basedOn w:val="DefaultParagraphFont"/>
    <w:uiPriority w:val="99"/>
    <w:semiHidden/>
    <w:unhideWhenUsed/>
    <w:rsid w:val="00D120DD"/>
    <w:rPr>
      <w:sz w:val="16"/>
      <w:szCs w:val="16"/>
    </w:rPr>
  </w:style>
  <w:style w:type="paragraph" w:styleId="CommentText">
    <w:name w:val="annotation text"/>
    <w:basedOn w:val="Normal"/>
    <w:link w:val="CommentTextChar"/>
    <w:uiPriority w:val="99"/>
    <w:semiHidden/>
    <w:unhideWhenUsed/>
    <w:rsid w:val="00D120DD"/>
    <w:rPr>
      <w:sz w:val="20"/>
      <w:szCs w:val="20"/>
    </w:rPr>
  </w:style>
  <w:style w:type="character" w:customStyle="1" w:styleId="CommentTextChar">
    <w:name w:val="Comment Text Char"/>
    <w:basedOn w:val="DefaultParagraphFont"/>
    <w:link w:val="CommentText"/>
    <w:uiPriority w:val="99"/>
    <w:semiHidden/>
    <w:rsid w:val="00D120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120DD"/>
    <w:rPr>
      <w:b/>
      <w:bCs/>
    </w:rPr>
  </w:style>
  <w:style w:type="character" w:customStyle="1" w:styleId="CommentSubjectChar">
    <w:name w:val="Comment Subject Char"/>
    <w:basedOn w:val="CommentTextChar"/>
    <w:link w:val="CommentSubject"/>
    <w:uiPriority w:val="99"/>
    <w:semiHidden/>
    <w:rsid w:val="00D120DD"/>
    <w:rPr>
      <w:rFonts w:ascii="Arial" w:hAnsi="Arial"/>
      <w:b/>
      <w:bCs/>
      <w:sz w:val="20"/>
      <w:szCs w:val="20"/>
    </w:rPr>
  </w:style>
  <w:style w:type="character" w:styleId="UnresolvedMention">
    <w:name w:val="Unresolved Mention"/>
    <w:basedOn w:val="DefaultParagraphFont"/>
    <w:uiPriority w:val="99"/>
    <w:unhideWhenUsed/>
    <w:rsid w:val="00AD6A19"/>
    <w:rPr>
      <w:color w:val="605E5C"/>
      <w:shd w:val="clear" w:color="auto" w:fill="E1DFDD"/>
    </w:rPr>
  </w:style>
  <w:style w:type="character" w:styleId="Mention">
    <w:name w:val="Mention"/>
    <w:basedOn w:val="DefaultParagraphFont"/>
    <w:uiPriority w:val="99"/>
    <w:unhideWhenUsed/>
    <w:rsid w:val="00AD6A19"/>
    <w:rPr>
      <w:color w:val="2B579A"/>
      <w:shd w:val="clear" w:color="auto" w:fill="E1DFDD"/>
    </w:rPr>
  </w:style>
  <w:style w:type="paragraph" w:styleId="TOCHeading">
    <w:name w:val="TOC Heading"/>
    <w:basedOn w:val="Heading1"/>
    <w:next w:val="Normal"/>
    <w:uiPriority w:val="39"/>
    <w:unhideWhenUsed/>
    <w:qFormat/>
    <w:rsid w:val="00CA673A"/>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3075">
      <w:bodyDiv w:val="1"/>
      <w:marLeft w:val="0"/>
      <w:marRight w:val="0"/>
      <w:marTop w:val="0"/>
      <w:marBottom w:val="0"/>
      <w:divBdr>
        <w:top w:val="none" w:sz="0" w:space="0" w:color="auto"/>
        <w:left w:val="none" w:sz="0" w:space="0" w:color="auto"/>
        <w:bottom w:val="none" w:sz="0" w:space="0" w:color="auto"/>
        <w:right w:val="none" w:sz="0" w:space="0" w:color="auto"/>
      </w:divBdr>
      <w:divsChild>
        <w:div w:id="15886664">
          <w:marLeft w:val="0"/>
          <w:marRight w:val="0"/>
          <w:marTop w:val="0"/>
          <w:marBottom w:val="0"/>
          <w:divBdr>
            <w:top w:val="none" w:sz="0" w:space="0" w:color="auto"/>
            <w:left w:val="none" w:sz="0" w:space="0" w:color="auto"/>
            <w:bottom w:val="none" w:sz="0" w:space="0" w:color="auto"/>
            <w:right w:val="none" w:sz="0" w:space="0" w:color="auto"/>
          </w:divBdr>
        </w:div>
        <w:div w:id="59643355">
          <w:marLeft w:val="0"/>
          <w:marRight w:val="0"/>
          <w:marTop w:val="0"/>
          <w:marBottom w:val="0"/>
          <w:divBdr>
            <w:top w:val="none" w:sz="0" w:space="0" w:color="auto"/>
            <w:left w:val="none" w:sz="0" w:space="0" w:color="auto"/>
            <w:bottom w:val="none" w:sz="0" w:space="0" w:color="auto"/>
            <w:right w:val="none" w:sz="0" w:space="0" w:color="auto"/>
          </w:divBdr>
        </w:div>
        <w:div w:id="64499030">
          <w:marLeft w:val="0"/>
          <w:marRight w:val="0"/>
          <w:marTop w:val="0"/>
          <w:marBottom w:val="0"/>
          <w:divBdr>
            <w:top w:val="none" w:sz="0" w:space="0" w:color="auto"/>
            <w:left w:val="none" w:sz="0" w:space="0" w:color="auto"/>
            <w:bottom w:val="none" w:sz="0" w:space="0" w:color="auto"/>
            <w:right w:val="none" w:sz="0" w:space="0" w:color="auto"/>
          </w:divBdr>
        </w:div>
        <w:div w:id="90592840">
          <w:marLeft w:val="0"/>
          <w:marRight w:val="0"/>
          <w:marTop w:val="0"/>
          <w:marBottom w:val="0"/>
          <w:divBdr>
            <w:top w:val="none" w:sz="0" w:space="0" w:color="auto"/>
            <w:left w:val="none" w:sz="0" w:space="0" w:color="auto"/>
            <w:bottom w:val="none" w:sz="0" w:space="0" w:color="auto"/>
            <w:right w:val="none" w:sz="0" w:space="0" w:color="auto"/>
          </w:divBdr>
        </w:div>
        <w:div w:id="113985139">
          <w:marLeft w:val="0"/>
          <w:marRight w:val="0"/>
          <w:marTop w:val="0"/>
          <w:marBottom w:val="0"/>
          <w:divBdr>
            <w:top w:val="none" w:sz="0" w:space="0" w:color="auto"/>
            <w:left w:val="none" w:sz="0" w:space="0" w:color="auto"/>
            <w:bottom w:val="none" w:sz="0" w:space="0" w:color="auto"/>
            <w:right w:val="none" w:sz="0" w:space="0" w:color="auto"/>
          </w:divBdr>
        </w:div>
        <w:div w:id="246770290">
          <w:marLeft w:val="0"/>
          <w:marRight w:val="0"/>
          <w:marTop w:val="0"/>
          <w:marBottom w:val="0"/>
          <w:divBdr>
            <w:top w:val="none" w:sz="0" w:space="0" w:color="auto"/>
            <w:left w:val="none" w:sz="0" w:space="0" w:color="auto"/>
            <w:bottom w:val="none" w:sz="0" w:space="0" w:color="auto"/>
            <w:right w:val="none" w:sz="0" w:space="0" w:color="auto"/>
          </w:divBdr>
        </w:div>
        <w:div w:id="361250604">
          <w:marLeft w:val="0"/>
          <w:marRight w:val="0"/>
          <w:marTop w:val="0"/>
          <w:marBottom w:val="0"/>
          <w:divBdr>
            <w:top w:val="none" w:sz="0" w:space="0" w:color="auto"/>
            <w:left w:val="none" w:sz="0" w:space="0" w:color="auto"/>
            <w:bottom w:val="none" w:sz="0" w:space="0" w:color="auto"/>
            <w:right w:val="none" w:sz="0" w:space="0" w:color="auto"/>
          </w:divBdr>
        </w:div>
        <w:div w:id="379086756">
          <w:marLeft w:val="0"/>
          <w:marRight w:val="0"/>
          <w:marTop w:val="0"/>
          <w:marBottom w:val="0"/>
          <w:divBdr>
            <w:top w:val="none" w:sz="0" w:space="0" w:color="auto"/>
            <w:left w:val="none" w:sz="0" w:space="0" w:color="auto"/>
            <w:bottom w:val="none" w:sz="0" w:space="0" w:color="auto"/>
            <w:right w:val="none" w:sz="0" w:space="0" w:color="auto"/>
          </w:divBdr>
        </w:div>
        <w:div w:id="498693882">
          <w:marLeft w:val="0"/>
          <w:marRight w:val="0"/>
          <w:marTop w:val="0"/>
          <w:marBottom w:val="0"/>
          <w:divBdr>
            <w:top w:val="none" w:sz="0" w:space="0" w:color="auto"/>
            <w:left w:val="none" w:sz="0" w:space="0" w:color="auto"/>
            <w:bottom w:val="none" w:sz="0" w:space="0" w:color="auto"/>
            <w:right w:val="none" w:sz="0" w:space="0" w:color="auto"/>
          </w:divBdr>
        </w:div>
        <w:div w:id="551775707">
          <w:marLeft w:val="0"/>
          <w:marRight w:val="0"/>
          <w:marTop w:val="0"/>
          <w:marBottom w:val="0"/>
          <w:divBdr>
            <w:top w:val="none" w:sz="0" w:space="0" w:color="auto"/>
            <w:left w:val="none" w:sz="0" w:space="0" w:color="auto"/>
            <w:bottom w:val="none" w:sz="0" w:space="0" w:color="auto"/>
            <w:right w:val="none" w:sz="0" w:space="0" w:color="auto"/>
          </w:divBdr>
        </w:div>
        <w:div w:id="589193178">
          <w:marLeft w:val="0"/>
          <w:marRight w:val="0"/>
          <w:marTop w:val="0"/>
          <w:marBottom w:val="0"/>
          <w:divBdr>
            <w:top w:val="none" w:sz="0" w:space="0" w:color="auto"/>
            <w:left w:val="none" w:sz="0" w:space="0" w:color="auto"/>
            <w:bottom w:val="none" w:sz="0" w:space="0" w:color="auto"/>
            <w:right w:val="none" w:sz="0" w:space="0" w:color="auto"/>
          </w:divBdr>
        </w:div>
        <w:div w:id="702172571">
          <w:marLeft w:val="0"/>
          <w:marRight w:val="0"/>
          <w:marTop w:val="0"/>
          <w:marBottom w:val="0"/>
          <w:divBdr>
            <w:top w:val="none" w:sz="0" w:space="0" w:color="auto"/>
            <w:left w:val="none" w:sz="0" w:space="0" w:color="auto"/>
            <w:bottom w:val="none" w:sz="0" w:space="0" w:color="auto"/>
            <w:right w:val="none" w:sz="0" w:space="0" w:color="auto"/>
          </w:divBdr>
        </w:div>
        <w:div w:id="979112600">
          <w:marLeft w:val="0"/>
          <w:marRight w:val="0"/>
          <w:marTop w:val="0"/>
          <w:marBottom w:val="0"/>
          <w:divBdr>
            <w:top w:val="none" w:sz="0" w:space="0" w:color="auto"/>
            <w:left w:val="none" w:sz="0" w:space="0" w:color="auto"/>
            <w:bottom w:val="none" w:sz="0" w:space="0" w:color="auto"/>
            <w:right w:val="none" w:sz="0" w:space="0" w:color="auto"/>
          </w:divBdr>
        </w:div>
        <w:div w:id="1221868357">
          <w:marLeft w:val="0"/>
          <w:marRight w:val="0"/>
          <w:marTop w:val="0"/>
          <w:marBottom w:val="0"/>
          <w:divBdr>
            <w:top w:val="none" w:sz="0" w:space="0" w:color="auto"/>
            <w:left w:val="none" w:sz="0" w:space="0" w:color="auto"/>
            <w:bottom w:val="none" w:sz="0" w:space="0" w:color="auto"/>
            <w:right w:val="none" w:sz="0" w:space="0" w:color="auto"/>
          </w:divBdr>
        </w:div>
        <w:div w:id="1235167999">
          <w:marLeft w:val="0"/>
          <w:marRight w:val="0"/>
          <w:marTop w:val="0"/>
          <w:marBottom w:val="0"/>
          <w:divBdr>
            <w:top w:val="none" w:sz="0" w:space="0" w:color="auto"/>
            <w:left w:val="none" w:sz="0" w:space="0" w:color="auto"/>
            <w:bottom w:val="none" w:sz="0" w:space="0" w:color="auto"/>
            <w:right w:val="none" w:sz="0" w:space="0" w:color="auto"/>
          </w:divBdr>
        </w:div>
        <w:div w:id="1365717312">
          <w:marLeft w:val="0"/>
          <w:marRight w:val="0"/>
          <w:marTop w:val="0"/>
          <w:marBottom w:val="0"/>
          <w:divBdr>
            <w:top w:val="none" w:sz="0" w:space="0" w:color="auto"/>
            <w:left w:val="none" w:sz="0" w:space="0" w:color="auto"/>
            <w:bottom w:val="none" w:sz="0" w:space="0" w:color="auto"/>
            <w:right w:val="none" w:sz="0" w:space="0" w:color="auto"/>
          </w:divBdr>
        </w:div>
        <w:div w:id="1461267329">
          <w:marLeft w:val="0"/>
          <w:marRight w:val="0"/>
          <w:marTop w:val="0"/>
          <w:marBottom w:val="0"/>
          <w:divBdr>
            <w:top w:val="none" w:sz="0" w:space="0" w:color="auto"/>
            <w:left w:val="none" w:sz="0" w:space="0" w:color="auto"/>
            <w:bottom w:val="none" w:sz="0" w:space="0" w:color="auto"/>
            <w:right w:val="none" w:sz="0" w:space="0" w:color="auto"/>
          </w:divBdr>
        </w:div>
        <w:div w:id="1493401394">
          <w:marLeft w:val="0"/>
          <w:marRight w:val="0"/>
          <w:marTop w:val="0"/>
          <w:marBottom w:val="0"/>
          <w:divBdr>
            <w:top w:val="none" w:sz="0" w:space="0" w:color="auto"/>
            <w:left w:val="none" w:sz="0" w:space="0" w:color="auto"/>
            <w:bottom w:val="none" w:sz="0" w:space="0" w:color="auto"/>
            <w:right w:val="none" w:sz="0" w:space="0" w:color="auto"/>
          </w:divBdr>
        </w:div>
        <w:div w:id="1737313470">
          <w:marLeft w:val="0"/>
          <w:marRight w:val="0"/>
          <w:marTop w:val="0"/>
          <w:marBottom w:val="0"/>
          <w:divBdr>
            <w:top w:val="none" w:sz="0" w:space="0" w:color="auto"/>
            <w:left w:val="none" w:sz="0" w:space="0" w:color="auto"/>
            <w:bottom w:val="none" w:sz="0" w:space="0" w:color="auto"/>
            <w:right w:val="none" w:sz="0" w:space="0" w:color="auto"/>
          </w:divBdr>
        </w:div>
        <w:div w:id="1916278182">
          <w:marLeft w:val="0"/>
          <w:marRight w:val="0"/>
          <w:marTop w:val="0"/>
          <w:marBottom w:val="0"/>
          <w:divBdr>
            <w:top w:val="none" w:sz="0" w:space="0" w:color="auto"/>
            <w:left w:val="none" w:sz="0" w:space="0" w:color="auto"/>
            <w:bottom w:val="none" w:sz="0" w:space="0" w:color="auto"/>
            <w:right w:val="none" w:sz="0" w:space="0" w:color="auto"/>
          </w:divBdr>
        </w:div>
        <w:div w:id="1929608929">
          <w:marLeft w:val="0"/>
          <w:marRight w:val="0"/>
          <w:marTop w:val="0"/>
          <w:marBottom w:val="0"/>
          <w:divBdr>
            <w:top w:val="none" w:sz="0" w:space="0" w:color="auto"/>
            <w:left w:val="none" w:sz="0" w:space="0" w:color="auto"/>
            <w:bottom w:val="none" w:sz="0" w:space="0" w:color="auto"/>
            <w:right w:val="none" w:sz="0" w:space="0" w:color="auto"/>
          </w:divBdr>
        </w:div>
        <w:div w:id="1931237734">
          <w:marLeft w:val="0"/>
          <w:marRight w:val="0"/>
          <w:marTop w:val="0"/>
          <w:marBottom w:val="0"/>
          <w:divBdr>
            <w:top w:val="none" w:sz="0" w:space="0" w:color="auto"/>
            <w:left w:val="none" w:sz="0" w:space="0" w:color="auto"/>
            <w:bottom w:val="none" w:sz="0" w:space="0" w:color="auto"/>
            <w:right w:val="none" w:sz="0" w:space="0" w:color="auto"/>
          </w:divBdr>
        </w:div>
      </w:divsChild>
    </w:div>
    <w:div w:id="147208597">
      <w:bodyDiv w:val="1"/>
      <w:marLeft w:val="0"/>
      <w:marRight w:val="0"/>
      <w:marTop w:val="0"/>
      <w:marBottom w:val="0"/>
      <w:divBdr>
        <w:top w:val="none" w:sz="0" w:space="0" w:color="auto"/>
        <w:left w:val="none" w:sz="0" w:space="0" w:color="auto"/>
        <w:bottom w:val="none" w:sz="0" w:space="0" w:color="auto"/>
        <w:right w:val="none" w:sz="0" w:space="0" w:color="auto"/>
      </w:divBdr>
    </w:div>
    <w:div w:id="507058963">
      <w:bodyDiv w:val="1"/>
      <w:marLeft w:val="0"/>
      <w:marRight w:val="0"/>
      <w:marTop w:val="0"/>
      <w:marBottom w:val="0"/>
      <w:divBdr>
        <w:top w:val="none" w:sz="0" w:space="0" w:color="auto"/>
        <w:left w:val="none" w:sz="0" w:space="0" w:color="auto"/>
        <w:bottom w:val="none" w:sz="0" w:space="0" w:color="auto"/>
        <w:right w:val="none" w:sz="0" w:space="0" w:color="auto"/>
      </w:divBdr>
      <w:divsChild>
        <w:div w:id="24720588">
          <w:marLeft w:val="0"/>
          <w:marRight w:val="0"/>
          <w:marTop w:val="0"/>
          <w:marBottom w:val="0"/>
          <w:divBdr>
            <w:top w:val="none" w:sz="0" w:space="0" w:color="auto"/>
            <w:left w:val="none" w:sz="0" w:space="0" w:color="auto"/>
            <w:bottom w:val="none" w:sz="0" w:space="0" w:color="auto"/>
            <w:right w:val="none" w:sz="0" w:space="0" w:color="auto"/>
          </w:divBdr>
          <w:divsChild>
            <w:div w:id="423959349">
              <w:marLeft w:val="0"/>
              <w:marRight w:val="0"/>
              <w:marTop w:val="0"/>
              <w:marBottom w:val="0"/>
              <w:divBdr>
                <w:top w:val="none" w:sz="0" w:space="0" w:color="auto"/>
                <w:left w:val="none" w:sz="0" w:space="0" w:color="auto"/>
                <w:bottom w:val="none" w:sz="0" w:space="0" w:color="auto"/>
                <w:right w:val="none" w:sz="0" w:space="0" w:color="auto"/>
              </w:divBdr>
            </w:div>
            <w:div w:id="753085905">
              <w:marLeft w:val="0"/>
              <w:marRight w:val="0"/>
              <w:marTop w:val="0"/>
              <w:marBottom w:val="0"/>
              <w:divBdr>
                <w:top w:val="none" w:sz="0" w:space="0" w:color="auto"/>
                <w:left w:val="none" w:sz="0" w:space="0" w:color="auto"/>
                <w:bottom w:val="none" w:sz="0" w:space="0" w:color="auto"/>
                <w:right w:val="none" w:sz="0" w:space="0" w:color="auto"/>
              </w:divBdr>
            </w:div>
            <w:div w:id="951741637">
              <w:marLeft w:val="0"/>
              <w:marRight w:val="0"/>
              <w:marTop w:val="0"/>
              <w:marBottom w:val="0"/>
              <w:divBdr>
                <w:top w:val="none" w:sz="0" w:space="0" w:color="auto"/>
                <w:left w:val="none" w:sz="0" w:space="0" w:color="auto"/>
                <w:bottom w:val="none" w:sz="0" w:space="0" w:color="auto"/>
                <w:right w:val="none" w:sz="0" w:space="0" w:color="auto"/>
              </w:divBdr>
            </w:div>
            <w:div w:id="1680694665">
              <w:marLeft w:val="0"/>
              <w:marRight w:val="0"/>
              <w:marTop w:val="0"/>
              <w:marBottom w:val="0"/>
              <w:divBdr>
                <w:top w:val="none" w:sz="0" w:space="0" w:color="auto"/>
                <w:left w:val="none" w:sz="0" w:space="0" w:color="auto"/>
                <w:bottom w:val="none" w:sz="0" w:space="0" w:color="auto"/>
                <w:right w:val="none" w:sz="0" w:space="0" w:color="auto"/>
              </w:divBdr>
            </w:div>
          </w:divsChild>
        </w:div>
        <w:div w:id="1571623351">
          <w:marLeft w:val="0"/>
          <w:marRight w:val="0"/>
          <w:marTop w:val="0"/>
          <w:marBottom w:val="0"/>
          <w:divBdr>
            <w:top w:val="none" w:sz="0" w:space="0" w:color="auto"/>
            <w:left w:val="none" w:sz="0" w:space="0" w:color="auto"/>
            <w:bottom w:val="none" w:sz="0" w:space="0" w:color="auto"/>
            <w:right w:val="none" w:sz="0" w:space="0" w:color="auto"/>
          </w:divBdr>
          <w:divsChild>
            <w:div w:id="368994084">
              <w:marLeft w:val="0"/>
              <w:marRight w:val="0"/>
              <w:marTop w:val="0"/>
              <w:marBottom w:val="0"/>
              <w:divBdr>
                <w:top w:val="none" w:sz="0" w:space="0" w:color="auto"/>
                <w:left w:val="none" w:sz="0" w:space="0" w:color="auto"/>
                <w:bottom w:val="none" w:sz="0" w:space="0" w:color="auto"/>
                <w:right w:val="none" w:sz="0" w:space="0" w:color="auto"/>
              </w:divBdr>
            </w:div>
            <w:div w:id="1117677207">
              <w:marLeft w:val="0"/>
              <w:marRight w:val="0"/>
              <w:marTop w:val="0"/>
              <w:marBottom w:val="0"/>
              <w:divBdr>
                <w:top w:val="none" w:sz="0" w:space="0" w:color="auto"/>
                <w:left w:val="none" w:sz="0" w:space="0" w:color="auto"/>
                <w:bottom w:val="none" w:sz="0" w:space="0" w:color="auto"/>
                <w:right w:val="none" w:sz="0" w:space="0" w:color="auto"/>
              </w:divBdr>
            </w:div>
            <w:div w:id="11443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10404">
      <w:bodyDiv w:val="1"/>
      <w:marLeft w:val="0"/>
      <w:marRight w:val="0"/>
      <w:marTop w:val="0"/>
      <w:marBottom w:val="0"/>
      <w:divBdr>
        <w:top w:val="none" w:sz="0" w:space="0" w:color="auto"/>
        <w:left w:val="none" w:sz="0" w:space="0" w:color="auto"/>
        <w:bottom w:val="none" w:sz="0" w:space="0" w:color="auto"/>
        <w:right w:val="none" w:sz="0" w:space="0" w:color="auto"/>
      </w:divBdr>
      <w:divsChild>
        <w:div w:id="65955475">
          <w:marLeft w:val="0"/>
          <w:marRight w:val="0"/>
          <w:marTop w:val="0"/>
          <w:marBottom w:val="0"/>
          <w:divBdr>
            <w:top w:val="none" w:sz="0" w:space="0" w:color="auto"/>
            <w:left w:val="none" w:sz="0" w:space="0" w:color="auto"/>
            <w:bottom w:val="none" w:sz="0" w:space="0" w:color="auto"/>
            <w:right w:val="none" w:sz="0" w:space="0" w:color="auto"/>
          </w:divBdr>
        </w:div>
        <w:div w:id="171798778">
          <w:marLeft w:val="0"/>
          <w:marRight w:val="0"/>
          <w:marTop w:val="0"/>
          <w:marBottom w:val="0"/>
          <w:divBdr>
            <w:top w:val="none" w:sz="0" w:space="0" w:color="auto"/>
            <w:left w:val="none" w:sz="0" w:space="0" w:color="auto"/>
            <w:bottom w:val="none" w:sz="0" w:space="0" w:color="auto"/>
            <w:right w:val="none" w:sz="0" w:space="0" w:color="auto"/>
          </w:divBdr>
        </w:div>
        <w:div w:id="315183071">
          <w:marLeft w:val="0"/>
          <w:marRight w:val="0"/>
          <w:marTop w:val="0"/>
          <w:marBottom w:val="0"/>
          <w:divBdr>
            <w:top w:val="none" w:sz="0" w:space="0" w:color="auto"/>
            <w:left w:val="none" w:sz="0" w:space="0" w:color="auto"/>
            <w:bottom w:val="none" w:sz="0" w:space="0" w:color="auto"/>
            <w:right w:val="none" w:sz="0" w:space="0" w:color="auto"/>
          </w:divBdr>
        </w:div>
        <w:div w:id="499002682">
          <w:marLeft w:val="0"/>
          <w:marRight w:val="0"/>
          <w:marTop w:val="0"/>
          <w:marBottom w:val="0"/>
          <w:divBdr>
            <w:top w:val="none" w:sz="0" w:space="0" w:color="auto"/>
            <w:left w:val="none" w:sz="0" w:space="0" w:color="auto"/>
            <w:bottom w:val="none" w:sz="0" w:space="0" w:color="auto"/>
            <w:right w:val="none" w:sz="0" w:space="0" w:color="auto"/>
          </w:divBdr>
        </w:div>
        <w:div w:id="956836977">
          <w:marLeft w:val="0"/>
          <w:marRight w:val="0"/>
          <w:marTop w:val="0"/>
          <w:marBottom w:val="0"/>
          <w:divBdr>
            <w:top w:val="none" w:sz="0" w:space="0" w:color="auto"/>
            <w:left w:val="none" w:sz="0" w:space="0" w:color="auto"/>
            <w:bottom w:val="none" w:sz="0" w:space="0" w:color="auto"/>
            <w:right w:val="none" w:sz="0" w:space="0" w:color="auto"/>
          </w:divBdr>
        </w:div>
        <w:div w:id="1001659908">
          <w:marLeft w:val="0"/>
          <w:marRight w:val="0"/>
          <w:marTop w:val="0"/>
          <w:marBottom w:val="0"/>
          <w:divBdr>
            <w:top w:val="none" w:sz="0" w:space="0" w:color="auto"/>
            <w:left w:val="none" w:sz="0" w:space="0" w:color="auto"/>
            <w:bottom w:val="none" w:sz="0" w:space="0" w:color="auto"/>
            <w:right w:val="none" w:sz="0" w:space="0" w:color="auto"/>
          </w:divBdr>
        </w:div>
        <w:div w:id="1093550365">
          <w:marLeft w:val="0"/>
          <w:marRight w:val="0"/>
          <w:marTop w:val="0"/>
          <w:marBottom w:val="0"/>
          <w:divBdr>
            <w:top w:val="none" w:sz="0" w:space="0" w:color="auto"/>
            <w:left w:val="none" w:sz="0" w:space="0" w:color="auto"/>
            <w:bottom w:val="none" w:sz="0" w:space="0" w:color="auto"/>
            <w:right w:val="none" w:sz="0" w:space="0" w:color="auto"/>
          </w:divBdr>
        </w:div>
        <w:div w:id="1318149182">
          <w:marLeft w:val="0"/>
          <w:marRight w:val="0"/>
          <w:marTop w:val="0"/>
          <w:marBottom w:val="0"/>
          <w:divBdr>
            <w:top w:val="none" w:sz="0" w:space="0" w:color="auto"/>
            <w:left w:val="none" w:sz="0" w:space="0" w:color="auto"/>
            <w:bottom w:val="none" w:sz="0" w:space="0" w:color="auto"/>
            <w:right w:val="none" w:sz="0" w:space="0" w:color="auto"/>
          </w:divBdr>
        </w:div>
        <w:div w:id="1708333126">
          <w:marLeft w:val="0"/>
          <w:marRight w:val="0"/>
          <w:marTop w:val="0"/>
          <w:marBottom w:val="0"/>
          <w:divBdr>
            <w:top w:val="none" w:sz="0" w:space="0" w:color="auto"/>
            <w:left w:val="none" w:sz="0" w:space="0" w:color="auto"/>
            <w:bottom w:val="none" w:sz="0" w:space="0" w:color="auto"/>
            <w:right w:val="none" w:sz="0" w:space="0" w:color="auto"/>
          </w:divBdr>
        </w:div>
        <w:div w:id="1926260502">
          <w:marLeft w:val="0"/>
          <w:marRight w:val="0"/>
          <w:marTop w:val="0"/>
          <w:marBottom w:val="0"/>
          <w:divBdr>
            <w:top w:val="none" w:sz="0" w:space="0" w:color="auto"/>
            <w:left w:val="none" w:sz="0" w:space="0" w:color="auto"/>
            <w:bottom w:val="none" w:sz="0" w:space="0" w:color="auto"/>
            <w:right w:val="none" w:sz="0" w:space="0" w:color="auto"/>
          </w:divBdr>
        </w:div>
      </w:divsChild>
    </w:div>
    <w:div w:id="1115096303">
      <w:bodyDiv w:val="1"/>
      <w:marLeft w:val="0"/>
      <w:marRight w:val="0"/>
      <w:marTop w:val="0"/>
      <w:marBottom w:val="0"/>
      <w:divBdr>
        <w:top w:val="none" w:sz="0" w:space="0" w:color="auto"/>
        <w:left w:val="none" w:sz="0" w:space="0" w:color="auto"/>
        <w:bottom w:val="none" w:sz="0" w:space="0" w:color="auto"/>
        <w:right w:val="none" w:sz="0" w:space="0" w:color="auto"/>
      </w:divBdr>
      <w:divsChild>
        <w:div w:id="88475597">
          <w:marLeft w:val="0"/>
          <w:marRight w:val="0"/>
          <w:marTop w:val="0"/>
          <w:marBottom w:val="0"/>
          <w:divBdr>
            <w:top w:val="none" w:sz="0" w:space="0" w:color="auto"/>
            <w:left w:val="none" w:sz="0" w:space="0" w:color="auto"/>
            <w:bottom w:val="none" w:sz="0" w:space="0" w:color="auto"/>
            <w:right w:val="none" w:sz="0" w:space="0" w:color="auto"/>
          </w:divBdr>
          <w:divsChild>
            <w:div w:id="325480786">
              <w:marLeft w:val="0"/>
              <w:marRight w:val="0"/>
              <w:marTop w:val="0"/>
              <w:marBottom w:val="0"/>
              <w:divBdr>
                <w:top w:val="none" w:sz="0" w:space="0" w:color="auto"/>
                <w:left w:val="none" w:sz="0" w:space="0" w:color="auto"/>
                <w:bottom w:val="none" w:sz="0" w:space="0" w:color="auto"/>
                <w:right w:val="none" w:sz="0" w:space="0" w:color="auto"/>
              </w:divBdr>
            </w:div>
            <w:div w:id="1074544464">
              <w:marLeft w:val="0"/>
              <w:marRight w:val="0"/>
              <w:marTop w:val="0"/>
              <w:marBottom w:val="0"/>
              <w:divBdr>
                <w:top w:val="none" w:sz="0" w:space="0" w:color="auto"/>
                <w:left w:val="none" w:sz="0" w:space="0" w:color="auto"/>
                <w:bottom w:val="none" w:sz="0" w:space="0" w:color="auto"/>
                <w:right w:val="none" w:sz="0" w:space="0" w:color="auto"/>
              </w:divBdr>
            </w:div>
            <w:div w:id="1381393178">
              <w:marLeft w:val="0"/>
              <w:marRight w:val="0"/>
              <w:marTop w:val="0"/>
              <w:marBottom w:val="0"/>
              <w:divBdr>
                <w:top w:val="none" w:sz="0" w:space="0" w:color="auto"/>
                <w:left w:val="none" w:sz="0" w:space="0" w:color="auto"/>
                <w:bottom w:val="none" w:sz="0" w:space="0" w:color="auto"/>
                <w:right w:val="none" w:sz="0" w:space="0" w:color="auto"/>
              </w:divBdr>
            </w:div>
          </w:divsChild>
        </w:div>
        <w:div w:id="1920939207">
          <w:marLeft w:val="0"/>
          <w:marRight w:val="0"/>
          <w:marTop w:val="0"/>
          <w:marBottom w:val="0"/>
          <w:divBdr>
            <w:top w:val="none" w:sz="0" w:space="0" w:color="auto"/>
            <w:left w:val="none" w:sz="0" w:space="0" w:color="auto"/>
            <w:bottom w:val="none" w:sz="0" w:space="0" w:color="auto"/>
            <w:right w:val="none" w:sz="0" w:space="0" w:color="auto"/>
          </w:divBdr>
          <w:divsChild>
            <w:div w:id="335153689">
              <w:marLeft w:val="0"/>
              <w:marRight w:val="0"/>
              <w:marTop w:val="0"/>
              <w:marBottom w:val="0"/>
              <w:divBdr>
                <w:top w:val="none" w:sz="0" w:space="0" w:color="auto"/>
                <w:left w:val="none" w:sz="0" w:space="0" w:color="auto"/>
                <w:bottom w:val="none" w:sz="0" w:space="0" w:color="auto"/>
                <w:right w:val="none" w:sz="0" w:space="0" w:color="auto"/>
              </w:divBdr>
            </w:div>
            <w:div w:id="662509882">
              <w:marLeft w:val="0"/>
              <w:marRight w:val="0"/>
              <w:marTop w:val="0"/>
              <w:marBottom w:val="0"/>
              <w:divBdr>
                <w:top w:val="none" w:sz="0" w:space="0" w:color="auto"/>
                <w:left w:val="none" w:sz="0" w:space="0" w:color="auto"/>
                <w:bottom w:val="none" w:sz="0" w:space="0" w:color="auto"/>
                <w:right w:val="none" w:sz="0" w:space="0" w:color="auto"/>
              </w:divBdr>
            </w:div>
            <w:div w:id="1041245779">
              <w:marLeft w:val="0"/>
              <w:marRight w:val="0"/>
              <w:marTop w:val="0"/>
              <w:marBottom w:val="0"/>
              <w:divBdr>
                <w:top w:val="none" w:sz="0" w:space="0" w:color="auto"/>
                <w:left w:val="none" w:sz="0" w:space="0" w:color="auto"/>
                <w:bottom w:val="none" w:sz="0" w:space="0" w:color="auto"/>
                <w:right w:val="none" w:sz="0" w:space="0" w:color="auto"/>
              </w:divBdr>
            </w:div>
            <w:div w:id="10769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949">
      <w:bodyDiv w:val="1"/>
      <w:marLeft w:val="0"/>
      <w:marRight w:val="0"/>
      <w:marTop w:val="0"/>
      <w:marBottom w:val="0"/>
      <w:divBdr>
        <w:top w:val="none" w:sz="0" w:space="0" w:color="auto"/>
        <w:left w:val="none" w:sz="0" w:space="0" w:color="auto"/>
        <w:bottom w:val="none" w:sz="0" w:space="0" w:color="auto"/>
        <w:right w:val="none" w:sz="0" w:space="0" w:color="auto"/>
      </w:divBdr>
      <w:divsChild>
        <w:div w:id="383143426">
          <w:marLeft w:val="0"/>
          <w:marRight w:val="0"/>
          <w:marTop w:val="0"/>
          <w:marBottom w:val="0"/>
          <w:divBdr>
            <w:top w:val="none" w:sz="0" w:space="0" w:color="auto"/>
            <w:left w:val="none" w:sz="0" w:space="0" w:color="auto"/>
            <w:bottom w:val="none" w:sz="0" w:space="0" w:color="auto"/>
            <w:right w:val="none" w:sz="0" w:space="0" w:color="auto"/>
          </w:divBdr>
        </w:div>
        <w:div w:id="429357304">
          <w:marLeft w:val="0"/>
          <w:marRight w:val="0"/>
          <w:marTop w:val="0"/>
          <w:marBottom w:val="0"/>
          <w:divBdr>
            <w:top w:val="none" w:sz="0" w:space="0" w:color="auto"/>
            <w:left w:val="none" w:sz="0" w:space="0" w:color="auto"/>
            <w:bottom w:val="none" w:sz="0" w:space="0" w:color="auto"/>
            <w:right w:val="none" w:sz="0" w:space="0" w:color="auto"/>
          </w:divBdr>
        </w:div>
        <w:div w:id="443303505">
          <w:marLeft w:val="0"/>
          <w:marRight w:val="0"/>
          <w:marTop w:val="0"/>
          <w:marBottom w:val="0"/>
          <w:divBdr>
            <w:top w:val="none" w:sz="0" w:space="0" w:color="auto"/>
            <w:left w:val="none" w:sz="0" w:space="0" w:color="auto"/>
            <w:bottom w:val="none" w:sz="0" w:space="0" w:color="auto"/>
            <w:right w:val="none" w:sz="0" w:space="0" w:color="auto"/>
          </w:divBdr>
        </w:div>
        <w:div w:id="578709425">
          <w:marLeft w:val="0"/>
          <w:marRight w:val="0"/>
          <w:marTop w:val="0"/>
          <w:marBottom w:val="0"/>
          <w:divBdr>
            <w:top w:val="none" w:sz="0" w:space="0" w:color="auto"/>
            <w:left w:val="none" w:sz="0" w:space="0" w:color="auto"/>
            <w:bottom w:val="none" w:sz="0" w:space="0" w:color="auto"/>
            <w:right w:val="none" w:sz="0" w:space="0" w:color="auto"/>
          </w:divBdr>
        </w:div>
        <w:div w:id="590503221">
          <w:marLeft w:val="0"/>
          <w:marRight w:val="0"/>
          <w:marTop w:val="0"/>
          <w:marBottom w:val="0"/>
          <w:divBdr>
            <w:top w:val="none" w:sz="0" w:space="0" w:color="auto"/>
            <w:left w:val="none" w:sz="0" w:space="0" w:color="auto"/>
            <w:bottom w:val="none" w:sz="0" w:space="0" w:color="auto"/>
            <w:right w:val="none" w:sz="0" w:space="0" w:color="auto"/>
          </w:divBdr>
        </w:div>
        <w:div w:id="707610651">
          <w:marLeft w:val="0"/>
          <w:marRight w:val="0"/>
          <w:marTop w:val="0"/>
          <w:marBottom w:val="0"/>
          <w:divBdr>
            <w:top w:val="none" w:sz="0" w:space="0" w:color="auto"/>
            <w:left w:val="none" w:sz="0" w:space="0" w:color="auto"/>
            <w:bottom w:val="none" w:sz="0" w:space="0" w:color="auto"/>
            <w:right w:val="none" w:sz="0" w:space="0" w:color="auto"/>
          </w:divBdr>
        </w:div>
        <w:div w:id="915896490">
          <w:marLeft w:val="0"/>
          <w:marRight w:val="0"/>
          <w:marTop w:val="0"/>
          <w:marBottom w:val="0"/>
          <w:divBdr>
            <w:top w:val="none" w:sz="0" w:space="0" w:color="auto"/>
            <w:left w:val="none" w:sz="0" w:space="0" w:color="auto"/>
            <w:bottom w:val="none" w:sz="0" w:space="0" w:color="auto"/>
            <w:right w:val="none" w:sz="0" w:space="0" w:color="auto"/>
          </w:divBdr>
        </w:div>
        <w:div w:id="1277828813">
          <w:marLeft w:val="0"/>
          <w:marRight w:val="0"/>
          <w:marTop w:val="0"/>
          <w:marBottom w:val="0"/>
          <w:divBdr>
            <w:top w:val="none" w:sz="0" w:space="0" w:color="auto"/>
            <w:left w:val="none" w:sz="0" w:space="0" w:color="auto"/>
            <w:bottom w:val="none" w:sz="0" w:space="0" w:color="auto"/>
            <w:right w:val="none" w:sz="0" w:space="0" w:color="auto"/>
          </w:divBdr>
        </w:div>
        <w:div w:id="1304888497">
          <w:marLeft w:val="0"/>
          <w:marRight w:val="0"/>
          <w:marTop w:val="0"/>
          <w:marBottom w:val="0"/>
          <w:divBdr>
            <w:top w:val="none" w:sz="0" w:space="0" w:color="auto"/>
            <w:left w:val="none" w:sz="0" w:space="0" w:color="auto"/>
            <w:bottom w:val="none" w:sz="0" w:space="0" w:color="auto"/>
            <w:right w:val="none" w:sz="0" w:space="0" w:color="auto"/>
          </w:divBdr>
        </w:div>
        <w:div w:id="2068140588">
          <w:marLeft w:val="0"/>
          <w:marRight w:val="0"/>
          <w:marTop w:val="0"/>
          <w:marBottom w:val="0"/>
          <w:divBdr>
            <w:top w:val="none" w:sz="0" w:space="0" w:color="auto"/>
            <w:left w:val="none" w:sz="0" w:space="0" w:color="auto"/>
            <w:bottom w:val="none" w:sz="0" w:space="0" w:color="auto"/>
            <w:right w:val="none" w:sz="0" w:space="0" w:color="auto"/>
          </w:divBdr>
        </w:div>
      </w:divsChild>
    </w:div>
    <w:div w:id="1263999900">
      <w:bodyDiv w:val="1"/>
      <w:marLeft w:val="0"/>
      <w:marRight w:val="0"/>
      <w:marTop w:val="0"/>
      <w:marBottom w:val="0"/>
      <w:divBdr>
        <w:top w:val="none" w:sz="0" w:space="0" w:color="auto"/>
        <w:left w:val="none" w:sz="0" w:space="0" w:color="auto"/>
        <w:bottom w:val="none" w:sz="0" w:space="0" w:color="auto"/>
        <w:right w:val="none" w:sz="0" w:space="0" w:color="auto"/>
      </w:divBdr>
      <w:divsChild>
        <w:div w:id="32191320">
          <w:marLeft w:val="0"/>
          <w:marRight w:val="0"/>
          <w:marTop w:val="0"/>
          <w:marBottom w:val="0"/>
          <w:divBdr>
            <w:top w:val="none" w:sz="0" w:space="0" w:color="auto"/>
            <w:left w:val="none" w:sz="0" w:space="0" w:color="auto"/>
            <w:bottom w:val="none" w:sz="0" w:space="0" w:color="auto"/>
            <w:right w:val="none" w:sz="0" w:space="0" w:color="auto"/>
          </w:divBdr>
        </w:div>
        <w:div w:id="397023441">
          <w:marLeft w:val="0"/>
          <w:marRight w:val="0"/>
          <w:marTop w:val="0"/>
          <w:marBottom w:val="0"/>
          <w:divBdr>
            <w:top w:val="none" w:sz="0" w:space="0" w:color="auto"/>
            <w:left w:val="none" w:sz="0" w:space="0" w:color="auto"/>
            <w:bottom w:val="none" w:sz="0" w:space="0" w:color="auto"/>
            <w:right w:val="none" w:sz="0" w:space="0" w:color="auto"/>
          </w:divBdr>
        </w:div>
        <w:div w:id="446896013">
          <w:marLeft w:val="0"/>
          <w:marRight w:val="0"/>
          <w:marTop w:val="0"/>
          <w:marBottom w:val="0"/>
          <w:divBdr>
            <w:top w:val="none" w:sz="0" w:space="0" w:color="auto"/>
            <w:left w:val="none" w:sz="0" w:space="0" w:color="auto"/>
            <w:bottom w:val="none" w:sz="0" w:space="0" w:color="auto"/>
            <w:right w:val="none" w:sz="0" w:space="0" w:color="auto"/>
          </w:divBdr>
        </w:div>
        <w:div w:id="499277363">
          <w:marLeft w:val="0"/>
          <w:marRight w:val="0"/>
          <w:marTop w:val="0"/>
          <w:marBottom w:val="0"/>
          <w:divBdr>
            <w:top w:val="none" w:sz="0" w:space="0" w:color="auto"/>
            <w:left w:val="none" w:sz="0" w:space="0" w:color="auto"/>
            <w:bottom w:val="none" w:sz="0" w:space="0" w:color="auto"/>
            <w:right w:val="none" w:sz="0" w:space="0" w:color="auto"/>
          </w:divBdr>
        </w:div>
        <w:div w:id="528690533">
          <w:marLeft w:val="0"/>
          <w:marRight w:val="0"/>
          <w:marTop w:val="0"/>
          <w:marBottom w:val="0"/>
          <w:divBdr>
            <w:top w:val="none" w:sz="0" w:space="0" w:color="auto"/>
            <w:left w:val="none" w:sz="0" w:space="0" w:color="auto"/>
            <w:bottom w:val="none" w:sz="0" w:space="0" w:color="auto"/>
            <w:right w:val="none" w:sz="0" w:space="0" w:color="auto"/>
          </w:divBdr>
        </w:div>
        <w:div w:id="652876674">
          <w:marLeft w:val="0"/>
          <w:marRight w:val="0"/>
          <w:marTop w:val="0"/>
          <w:marBottom w:val="0"/>
          <w:divBdr>
            <w:top w:val="none" w:sz="0" w:space="0" w:color="auto"/>
            <w:left w:val="none" w:sz="0" w:space="0" w:color="auto"/>
            <w:bottom w:val="none" w:sz="0" w:space="0" w:color="auto"/>
            <w:right w:val="none" w:sz="0" w:space="0" w:color="auto"/>
          </w:divBdr>
        </w:div>
        <w:div w:id="653220546">
          <w:marLeft w:val="0"/>
          <w:marRight w:val="0"/>
          <w:marTop w:val="0"/>
          <w:marBottom w:val="0"/>
          <w:divBdr>
            <w:top w:val="none" w:sz="0" w:space="0" w:color="auto"/>
            <w:left w:val="none" w:sz="0" w:space="0" w:color="auto"/>
            <w:bottom w:val="none" w:sz="0" w:space="0" w:color="auto"/>
            <w:right w:val="none" w:sz="0" w:space="0" w:color="auto"/>
          </w:divBdr>
        </w:div>
        <w:div w:id="822509498">
          <w:marLeft w:val="0"/>
          <w:marRight w:val="0"/>
          <w:marTop w:val="0"/>
          <w:marBottom w:val="0"/>
          <w:divBdr>
            <w:top w:val="none" w:sz="0" w:space="0" w:color="auto"/>
            <w:left w:val="none" w:sz="0" w:space="0" w:color="auto"/>
            <w:bottom w:val="none" w:sz="0" w:space="0" w:color="auto"/>
            <w:right w:val="none" w:sz="0" w:space="0" w:color="auto"/>
          </w:divBdr>
        </w:div>
        <w:div w:id="933124772">
          <w:marLeft w:val="0"/>
          <w:marRight w:val="0"/>
          <w:marTop w:val="0"/>
          <w:marBottom w:val="0"/>
          <w:divBdr>
            <w:top w:val="none" w:sz="0" w:space="0" w:color="auto"/>
            <w:left w:val="none" w:sz="0" w:space="0" w:color="auto"/>
            <w:bottom w:val="none" w:sz="0" w:space="0" w:color="auto"/>
            <w:right w:val="none" w:sz="0" w:space="0" w:color="auto"/>
          </w:divBdr>
        </w:div>
        <w:div w:id="964460339">
          <w:marLeft w:val="0"/>
          <w:marRight w:val="0"/>
          <w:marTop w:val="0"/>
          <w:marBottom w:val="0"/>
          <w:divBdr>
            <w:top w:val="none" w:sz="0" w:space="0" w:color="auto"/>
            <w:left w:val="none" w:sz="0" w:space="0" w:color="auto"/>
            <w:bottom w:val="none" w:sz="0" w:space="0" w:color="auto"/>
            <w:right w:val="none" w:sz="0" w:space="0" w:color="auto"/>
          </w:divBdr>
        </w:div>
        <w:div w:id="1251887764">
          <w:marLeft w:val="0"/>
          <w:marRight w:val="0"/>
          <w:marTop w:val="0"/>
          <w:marBottom w:val="0"/>
          <w:divBdr>
            <w:top w:val="none" w:sz="0" w:space="0" w:color="auto"/>
            <w:left w:val="none" w:sz="0" w:space="0" w:color="auto"/>
            <w:bottom w:val="none" w:sz="0" w:space="0" w:color="auto"/>
            <w:right w:val="none" w:sz="0" w:space="0" w:color="auto"/>
          </w:divBdr>
        </w:div>
        <w:div w:id="1261178464">
          <w:marLeft w:val="0"/>
          <w:marRight w:val="0"/>
          <w:marTop w:val="0"/>
          <w:marBottom w:val="0"/>
          <w:divBdr>
            <w:top w:val="none" w:sz="0" w:space="0" w:color="auto"/>
            <w:left w:val="none" w:sz="0" w:space="0" w:color="auto"/>
            <w:bottom w:val="none" w:sz="0" w:space="0" w:color="auto"/>
            <w:right w:val="none" w:sz="0" w:space="0" w:color="auto"/>
          </w:divBdr>
        </w:div>
        <w:div w:id="1428578144">
          <w:marLeft w:val="0"/>
          <w:marRight w:val="0"/>
          <w:marTop w:val="0"/>
          <w:marBottom w:val="0"/>
          <w:divBdr>
            <w:top w:val="none" w:sz="0" w:space="0" w:color="auto"/>
            <w:left w:val="none" w:sz="0" w:space="0" w:color="auto"/>
            <w:bottom w:val="none" w:sz="0" w:space="0" w:color="auto"/>
            <w:right w:val="none" w:sz="0" w:space="0" w:color="auto"/>
          </w:divBdr>
        </w:div>
        <w:div w:id="1470904076">
          <w:marLeft w:val="0"/>
          <w:marRight w:val="0"/>
          <w:marTop w:val="0"/>
          <w:marBottom w:val="0"/>
          <w:divBdr>
            <w:top w:val="none" w:sz="0" w:space="0" w:color="auto"/>
            <w:left w:val="none" w:sz="0" w:space="0" w:color="auto"/>
            <w:bottom w:val="none" w:sz="0" w:space="0" w:color="auto"/>
            <w:right w:val="none" w:sz="0" w:space="0" w:color="auto"/>
          </w:divBdr>
        </w:div>
        <w:div w:id="1513643002">
          <w:marLeft w:val="0"/>
          <w:marRight w:val="0"/>
          <w:marTop w:val="0"/>
          <w:marBottom w:val="0"/>
          <w:divBdr>
            <w:top w:val="none" w:sz="0" w:space="0" w:color="auto"/>
            <w:left w:val="none" w:sz="0" w:space="0" w:color="auto"/>
            <w:bottom w:val="none" w:sz="0" w:space="0" w:color="auto"/>
            <w:right w:val="none" w:sz="0" w:space="0" w:color="auto"/>
          </w:divBdr>
        </w:div>
        <w:div w:id="1518426788">
          <w:marLeft w:val="0"/>
          <w:marRight w:val="0"/>
          <w:marTop w:val="0"/>
          <w:marBottom w:val="0"/>
          <w:divBdr>
            <w:top w:val="none" w:sz="0" w:space="0" w:color="auto"/>
            <w:left w:val="none" w:sz="0" w:space="0" w:color="auto"/>
            <w:bottom w:val="none" w:sz="0" w:space="0" w:color="auto"/>
            <w:right w:val="none" w:sz="0" w:space="0" w:color="auto"/>
          </w:divBdr>
        </w:div>
        <w:div w:id="1531334394">
          <w:marLeft w:val="0"/>
          <w:marRight w:val="0"/>
          <w:marTop w:val="0"/>
          <w:marBottom w:val="0"/>
          <w:divBdr>
            <w:top w:val="none" w:sz="0" w:space="0" w:color="auto"/>
            <w:left w:val="none" w:sz="0" w:space="0" w:color="auto"/>
            <w:bottom w:val="none" w:sz="0" w:space="0" w:color="auto"/>
            <w:right w:val="none" w:sz="0" w:space="0" w:color="auto"/>
          </w:divBdr>
        </w:div>
        <w:div w:id="1594820488">
          <w:marLeft w:val="0"/>
          <w:marRight w:val="0"/>
          <w:marTop w:val="0"/>
          <w:marBottom w:val="0"/>
          <w:divBdr>
            <w:top w:val="none" w:sz="0" w:space="0" w:color="auto"/>
            <w:left w:val="none" w:sz="0" w:space="0" w:color="auto"/>
            <w:bottom w:val="none" w:sz="0" w:space="0" w:color="auto"/>
            <w:right w:val="none" w:sz="0" w:space="0" w:color="auto"/>
          </w:divBdr>
        </w:div>
        <w:div w:id="1637641764">
          <w:marLeft w:val="0"/>
          <w:marRight w:val="0"/>
          <w:marTop w:val="0"/>
          <w:marBottom w:val="0"/>
          <w:divBdr>
            <w:top w:val="none" w:sz="0" w:space="0" w:color="auto"/>
            <w:left w:val="none" w:sz="0" w:space="0" w:color="auto"/>
            <w:bottom w:val="none" w:sz="0" w:space="0" w:color="auto"/>
            <w:right w:val="none" w:sz="0" w:space="0" w:color="auto"/>
          </w:divBdr>
        </w:div>
        <w:div w:id="1701399426">
          <w:marLeft w:val="0"/>
          <w:marRight w:val="0"/>
          <w:marTop w:val="0"/>
          <w:marBottom w:val="0"/>
          <w:divBdr>
            <w:top w:val="none" w:sz="0" w:space="0" w:color="auto"/>
            <w:left w:val="none" w:sz="0" w:space="0" w:color="auto"/>
            <w:bottom w:val="none" w:sz="0" w:space="0" w:color="auto"/>
            <w:right w:val="none" w:sz="0" w:space="0" w:color="auto"/>
          </w:divBdr>
        </w:div>
        <w:div w:id="1716079519">
          <w:marLeft w:val="0"/>
          <w:marRight w:val="0"/>
          <w:marTop w:val="0"/>
          <w:marBottom w:val="0"/>
          <w:divBdr>
            <w:top w:val="none" w:sz="0" w:space="0" w:color="auto"/>
            <w:left w:val="none" w:sz="0" w:space="0" w:color="auto"/>
            <w:bottom w:val="none" w:sz="0" w:space="0" w:color="auto"/>
            <w:right w:val="none" w:sz="0" w:space="0" w:color="auto"/>
          </w:divBdr>
        </w:div>
        <w:div w:id="1833180321">
          <w:marLeft w:val="0"/>
          <w:marRight w:val="0"/>
          <w:marTop w:val="0"/>
          <w:marBottom w:val="0"/>
          <w:divBdr>
            <w:top w:val="none" w:sz="0" w:space="0" w:color="auto"/>
            <w:left w:val="none" w:sz="0" w:space="0" w:color="auto"/>
            <w:bottom w:val="none" w:sz="0" w:space="0" w:color="auto"/>
            <w:right w:val="none" w:sz="0" w:space="0" w:color="auto"/>
          </w:divBdr>
        </w:div>
      </w:divsChild>
    </w:div>
    <w:div w:id="1300720532">
      <w:bodyDiv w:val="1"/>
      <w:marLeft w:val="0"/>
      <w:marRight w:val="0"/>
      <w:marTop w:val="0"/>
      <w:marBottom w:val="0"/>
      <w:divBdr>
        <w:top w:val="none" w:sz="0" w:space="0" w:color="auto"/>
        <w:left w:val="none" w:sz="0" w:space="0" w:color="auto"/>
        <w:bottom w:val="none" w:sz="0" w:space="0" w:color="auto"/>
        <w:right w:val="none" w:sz="0" w:space="0" w:color="auto"/>
      </w:divBdr>
      <w:divsChild>
        <w:div w:id="99766495">
          <w:marLeft w:val="0"/>
          <w:marRight w:val="0"/>
          <w:marTop w:val="0"/>
          <w:marBottom w:val="0"/>
          <w:divBdr>
            <w:top w:val="none" w:sz="0" w:space="0" w:color="auto"/>
            <w:left w:val="none" w:sz="0" w:space="0" w:color="auto"/>
            <w:bottom w:val="none" w:sz="0" w:space="0" w:color="auto"/>
            <w:right w:val="none" w:sz="0" w:space="0" w:color="auto"/>
          </w:divBdr>
        </w:div>
        <w:div w:id="105471143">
          <w:marLeft w:val="0"/>
          <w:marRight w:val="0"/>
          <w:marTop w:val="0"/>
          <w:marBottom w:val="0"/>
          <w:divBdr>
            <w:top w:val="none" w:sz="0" w:space="0" w:color="auto"/>
            <w:left w:val="none" w:sz="0" w:space="0" w:color="auto"/>
            <w:bottom w:val="none" w:sz="0" w:space="0" w:color="auto"/>
            <w:right w:val="none" w:sz="0" w:space="0" w:color="auto"/>
          </w:divBdr>
        </w:div>
        <w:div w:id="181020000">
          <w:marLeft w:val="0"/>
          <w:marRight w:val="0"/>
          <w:marTop w:val="0"/>
          <w:marBottom w:val="0"/>
          <w:divBdr>
            <w:top w:val="none" w:sz="0" w:space="0" w:color="auto"/>
            <w:left w:val="none" w:sz="0" w:space="0" w:color="auto"/>
            <w:bottom w:val="none" w:sz="0" w:space="0" w:color="auto"/>
            <w:right w:val="none" w:sz="0" w:space="0" w:color="auto"/>
          </w:divBdr>
        </w:div>
        <w:div w:id="203908572">
          <w:marLeft w:val="0"/>
          <w:marRight w:val="0"/>
          <w:marTop w:val="0"/>
          <w:marBottom w:val="0"/>
          <w:divBdr>
            <w:top w:val="none" w:sz="0" w:space="0" w:color="auto"/>
            <w:left w:val="none" w:sz="0" w:space="0" w:color="auto"/>
            <w:bottom w:val="none" w:sz="0" w:space="0" w:color="auto"/>
            <w:right w:val="none" w:sz="0" w:space="0" w:color="auto"/>
          </w:divBdr>
        </w:div>
        <w:div w:id="298610621">
          <w:marLeft w:val="0"/>
          <w:marRight w:val="0"/>
          <w:marTop w:val="0"/>
          <w:marBottom w:val="0"/>
          <w:divBdr>
            <w:top w:val="none" w:sz="0" w:space="0" w:color="auto"/>
            <w:left w:val="none" w:sz="0" w:space="0" w:color="auto"/>
            <w:bottom w:val="none" w:sz="0" w:space="0" w:color="auto"/>
            <w:right w:val="none" w:sz="0" w:space="0" w:color="auto"/>
          </w:divBdr>
        </w:div>
        <w:div w:id="380831588">
          <w:marLeft w:val="0"/>
          <w:marRight w:val="0"/>
          <w:marTop w:val="0"/>
          <w:marBottom w:val="0"/>
          <w:divBdr>
            <w:top w:val="none" w:sz="0" w:space="0" w:color="auto"/>
            <w:left w:val="none" w:sz="0" w:space="0" w:color="auto"/>
            <w:bottom w:val="none" w:sz="0" w:space="0" w:color="auto"/>
            <w:right w:val="none" w:sz="0" w:space="0" w:color="auto"/>
          </w:divBdr>
        </w:div>
        <w:div w:id="530151113">
          <w:marLeft w:val="0"/>
          <w:marRight w:val="0"/>
          <w:marTop w:val="0"/>
          <w:marBottom w:val="0"/>
          <w:divBdr>
            <w:top w:val="none" w:sz="0" w:space="0" w:color="auto"/>
            <w:left w:val="none" w:sz="0" w:space="0" w:color="auto"/>
            <w:bottom w:val="none" w:sz="0" w:space="0" w:color="auto"/>
            <w:right w:val="none" w:sz="0" w:space="0" w:color="auto"/>
          </w:divBdr>
        </w:div>
        <w:div w:id="606620238">
          <w:marLeft w:val="0"/>
          <w:marRight w:val="0"/>
          <w:marTop w:val="0"/>
          <w:marBottom w:val="0"/>
          <w:divBdr>
            <w:top w:val="none" w:sz="0" w:space="0" w:color="auto"/>
            <w:left w:val="none" w:sz="0" w:space="0" w:color="auto"/>
            <w:bottom w:val="none" w:sz="0" w:space="0" w:color="auto"/>
            <w:right w:val="none" w:sz="0" w:space="0" w:color="auto"/>
          </w:divBdr>
        </w:div>
        <w:div w:id="693962797">
          <w:marLeft w:val="0"/>
          <w:marRight w:val="0"/>
          <w:marTop w:val="0"/>
          <w:marBottom w:val="0"/>
          <w:divBdr>
            <w:top w:val="none" w:sz="0" w:space="0" w:color="auto"/>
            <w:left w:val="none" w:sz="0" w:space="0" w:color="auto"/>
            <w:bottom w:val="none" w:sz="0" w:space="0" w:color="auto"/>
            <w:right w:val="none" w:sz="0" w:space="0" w:color="auto"/>
          </w:divBdr>
        </w:div>
        <w:div w:id="694812972">
          <w:marLeft w:val="0"/>
          <w:marRight w:val="0"/>
          <w:marTop w:val="0"/>
          <w:marBottom w:val="0"/>
          <w:divBdr>
            <w:top w:val="none" w:sz="0" w:space="0" w:color="auto"/>
            <w:left w:val="none" w:sz="0" w:space="0" w:color="auto"/>
            <w:bottom w:val="none" w:sz="0" w:space="0" w:color="auto"/>
            <w:right w:val="none" w:sz="0" w:space="0" w:color="auto"/>
          </w:divBdr>
        </w:div>
        <w:div w:id="704212797">
          <w:marLeft w:val="0"/>
          <w:marRight w:val="0"/>
          <w:marTop w:val="0"/>
          <w:marBottom w:val="0"/>
          <w:divBdr>
            <w:top w:val="none" w:sz="0" w:space="0" w:color="auto"/>
            <w:left w:val="none" w:sz="0" w:space="0" w:color="auto"/>
            <w:bottom w:val="none" w:sz="0" w:space="0" w:color="auto"/>
            <w:right w:val="none" w:sz="0" w:space="0" w:color="auto"/>
          </w:divBdr>
        </w:div>
        <w:div w:id="722752883">
          <w:marLeft w:val="0"/>
          <w:marRight w:val="0"/>
          <w:marTop w:val="0"/>
          <w:marBottom w:val="0"/>
          <w:divBdr>
            <w:top w:val="none" w:sz="0" w:space="0" w:color="auto"/>
            <w:left w:val="none" w:sz="0" w:space="0" w:color="auto"/>
            <w:bottom w:val="none" w:sz="0" w:space="0" w:color="auto"/>
            <w:right w:val="none" w:sz="0" w:space="0" w:color="auto"/>
          </w:divBdr>
        </w:div>
        <w:div w:id="750465678">
          <w:marLeft w:val="0"/>
          <w:marRight w:val="0"/>
          <w:marTop w:val="0"/>
          <w:marBottom w:val="0"/>
          <w:divBdr>
            <w:top w:val="none" w:sz="0" w:space="0" w:color="auto"/>
            <w:left w:val="none" w:sz="0" w:space="0" w:color="auto"/>
            <w:bottom w:val="none" w:sz="0" w:space="0" w:color="auto"/>
            <w:right w:val="none" w:sz="0" w:space="0" w:color="auto"/>
          </w:divBdr>
        </w:div>
        <w:div w:id="770199254">
          <w:marLeft w:val="0"/>
          <w:marRight w:val="0"/>
          <w:marTop w:val="0"/>
          <w:marBottom w:val="0"/>
          <w:divBdr>
            <w:top w:val="none" w:sz="0" w:space="0" w:color="auto"/>
            <w:left w:val="none" w:sz="0" w:space="0" w:color="auto"/>
            <w:bottom w:val="none" w:sz="0" w:space="0" w:color="auto"/>
            <w:right w:val="none" w:sz="0" w:space="0" w:color="auto"/>
          </w:divBdr>
        </w:div>
        <w:div w:id="836966408">
          <w:marLeft w:val="0"/>
          <w:marRight w:val="0"/>
          <w:marTop w:val="0"/>
          <w:marBottom w:val="0"/>
          <w:divBdr>
            <w:top w:val="none" w:sz="0" w:space="0" w:color="auto"/>
            <w:left w:val="none" w:sz="0" w:space="0" w:color="auto"/>
            <w:bottom w:val="none" w:sz="0" w:space="0" w:color="auto"/>
            <w:right w:val="none" w:sz="0" w:space="0" w:color="auto"/>
          </w:divBdr>
        </w:div>
        <w:div w:id="846167327">
          <w:marLeft w:val="0"/>
          <w:marRight w:val="0"/>
          <w:marTop w:val="0"/>
          <w:marBottom w:val="0"/>
          <w:divBdr>
            <w:top w:val="none" w:sz="0" w:space="0" w:color="auto"/>
            <w:left w:val="none" w:sz="0" w:space="0" w:color="auto"/>
            <w:bottom w:val="none" w:sz="0" w:space="0" w:color="auto"/>
            <w:right w:val="none" w:sz="0" w:space="0" w:color="auto"/>
          </w:divBdr>
        </w:div>
        <w:div w:id="920602808">
          <w:marLeft w:val="0"/>
          <w:marRight w:val="0"/>
          <w:marTop w:val="0"/>
          <w:marBottom w:val="0"/>
          <w:divBdr>
            <w:top w:val="none" w:sz="0" w:space="0" w:color="auto"/>
            <w:left w:val="none" w:sz="0" w:space="0" w:color="auto"/>
            <w:bottom w:val="none" w:sz="0" w:space="0" w:color="auto"/>
            <w:right w:val="none" w:sz="0" w:space="0" w:color="auto"/>
          </w:divBdr>
        </w:div>
        <w:div w:id="965745331">
          <w:marLeft w:val="0"/>
          <w:marRight w:val="0"/>
          <w:marTop w:val="0"/>
          <w:marBottom w:val="0"/>
          <w:divBdr>
            <w:top w:val="none" w:sz="0" w:space="0" w:color="auto"/>
            <w:left w:val="none" w:sz="0" w:space="0" w:color="auto"/>
            <w:bottom w:val="none" w:sz="0" w:space="0" w:color="auto"/>
            <w:right w:val="none" w:sz="0" w:space="0" w:color="auto"/>
          </w:divBdr>
        </w:div>
        <w:div w:id="1155536479">
          <w:marLeft w:val="0"/>
          <w:marRight w:val="0"/>
          <w:marTop w:val="0"/>
          <w:marBottom w:val="0"/>
          <w:divBdr>
            <w:top w:val="none" w:sz="0" w:space="0" w:color="auto"/>
            <w:left w:val="none" w:sz="0" w:space="0" w:color="auto"/>
            <w:bottom w:val="none" w:sz="0" w:space="0" w:color="auto"/>
            <w:right w:val="none" w:sz="0" w:space="0" w:color="auto"/>
          </w:divBdr>
        </w:div>
        <w:div w:id="1206915343">
          <w:marLeft w:val="0"/>
          <w:marRight w:val="0"/>
          <w:marTop w:val="0"/>
          <w:marBottom w:val="0"/>
          <w:divBdr>
            <w:top w:val="none" w:sz="0" w:space="0" w:color="auto"/>
            <w:left w:val="none" w:sz="0" w:space="0" w:color="auto"/>
            <w:bottom w:val="none" w:sz="0" w:space="0" w:color="auto"/>
            <w:right w:val="none" w:sz="0" w:space="0" w:color="auto"/>
          </w:divBdr>
        </w:div>
        <w:div w:id="1304195921">
          <w:marLeft w:val="0"/>
          <w:marRight w:val="0"/>
          <w:marTop w:val="0"/>
          <w:marBottom w:val="0"/>
          <w:divBdr>
            <w:top w:val="none" w:sz="0" w:space="0" w:color="auto"/>
            <w:left w:val="none" w:sz="0" w:space="0" w:color="auto"/>
            <w:bottom w:val="none" w:sz="0" w:space="0" w:color="auto"/>
            <w:right w:val="none" w:sz="0" w:space="0" w:color="auto"/>
          </w:divBdr>
        </w:div>
        <w:div w:id="1306549647">
          <w:marLeft w:val="0"/>
          <w:marRight w:val="0"/>
          <w:marTop w:val="0"/>
          <w:marBottom w:val="0"/>
          <w:divBdr>
            <w:top w:val="none" w:sz="0" w:space="0" w:color="auto"/>
            <w:left w:val="none" w:sz="0" w:space="0" w:color="auto"/>
            <w:bottom w:val="none" w:sz="0" w:space="0" w:color="auto"/>
            <w:right w:val="none" w:sz="0" w:space="0" w:color="auto"/>
          </w:divBdr>
        </w:div>
        <w:div w:id="1335913651">
          <w:marLeft w:val="0"/>
          <w:marRight w:val="0"/>
          <w:marTop w:val="0"/>
          <w:marBottom w:val="0"/>
          <w:divBdr>
            <w:top w:val="none" w:sz="0" w:space="0" w:color="auto"/>
            <w:left w:val="none" w:sz="0" w:space="0" w:color="auto"/>
            <w:bottom w:val="none" w:sz="0" w:space="0" w:color="auto"/>
            <w:right w:val="none" w:sz="0" w:space="0" w:color="auto"/>
          </w:divBdr>
        </w:div>
        <w:div w:id="1347944777">
          <w:marLeft w:val="0"/>
          <w:marRight w:val="0"/>
          <w:marTop w:val="0"/>
          <w:marBottom w:val="0"/>
          <w:divBdr>
            <w:top w:val="none" w:sz="0" w:space="0" w:color="auto"/>
            <w:left w:val="none" w:sz="0" w:space="0" w:color="auto"/>
            <w:bottom w:val="none" w:sz="0" w:space="0" w:color="auto"/>
            <w:right w:val="none" w:sz="0" w:space="0" w:color="auto"/>
          </w:divBdr>
        </w:div>
        <w:div w:id="1406878850">
          <w:marLeft w:val="0"/>
          <w:marRight w:val="0"/>
          <w:marTop w:val="0"/>
          <w:marBottom w:val="0"/>
          <w:divBdr>
            <w:top w:val="none" w:sz="0" w:space="0" w:color="auto"/>
            <w:left w:val="none" w:sz="0" w:space="0" w:color="auto"/>
            <w:bottom w:val="none" w:sz="0" w:space="0" w:color="auto"/>
            <w:right w:val="none" w:sz="0" w:space="0" w:color="auto"/>
          </w:divBdr>
        </w:div>
        <w:div w:id="1503928788">
          <w:marLeft w:val="0"/>
          <w:marRight w:val="0"/>
          <w:marTop w:val="0"/>
          <w:marBottom w:val="0"/>
          <w:divBdr>
            <w:top w:val="none" w:sz="0" w:space="0" w:color="auto"/>
            <w:left w:val="none" w:sz="0" w:space="0" w:color="auto"/>
            <w:bottom w:val="none" w:sz="0" w:space="0" w:color="auto"/>
            <w:right w:val="none" w:sz="0" w:space="0" w:color="auto"/>
          </w:divBdr>
        </w:div>
        <w:div w:id="1519151820">
          <w:marLeft w:val="0"/>
          <w:marRight w:val="0"/>
          <w:marTop w:val="0"/>
          <w:marBottom w:val="0"/>
          <w:divBdr>
            <w:top w:val="none" w:sz="0" w:space="0" w:color="auto"/>
            <w:left w:val="none" w:sz="0" w:space="0" w:color="auto"/>
            <w:bottom w:val="none" w:sz="0" w:space="0" w:color="auto"/>
            <w:right w:val="none" w:sz="0" w:space="0" w:color="auto"/>
          </w:divBdr>
        </w:div>
        <w:div w:id="1533495068">
          <w:marLeft w:val="0"/>
          <w:marRight w:val="0"/>
          <w:marTop w:val="0"/>
          <w:marBottom w:val="0"/>
          <w:divBdr>
            <w:top w:val="none" w:sz="0" w:space="0" w:color="auto"/>
            <w:left w:val="none" w:sz="0" w:space="0" w:color="auto"/>
            <w:bottom w:val="none" w:sz="0" w:space="0" w:color="auto"/>
            <w:right w:val="none" w:sz="0" w:space="0" w:color="auto"/>
          </w:divBdr>
        </w:div>
        <w:div w:id="1545603442">
          <w:marLeft w:val="0"/>
          <w:marRight w:val="0"/>
          <w:marTop w:val="0"/>
          <w:marBottom w:val="0"/>
          <w:divBdr>
            <w:top w:val="none" w:sz="0" w:space="0" w:color="auto"/>
            <w:left w:val="none" w:sz="0" w:space="0" w:color="auto"/>
            <w:bottom w:val="none" w:sz="0" w:space="0" w:color="auto"/>
            <w:right w:val="none" w:sz="0" w:space="0" w:color="auto"/>
          </w:divBdr>
        </w:div>
        <w:div w:id="1554317954">
          <w:marLeft w:val="0"/>
          <w:marRight w:val="0"/>
          <w:marTop w:val="0"/>
          <w:marBottom w:val="0"/>
          <w:divBdr>
            <w:top w:val="none" w:sz="0" w:space="0" w:color="auto"/>
            <w:left w:val="none" w:sz="0" w:space="0" w:color="auto"/>
            <w:bottom w:val="none" w:sz="0" w:space="0" w:color="auto"/>
            <w:right w:val="none" w:sz="0" w:space="0" w:color="auto"/>
          </w:divBdr>
        </w:div>
        <w:div w:id="1593708654">
          <w:marLeft w:val="0"/>
          <w:marRight w:val="0"/>
          <w:marTop w:val="0"/>
          <w:marBottom w:val="0"/>
          <w:divBdr>
            <w:top w:val="none" w:sz="0" w:space="0" w:color="auto"/>
            <w:left w:val="none" w:sz="0" w:space="0" w:color="auto"/>
            <w:bottom w:val="none" w:sz="0" w:space="0" w:color="auto"/>
            <w:right w:val="none" w:sz="0" w:space="0" w:color="auto"/>
          </w:divBdr>
        </w:div>
        <w:div w:id="1615402068">
          <w:marLeft w:val="0"/>
          <w:marRight w:val="0"/>
          <w:marTop w:val="0"/>
          <w:marBottom w:val="0"/>
          <w:divBdr>
            <w:top w:val="none" w:sz="0" w:space="0" w:color="auto"/>
            <w:left w:val="none" w:sz="0" w:space="0" w:color="auto"/>
            <w:bottom w:val="none" w:sz="0" w:space="0" w:color="auto"/>
            <w:right w:val="none" w:sz="0" w:space="0" w:color="auto"/>
          </w:divBdr>
        </w:div>
        <w:div w:id="1635452144">
          <w:marLeft w:val="0"/>
          <w:marRight w:val="0"/>
          <w:marTop w:val="0"/>
          <w:marBottom w:val="0"/>
          <w:divBdr>
            <w:top w:val="none" w:sz="0" w:space="0" w:color="auto"/>
            <w:left w:val="none" w:sz="0" w:space="0" w:color="auto"/>
            <w:bottom w:val="none" w:sz="0" w:space="0" w:color="auto"/>
            <w:right w:val="none" w:sz="0" w:space="0" w:color="auto"/>
          </w:divBdr>
        </w:div>
        <w:div w:id="1684742269">
          <w:marLeft w:val="0"/>
          <w:marRight w:val="0"/>
          <w:marTop w:val="0"/>
          <w:marBottom w:val="0"/>
          <w:divBdr>
            <w:top w:val="none" w:sz="0" w:space="0" w:color="auto"/>
            <w:left w:val="none" w:sz="0" w:space="0" w:color="auto"/>
            <w:bottom w:val="none" w:sz="0" w:space="0" w:color="auto"/>
            <w:right w:val="none" w:sz="0" w:space="0" w:color="auto"/>
          </w:divBdr>
        </w:div>
        <w:div w:id="1690641496">
          <w:marLeft w:val="0"/>
          <w:marRight w:val="0"/>
          <w:marTop w:val="0"/>
          <w:marBottom w:val="0"/>
          <w:divBdr>
            <w:top w:val="none" w:sz="0" w:space="0" w:color="auto"/>
            <w:left w:val="none" w:sz="0" w:space="0" w:color="auto"/>
            <w:bottom w:val="none" w:sz="0" w:space="0" w:color="auto"/>
            <w:right w:val="none" w:sz="0" w:space="0" w:color="auto"/>
          </w:divBdr>
        </w:div>
        <w:div w:id="1708872583">
          <w:marLeft w:val="0"/>
          <w:marRight w:val="0"/>
          <w:marTop w:val="0"/>
          <w:marBottom w:val="0"/>
          <w:divBdr>
            <w:top w:val="none" w:sz="0" w:space="0" w:color="auto"/>
            <w:left w:val="none" w:sz="0" w:space="0" w:color="auto"/>
            <w:bottom w:val="none" w:sz="0" w:space="0" w:color="auto"/>
            <w:right w:val="none" w:sz="0" w:space="0" w:color="auto"/>
          </w:divBdr>
        </w:div>
        <w:div w:id="1776244572">
          <w:marLeft w:val="0"/>
          <w:marRight w:val="0"/>
          <w:marTop w:val="0"/>
          <w:marBottom w:val="0"/>
          <w:divBdr>
            <w:top w:val="none" w:sz="0" w:space="0" w:color="auto"/>
            <w:left w:val="none" w:sz="0" w:space="0" w:color="auto"/>
            <w:bottom w:val="none" w:sz="0" w:space="0" w:color="auto"/>
            <w:right w:val="none" w:sz="0" w:space="0" w:color="auto"/>
          </w:divBdr>
        </w:div>
        <w:div w:id="1801651592">
          <w:marLeft w:val="0"/>
          <w:marRight w:val="0"/>
          <w:marTop w:val="0"/>
          <w:marBottom w:val="0"/>
          <w:divBdr>
            <w:top w:val="none" w:sz="0" w:space="0" w:color="auto"/>
            <w:left w:val="none" w:sz="0" w:space="0" w:color="auto"/>
            <w:bottom w:val="none" w:sz="0" w:space="0" w:color="auto"/>
            <w:right w:val="none" w:sz="0" w:space="0" w:color="auto"/>
          </w:divBdr>
        </w:div>
        <w:div w:id="1964842439">
          <w:marLeft w:val="0"/>
          <w:marRight w:val="0"/>
          <w:marTop w:val="0"/>
          <w:marBottom w:val="0"/>
          <w:divBdr>
            <w:top w:val="none" w:sz="0" w:space="0" w:color="auto"/>
            <w:left w:val="none" w:sz="0" w:space="0" w:color="auto"/>
            <w:bottom w:val="none" w:sz="0" w:space="0" w:color="auto"/>
            <w:right w:val="none" w:sz="0" w:space="0" w:color="auto"/>
          </w:divBdr>
        </w:div>
        <w:div w:id="1973513378">
          <w:marLeft w:val="0"/>
          <w:marRight w:val="0"/>
          <w:marTop w:val="0"/>
          <w:marBottom w:val="0"/>
          <w:divBdr>
            <w:top w:val="none" w:sz="0" w:space="0" w:color="auto"/>
            <w:left w:val="none" w:sz="0" w:space="0" w:color="auto"/>
            <w:bottom w:val="none" w:sz="0" w:space="0" w:color="auto"/>
            <w:right w:val="none" w:sz="0" w:space="0" w:color="auto"/>
          </w:divBdr>
        </w:div>
        <w:div w:id="2028023093">
          <w:marLeft w:val="0"/>
          <w:marRight w:val="0"/>
          <w:marTop w:val="0"/>
          <w:marBottom w:val="0"/>
          <w:divBdr>
            <w:top w:val="none" w:sz="0" w:space="0" w:color="auto"/>
            <w:left w:val="none" w:sz="0" w:space="0" w:color="auto"/>
            <w:bottom w:val="none" w:sz="0" w:space="0" w:color="auto"/>
            <w:right w:val="none" w:sz="0" w:space="0" w:color="auto"/>
          </w:divBdr>
        </w:div>
        <w:div w:id="2042854137">
          <w:marLeft w:val="0"/>
          <w:marRight w:val="0"/>
          <w:marTop w:val="0"/>
          <w:marBottom w:val="0"/>
          <w:divBdr>
            <w:top w:val="none" w:sz="0" w:space="0" w:color="auto"/>
            <w:left w:val="none" w:sz="0" w:space="0" w:color="auto"/>
            <w:bottom w:val="none" w:sz="0" w:space="0" w:color="auto"/>
            <w:right w:val="none" w:sz="0" w:space="0" w:color="auto"/>
          </w:divBdr>
        </w:div>
        <w:div w:id="2137481493">
          <w:marLeft w:val="0"/>
          <w:marRight w:val="0"/>
          <w:marTop w:val="0"/>
          <w:marBottom w:val="0"/>
          <w:divBdr>
            <w:top w:val="none" w:sz="0" w:space="0" w:color="auto"/>
            <w:left w:val="none" w:sz="0" w:space="0" w:color="auto"/>
            <w:bottom w:val="none" w:sz="0" w:space="0" w:color="auto"/>
            <w:right w:val="none" w:sz="0" w:space="0" w:color="auto"/>
          </w:divBdr>
        </w:div>
      </w:divsChild>
    </w:div>
    <w:div w:id="2096439201">
      <w:bodyDiv w:val="1"/>
      <w:marLeft w:val="0"/>
      <w:marRight w:val="0"/>
      <w:marTop w:val="0"/>
      <w:marBottom w:val="0"/>
      <w:divBdr>
        <w:top w:val="none" w:sz="0" w:space="0" w:color="auto"/>
        <w:left w:val="none" w:sz="0" w:space="0" w:color="auto"/>
        <w:bottom w:val="none" w:sz="0" w:space="0" w:color="auto"/>
        <w:right w:val="none" w:sz="0" w:space="0" w:color="auto"/>
      </w:divBdr>
      <w:divsChild>
        <w:div w:id="2972806">
          <w:marLeft w:val="0"/>
          <w:marRight w:val="0"/>
          <w:marTop w:val="0"/>
          <w:marBottom w:val="0"/>
          <w:divBdr>
            <w:top w:val="none" w:sz="0" w:space="0" w:color="auto"/>
            <w:left w:val="none" w:sz="0" w:space="0" w:color="auto"/>
            <w:bottom w:val="none" w:sz="0" w:space="0" w:color="auto"/>
            <w:right w:val="none" w:sz="0" w:space="0" w:color="auto"/>
          </w:divBdr>
        </w:div>
        <w:div w:id="124279506">
          <w:marLeft w:val="0"/>
          <w:marRight w:val="0"/>
          <w:marTop w:val="0"/>
          <w:marBottom w:val="0"/>
          <w:divBdr>
            <w:top w:val="none" w:sz="0" w:space="0" w:color="auto"/>
            <w:left w:val="none" w:sz="0" w:space="0" w:color="auto"/>
            <w:bottom w:val="none" w:sz="0" w:space="0" w:color="auto"/>
            <w:right w:val="none" w:sz="0" w:space="0" w:color="auto"/>
          </w:divBdr>
        </w:div>
        <w:div w:id="153881434">
          <w:marLeft w:val="0"/>
          <w:marRight w:val="0"/>
          <w:marTop w:val="0"/>
          <w:marBottom w:val="0"/>
          <w:divBdr>
            <w:top w:val="none" w:sz="0" w:space="0" w:color="auto"/>
            <w:left w:val="none" w:sz="0" w:space="0" w:color="auto"/>
            <w:bottom w:val="none" w:sz="0" w:space="0" w:color="auto"/>
            <w:right w:val="none" w:sz="0" w:space="0" w:color="auto"/>
          </w:divBdr>
        </w:div>
        <w:div w:id="162624223">
          <w:marLeft w:val="0"/>
          <w:marRight w:val="0"/>
          <w:marTop w:val="0"/>
          <w:marBottom w:val="0"/>
          <w:divBdr>
            <w:top w:val="none" w:sz="0" w:space="0" w:color="auto"/>
            <w:left w:val="none" w:sz="0" w:space="0" w:color="auto"/>
            <w:bottom w:val="none" w:sz="0" w:space="0" w:color="auto"/>
            <w:right w:val="none" w:sz="0" w:space="0" w:color="auto"/>
          </w:divBdr>
        </w:div>
        <w:div w:id="191194551">
          <w:marLeft w:val="0"/>
          <w:marRight w:val="0"/>
          <w:marTop w:val="0"/>
          <w:marBottom w:val="0"/>
          <w:divBdr>
            <w:top w:val="none" w:sz="0" w:space="0" w:color="auto"/>
            <w:left w:val="none" w:sz="0" w:space="0" w:color="auto"/>
            <w:bottom w:val="none" w:sz="0" w:space="0" w:color="auto"/>
            <w:right w:val="none" w:sz="0" w:space="0" w:color="auto"/>
          </w:divBdr>
        </w:div>
        <w:div w:id="218980342">
          <w:marLeft w:val="0"/>
          <w:marRight w:val="0"/>
          <w:marTop w:val="0"/>
          <w:marBottom w:val="0"/>
          <w:divBdr>
            <w:top w:val="none" w:sz="0" w:space="0" w:color="auto"/>
            <w:left w:val="none" w:sz="0" w:space="0" w:color="auto"/>
            <w:bottom w:val="none" w:sz="0" w:space="0" w:color="auto"/>
            <w:right w:val="none" w:sz="0" w:space="0" w:color="auto"/>
          </w:divBdr>
        </w:div>
        <w:div w:id="221798778">
          <w:marLeft w:val="0"/>
          <w:marRight w:val="0"/>
          <w:marTop w:val="0"/>
          <w:marBottom w:val="0"/>
          <w:divBdr>
            <w:top w:val="none" w:sz="0" w:space="0" w:color="auto"/>
            <w:left w:val="none" w:sz="0" w:space="0" w:color="auto"/>
            <w:bottom w:val="none" w:sz="0" w:space="0" w:color="auto"/>
            <w:right w:val="none" w:sz="0" w:space="0" w:color="auto"/>
          </w:divBdr>
        </w:div>
        <w:div w:id="231040960">
          <w:marLeft w:val="0"/>
          <w:marRight w:val="0"/>
          <w:marTop w:val="0"/>
          <w:marBottom w:val="0"/>
          <w:divBdr>
            <w:top w:val="none" w:sz="0" w:space="0" w:color="auto"/>
            <w:left w:val="none" w:sz="0" w:space="0" w:color="auto"/>
            <w:bottom w:val="none" w:sz="0" w:space="0" w:color="auto"/>
            <w:right w:val="none" w:sz="0" w:space="0" w:color="auto"/>
          </w:divBdr>
        </w:div>
        <w:div w:id="326057275">
          <w:marLeft w:val="0"/>
          <w:marRight w:val="0"/>
          <w:marTop w:val="0"/>
          <w:marBottom w:val="0"/>
          <w:divBdr>
            <w:top w:val="none" w:sz="0" w:space="0" w:color="auto"/>
            <w:left w:val="none" w:sz="0" w:space="0" w:color="auto"/>
            <w:bottom w:val="none" w:sz="0" w:space="0" w:color="auto"/>
            <w:right w:val="none" w:sz="0" w:space="0" w:color="auto"/>
          </w:divBdr>
        </w:div>
        <w:div w:id="369033711">
          <w:marLeft w:val="0"/>
          <w:marRight w:val="0"/>
          <w:marTop w:val="0"/>
          <w:marBottom w:val="0"/>
          <w:divBdr>
            <w:top w:val="none" w:sz="0" w:space="0" w:color="auto"/>
            <w:left w:val="none" w:sz="0" w:space="0" w:color="auto"/>
            <w:bottom w:val="none" w:sz="0" w:space="0" w:color="auto"/>
            <w:right w:val="none" w:sz="0" w:space="0" w:color="auto"/>
          </w:divBdr>
        </w:div>
        <w:div w:id="426073242">
          <w:marLeft w:val="0"/>
          <w:marRight w:val="0"/>
          <w:marTop w:val="0"/>
          <w:marBottom w:val="0"/>
          <w:divBdr>
            <w:top w:val="none" w:sz="0" w:space="0" w:color="auto"/>
            <w:left w:val="none" w:sz="0" w:space="0" w:color="auto"/>
            <w:bottom w:val="none" w:sz="0" w:space="0" w:color="auto"/>
            <w:right w:val="none" w:sz="0" w:space="0" w:color="auto"/>
          </w:divBdr>
        </w:div>
        <w:div w:id="446391243">
          <w:marLeft w:val="0"/>
          <w:marRight w:val="0"/>
          <w:marTop w:val="0"/>
          <w:marBottom w:val="0"/>
          <w:divBdr>
            <w:top w:val="none" w:sz="0" w:space="0" w:color="auto"/>
            <w:left w:val="none" w:sz="0" w:space="0" w:color="auto"/>
            <w:bottom w:val="none" w:sz="0" w:space="0" w:color="auto"/>
            <w:right w:val="none" w:sz="0" w:space="0" w:color="auto"/>
          </w:divBdr>
        </w:div>
        <w:div w:id="580680559">
          <w:marLeft w:val="0"/>
          <w:marRight w:val="0"/>
          <w:marTop w:val="0"/>
          <w:marBottom w:val="0"/>
          <w:divBdr>
            <w:top w:val="none" w:sz="0" w:space="0" w:color="auto"/>
            <w:left w:val="none" w:sz="0" w:space="0" w:color="auto"/>
            <w:bottom w:val="none" w:sz="0" w:space="0" w:color="auto"/>
            <w:right w:val="none" w:sz="0" w:space="0" w:color="auto"/>
          </w:divBdr>
        </w:div>
        <w:div w:id="614563136">
          <w:marLeft w:val="0"/>
          <w:marRight w:val="0"/>
          <w:marTop w:val="0"/>
          <w:marBottom w:val="0"/>
          <w:divBdr>
            <w:top w:val="none" w:sz="0" w:space="0" w:color="auto"/>
            <w:left w:val="none" w:sz="0" w:space="0" w:color="auto"/>
            <w:bottom w:val="none" w:sz="0" w:space="0" w:color="auto"/>
            <w:right w:val="none" w:sz="0" w:space="0" w:color="auto"/>
          </w:divBdr>
        </w:div>
        <w:div w:id="633173559">
          <w:marLeft w:val="0"/>
          <w:marRight w:val="0"/>
          <w:marTop w:val="0"/>
          <w:marBottom w:val="0"/>
          <w:divBdr>
            <w:top w:val="none" w:sz="0" w:space="0" w:color="auto"/>
            <w:left w:val="none" w:sz="0" w:space="0" w:color="auto"/>
            <w:bottom w:val="none" w:sz="0" w:space="0" w:color="auto"/>
            <w:right w:val="none" w:sz="0" w:space="0" w:color="auto"/>
          </w:divBdr>
        </w:div>
        <w:div w:id="698435263">
          <w:marLeft w:val="0"/>
          <w:marRight w:val="0"/>
          <w:marTop w:val="0"/>
          <w:marBottom w:val="0"/>
          <w:divBdr>
            <w:top w:val="none" w:sz="0" w:space="0" w:color="auto"/>
            <w:left w:val="none" w:sz="0" w:space="0" w:color="auto"/>
            <w:bottom w:val="none" w:sz="0" w:space="0" w:color="auto"/>
            <w:right w:val="none" w:sz="0" w:space="0" w:color="auto"/>
          </w:divBdr>
        </w:div>
        <w:div w:id="709914674">
          <w:marLeft w:val="0"/>
          <w:marRight w:val="0"/>
          <w:marTop w:val="0"/>
          <w:marBottom w:val="0"/>
          <w:divBdr>
            <w:top w:val="none" w:sz="0" w:space="0" w:color="auto"/>
            <w:left w:val="none" w:sz="0" w:space="0" w:color="auto"/>
            <w:bottom w:val="none" w:sz="0" w:space="0" w:color="auto"/>
            <w:right w:val="none" w:sz="0" w:space="0" w:color="auto"/>
          </w:divBdr>
        </w:div>
        <w:div w:id="728771320">
          <w:marLeft w:val="0"/>
          <w:marRight w:val="0"/>
          <w:marTop w:val="0"/>
          <w:marBottom w:val="0"/>
          <w:divBdr>
            <w:top w:val="none" w:sz="0" w:space="0" w:color="auto"/>
            <w:left w:val="none" w:sz="0" w:space="0" w:color="auto"/>
            <w:bottom w:val="none" w:sz="0" w:space="0" w:color="auto"/>
            <w:right w:val="none" w:sz="0" w:space="0" w:color="auto"/>
          </w:divBdr>
        </w:div>
        <w:div w:id="747309731">
          <w:marLeft w:val="0"/>
          <w:marRight w:val="0"/>
          <w:marTop w:val="0"/>
          <w:marBottom w:val="0"/>
          <w:divBdr>
            <w:top w:val="none" w:sz="0" w:space="0" w:color="auto"/>
            <w:left w:val="none" w:sz="0" w:space="0" w:color="auto"/>
            <w:bottom w:val="none" w:sz="0" w:space="0" w:color="auto"/>
            <w:right w:val="none" w:sz="0" w:space="0" w:color="auto"/>
          </w:divBdr>
        </w:div>
        <w:div w:id="770661701">
          <w:marLeft w:val="0"/>
          <w:marRight w:val="0"/>
          <w:marTop w:val="0"/>
          <w:marBottom w:val="0"/>
          <w:divBdr>
            <w:top w:val="none" w:sz="0" w:space="0" w:color="auto"/>
            <w:left w:val="none" w:sz="0" w:space="0" w:color="auto"/>
            <w:bottom w:val="none" w:sz="0" w:space="0" w:color="auto"/>
            <w:right w:val="none" w:sz="0" w:space="0" w:color="auto"/>
          </w:divBdr>
        </w:div>
        <w:div w:id="793447820">
          <w:marLeft w:val="0"/>
          <w:marRight w:val="0"/>
          <w:marTop w:val="0"/>
          <w:marBottom w:val="0"/>
          <w:divBdr>
            <w:top w:val="none" w:sz="0" w:space="0" w:color="auto"/>
            <w:left w:val="none" w:sz="0" w:space="0" w:color="auto"/>
            <w:bottom w:val="none" w:sz="0" w:space="0" w:color="auto"/>
            <w:right w:val="none" w:sz="0" w:space="0" w:color="auto"/>
          </w:divBdr>
        </w:div>
        <w:div w:id="793913511">
          <w:marLeft w:val="0"/>
          <w:marRight w:val="0"/>
          <w:marTop w:val="0"/>
          <w:marBottom w:val="0"/>
          <w:divBdr>
            <w:top w:val="none" w:sz="0" w:space="0" w:color="auto"/>
            <w:left w:val="none" w:sz="0" w:space="0" w:color="auto"/>
            <w:bottom w:val="none" w:sz="0" w:space="0" w:color="auto"/>
            <w:right w:val="none" w:sz="0" w:space="0" w:color="auto"/>
          </w:divBdr>
        </w:div>
        <w:div w:id="814445376">
          <w:marLeft w:val="0"/>
          <w:marRight w:val="0"/>
          <w:marTop w:val="0"/>
          <w:marBottom w:val="0"/>
          <w:divBdr>
            <w:top w:val="none" w:sz="0" w:space="0" w:color="auto"/>
            <w:left w:val="none" w:sz="0" w:space="0" w:color="auto"/>
            <w:bottom w:val="none" w:sz="0" w:space="0" w:color="auto"/>
            <w:right w:val="none" w:sz="0" w:space="0" w:color="auto"/>
          </w:divBdr>
        </w:div>
        <w:div w:id="847063694">
          <w:marLeft w:val="0"/>
          <w:marRight w:val="0"/>
          <w:marTop w:val="0"/>
          <w:marBottom w:val="0"/>
          <w:divBdr>
            <w:top w:val="none" w:sz="0" w:space="0" w:color="auto"/>
            <w:left w:val="none" w:sz="0" w:space="0" w:color="auto"/>
            <w:bottom w:val="none" w:sz="0" w:space="0" w:color="auto"/>
            <w:right w:val="none" w:sz="0" w:space="0" w:color="auto"/>
          </w:divBdr>
        </w:div>
        <w:div w:id="896235708">
          <w:marLeft w:val="0"/>
          <w:marRight w:val="0"/>
          <w:marTop w:val="0"/>
          <w:marBottom w:val="0"/>
          <w:divBdr>
            <w:top w:val="none" w:sz="0" w:space="0" w:color="auto"/>
            <w:left w:val="none" w:sz="0" w:space="0" w:color="auto"/>
            <w:bottom w:val="none" w:sz="0" w:space="0" w:color="auto"/>
            <w:right w:val="none" w:sz="0" w:space="0" w:color="auto"/>
          </w:divBdr>
        </w:div>
        <w:div w:id="950167737">
          <w:marLeft w:val="0"/>
          <w:marRight w:val="0"/>
          <w:marTop w:val="0"/>
          <w:marBottom w:val="0"/>
          <w:divBdr>
            <w:top w:val="none" w:sz="0" w:space="0" w:color="auto"/>
            <w:left w:val="none" w:sz="0" w:space="0" w:color="auto"/>
            <w:bottom w:val="none" w:sz="0" w:space="0" w:color="auto"/>
            <w:right w:val="none" w:sz="0" w:space="0" w:color="auto"/>
          </w:divBdr>
        </w:div>
        <w:div w:id="959726125">
          <w:marLeft w:val="0"/>
          <w:marRight w:val="0"/>
          <w:marTop w:val="0"/>
          <w:marBottom w:val="0"/>
          <w:divBdr>
            <w:top w:val="none" w:sz="0" w:space="0" w:color="auto"/>
            <w:left w:val="none" w:sz="0" w:space="0" w:color="auto"/>
            <w:bottom w:val="none" w:sz="0" w:space="0" w:color="auto"/>
            <w:right w:val="none" w:sz="0" w:space="0" w:color="auto"/>
          </w:divBdr>
        </w:div>
        <w:div w:id="1109086940">
          <w:marLeft w:val="0"/>
          <w:marRight w:val="0"/>
          <w:marTop w:val="0"/>
          <w:marBottom w:val="0"/>
          <w:divBdr>
            <w:top w:val="none" w:sz="0" w:space="0" w:color="auto"/>
            <w:left w:val="none" w:sz="0" w:space="0" w:color="auto"/>
            <w:bottom w:val="none" w:sz="0" w:space="0" w:color="auto"/>
            <w:right w:val="none" w:sz="0" w:space="0" w:color="auto"/>
          </w:divBdr>
        </w:div>
        <w:div w:id="1114668670">
          <w:marLeft w:val="0"/>
          <w:marRight w:val="0"/>
          <w:marTop w:val="0"/>
          <w:marBottom w:val="0"/>
          <w:divBdr>
            <w:top w:val="none" w:sz="0" w:space="0" w:color="auto"/>
            <w:left w:val="none" w:sz="0" w:space="0" w:color="auto"/>
            <w:bottom w:val="none" w:sz="0" w:space="0" w:color="auto"/>
            <w:right w:val="none" w:sz="0" w:space="0" w:color="auto"/>
          </w:divBdr>
        </w:div>
        <w:div w:id="1117917867">
          <w:marLeft w:val="0"/>
          <w:marRight w:val="0"/>
          <w:marTop w:val="0"/>
          <w:marBottom w:val="0"/>
          <w:divBdr>
            <w:top w:val="none" w:sz="0" w:space="0" w:color="auto"/>
            <w:left w:val="none" w:sz="0" w:space="0" w:color="auto"/>
            <w:bottom w:val="none" w:sz="0" w:space="0" w:color="auto"/>
            <w:right w:val="none" w:sz="0" w:space="0" w:color="auto"/>
          </w:divBdr>
        </w:div>
        <w:div w:id="1122844013">
          <w:marLeft w:val="0"/>
          <w:marRight w:val="0"/>
          <w:marTop w:val="0"/>
          <w:marBottom w:val="0"/>
          <w:divBdr>
            <w:top w:val="none" w:sz="0" w:space="0" w:color="auto"/>
            <w:left w:val="none" w:sz="0" w:space="0" w:color="auto"/>
            <w:bottom w:val="none" w:sz="0" w:space="0" w:color="auto"/>
            <w:right w:val="none" w:sz="0" w:space="0" w:color="auto"/>
          </w:divBdr>
        </w:div>
        <w:div w:id="1343817736">
          <w:marLeft w:val="0"/>
          <w:marRight w:val="0"/>
          <w:marTop w:val="0"/>
          <w:marBottom w:val="0"/>
          <w:divBdr>
            <w:top w:val="none" w:sz="0" w:space="0" w:color="auto"/>
            <w:left w:val="none" w:sz="0" w:space="0" w:color="auto"/>
            <w:bottom w:val="none" w:sz="0" w:space="0" w:color="auto"/>
            <w:right w:val="none" w:sz="0" w:space="0" w:color="auto"/>
          </w:divBdr>
        </w:div>
        <w:div w:id="1384867353">
          <w:marLeft w:val="0"/>
          <w:marRight w:val="0"/>
          <w:marTop w:val="0"/>
          <w:marBottom w:val="0"/>
          <w:divBdr>
            <w:top w:val="none" w:sz="0" w:space="0" w:color="auto"/>
            <w:left w:val="none" w:sz="0" w:space="0" w:color="auto"/>
            <w:bottom w:val="none" w:sz="0" w:space="0" w:color="auto"/>
            <w:right w:val="none" w:sz="0" w:space="0" w:color="auto"/>
          </w:divBdr>
        </w:div>
        <w:div w:id="1419256054">
          <w:marLeft w:val="0"/>
          <w:marRight w:val="0"/>
          <w:marTop w:val="0"/>
          <w:marBottom w:val="0"/>
          <w:divBdr>
            <w:top w:val="none" w:sz="0" w:space="0" w:color="auto"/>
            <w:left w:val="none" w:sz="0" w:space="0" w:color="auto"/>
            <w:bottom w:val="none" w:sz="0" w:space="0" w:color="auto"/>
            <w:right w:val="none" w:sz="0" w:space="0" w:color="auto"/>
          </w:divBdr>
        </w:div>
        <w:div w:id="1472863576">
          <w:marLeft w:val="0"/>
          <w:marRight w:val="0"/>
          <w:marTop w:val="0"/>
          <w:marBottom w:val="0"/>
          <w:divBdr>
            <w:top w:val="none" w:sz="0" w:space="0" w:color="auto"/>
            <w:left w:val="none" w:sz="0" w:space="0" w:color="auto"/>
            <w:bottom w:val="none" w:sz="0" w:space="0" w:color="auto"/>
            <w:right w:val="none" w:sz="0" w:space="0" w:color="auto"/>
          </w:divBdr>
        </w:div>
        <w:div w:id="1482841557">
          <w:marLeft w:val="0"/>
          <w:marRight w:val="0"/>
          <w:marTop w:val="0"/>
          <w:marBottom w:val="0"/>
          <w:divBdr>
            <w:top w:val="none" w:sz="0" w:space="0" w:color="auto"/>
            <w:left w:val="none" w:sz="0" w:space="0" w:color="auto"/>
            <w:bottom w:val="none" w:sz="0" w:space="0" w:color="auto"/>
            <w:right w:val="none" w:sz="0" w:space="0" w:color="auto"/>
          </w:divBdr>
        </w:div>
        <w:div w:id="1605377746">
          <w:marLeft w:val="0"/>
          <w:marRight w:val="0"/>
          <w:marTop w:val="0"/>
          <w:marBottom w:val="0"/>
          <w:divBdr>
            <w:top w:val="none" w:sz="0" w:space="0" w:color="auto"/>
            <w:left w:val="none" w:sz="0" w:space="0" w:color="auto"/>
            <w:bottom w:val="none" w:sz="0" w:space="0" w:color="auto"/>
            <w:right w:val="none" w:sz="0" w:space="0" w:color="auto"/>
          </w:divBdr>
        </w:div>
        <w:div w:id="1749303004">
          <w:marLeft w:val="0"/>
          <w:marRight w:val="0"/>
          <w:marTop w:val="0"/>
          <w:marBottom w:val="0"/>
          <w:divBdr>
            <w:top w:val="none" w:sz="0" w:space="0" w:color="auto"/>
            <w:left w:val="none" w:sz="0" w:space="0" w:color="auto"/>
            <w:bottom w:val="none" w:sz="0" w:space="0" w:color="auto"/>
            <w:right w:val="none" w:sz="0" w:space="0" w:color="auto"/>
          </w:divBdr>
        </w:div>
        <w:div w:id="1812626648">
          <w:marLeft w:val="0"/>
          <w:marRight w:val="0"/>
          <w:marTop w:val="0"/>
          <w:marBottom w:val="0"/>
          <w:divBdr>
            <w:top w:val="none" w:sz="0" w:space="0" w:color="auto"/>
            <w:left w:val="none" w:sz="0" w:space="0" w:color="auto"/>
            <w:bottom w:val="none" w:sz="0" w:space="0" w:color="auto"/>
            <w:right w:val="none" w:sz="0" w:space="0" w:color="auto"/>
          </w:divBdr>
        </w:div>
        <w:div w:id="1817800486">
          <w:marLeft w:val="0"/>
          <w:marRight w:val="0"/>
          <w:marTop w:val="0"/>
          <w:marBottom w:val="0"/>
          <w:divBdr>
            <w:top w:val="none" w:sz="0" w:space="0" w:color="auto"/>
            <w:left w:val="none" w:sz="0" w:space="0" w:color="auto"/>
            <w:bottom w:val="none" w:sz="0" w:space="0" w:color="auto"/>
            <w:right w:val="none" w:sz="0" w:space="0" w:color="auto"/>
          </w:divBdr>
        </w:div>
        <w:div w:id="1937471217">
          <w:marLeft w:val="0"/>
          <w:marRight w:val="0"/>
          <w:marTop w:val="0"/>
          <w:marBottom w:val="0"/>
          <w:divBdr>
            <w:top w:val="none" w:sz="0" w:space="0" w:color="auto"/>
            <w:left w:val="none" w:sz="0" w:space="0" w:color="auto"/>
            <w:bottom w:val="none" w:sz="0" w:space="0" w:color="auto"/>
            <w:right w:val="none" w:sz="0" w:space="0" w:color="auto"/>
          </w:divBdr>
        </w:div>
        <w:div w:id="1983538109">
          <w:marLeft w:val="0"/>
          <w:marRight w:val="0"/>
          <w:marTop w:val="0"/>
          <w:marBottom w:val="0"/>
          <w:divBdr>
            <w:top w:val="none" w:sz="0" w:space="0" w:color="auto"/>
            <w:left w:val="none" w:sz="0" w:space="0" w:color="auto"/>
            <w:bottom w:val="none" w:sz="0" w:space="0" w:color="auto"/>
            <w:right w:val="none" w:sz="0" w:space="0" w:color="auto"/>
          </w:divBdr>
        </w:div>
        <w:div w:id="20732357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4/relationships/chartEx" Target="charts/chartEx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latin typeface="Humnst777 Lt BT" panose="020B0402030504020204" pitchFamily="34" charset="0"/>
              </a:rPr>
              <a:t>Number of fines issued</a:t>
            </a:r>
            <a:r>
              <a:rPr lang="en-GB" b="1" baseline="0">
                <a:latin typeface="Humnst777 Lt BT" panose="020B0402030504020204" pitchFamily="34" charset="0"/>
              </a:rPr>
              <a:t> by PBSs</a:t>
            </a:r>
            <a:endParaRPr lang="en-GB" b="1">
              <a:latin typeface="Humnst777 Lt BT" panose="020B0402030504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Sheet1!$C$3:$Q$4</c:f>
              <c:strCache>
                <c:ptCount val="13"/>
                <c:pt idx="0">
                  <c:v>2016-17</c:v>
                </c:pt>
                <c:pt idx="3">
                  <c:v>2017-18</c:v>
                </c:pt>
                <c:pt idx="6">
                  <c:v>2018-19</c:v>
                </c:pt>
                <c:pt idx="9">
                  <c:v>2019-20</c:v>
                </c:pt>
                <c:pt idx="12">
                  <c:v>2020-21</c:v>
                </c:pt>
              </c:strCache>
              <c:extLst/>
            </c:strRef>
          </c:cat>
          <c:val>
            <c:numRef>
              <c:f>Sheet1!$C$5:$Q$5</c:f>
              <c:numCache>
                <c:formatCode>General</c:formatCode>
                <c:ptCount val="15"/>
                <c:pt idx="0">
                  <c:v>60</c:v>
                </c:pt>
                <c:pt idx="3">
                  <c:v>135</c:v>
                </c:pt>
                <c:pt idx="6">
                  <c:v>237</c:v>
                </c:pt>
                <c:pt idx="9">
                  <c:v>278</c:v>
                </c:pt>
                <c:pt idx="12">
                  <c:v>311</c:v>
                </c:pt>
              </c:numCache>
            </c:numRef>
          </c:val>
          <c:extLst>
            <c:ext xmlns:c16="http://schemas.microsoft.com/office/drawing/2014/chart" uri="{C3380CC4-5D6E-409C-BE32-E72D297353CC}">
              <c16:uniqueId val="{00000000-9DC6-475E-AF6D-DB0493377CFF}"/>
            </c:ext>
          </c:extLst>
        </c:ser>
        <c:dLbls>
          <c:showLegendKey val="0"/>
          <c:showVal val="0"/>
          <c:showCatName val="0"/>
          <c:showSerName val="0"/>
          <c:showPercent val="0"/>
          <c:showBubbleSize val="0"/>
        </c:dLbls>
        <c:gapWidth val="219"/>
        <c:overlap val="-27"/>
        <c:axId val="771077968"/>
        <c:axId val="771075344"/>
      </c:barChart>
      <c:catAx>
        <c:axId val="771077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latin typeface="Humnst777 Lt BT" panose="020B0402030504020204" pitchFamily="34" charset="0"/>
                  </a:rPr>
                  <a:t>Financial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075344"/>
        <c:crosses val="autoZero"/>
        <c:auto val="1"/>
        <c:lblAlgn val="ctr"/>
        <c:lblOffset val="100"/>
        <c:noMultiLvlLbl val="0"/>
      </c:catAx>
      <c:valAx>
        <c:axId val="771075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latin typeface="Humnst777 Lt BT" panose="020B0402030504020204" pitchFamily="34" charset="0"/>
                  </a:rPr>
                  <a:t>Number of fines issued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077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Sheet1!$D$6:$P$6</cx:f>
        <cx:lvl ptCount="13">
          <cx:pt idx="0">2016-17</cx:pt>
          <cx:pt idx="3">2017-18</cx:pt>
          <cx:pt idx="6">2018-19</cx:pt>
          <cx:pt idx="9">2019-20</cx:pt>
          <cx:pt idx="12">2020-21</cx:pt>
        </cx:lvl>
      </cx:strDim>
      <cx:numDim type="val">
        <cx:f dir="row">Sheet1!$D$7:$P$7</cx:f>
        <cx:lvl ptCount="13" formatCode="_-&quot;£&quot;* #,##0.00_-;\-&quot;£&quot;* #,##0.00_-;_-&quot;£&quot;* &quot;-&quot;??_-;_-@_-">
          <cx:pt idx="0">98789.220000000001</cx:pt>
          <cx:pt idx="3">211449.95999999999</cx:pt>
          <cx:pt idx="6">499051</cx:pt>
          <cx:pt idx="9">495893</cx:pt>
          <cx:pt idx="12">684846</cx:pt>
        </cx:lvl>
      </cx:numDim>
    </cx:data>
  </cx:chartData>
  <cx:chart>
    <cx:title pos="t" align="ctr" overlay="0">
      <cx:tx>
        <cx:txData>
          <cx:v>Total sum of fines issued by PBSs</cx:v>
        </cx:txData>
      </cx:tx>
      <cx:txPr>
        <a:bodyPr spcFirstLastPara="1" vertOverflow="ellipsis" horzOverflow="overflow" wrap="square" lIns="0" tIns="0" rIns="0" bIns="0" anchor="ctr" anchorCtr="1"/>
        <a:lstStyle/>
        <a:p>
          <a:pPr algn="ctr" rtl="0">
            <a:defRPr/>
          </a:pPr>
          <a:r>
            <a:rPr lang="en-US" sz="1400" b="1" i="0" u="none" strike="noStrike" baseline="0">
              <a:solidFill>
                <a:sysClr val="windowText" lastClr="000000">
                  <a:lumMod val="65000"/>
                  <a:lumOff val="35000"/>
                </a:sysClr>
              </a:solidFill>
              <a:latin typeface="Humnst777 Lt BT" panose="020B0402030504020204" pitchFamily="34" charset="0"/>
            </a:rPr>
            <a:t>Total sum of fines issued by PBSs</a:t>
          </a:r>
        </a:p>
      </cx:txPr>
    </cx:title>
    <cx:plotArea>
      <cx:plotAreaRegion>
        <cx:series layoutId="funnel" uniqueId="{9B2DD620-EB87-4446-9E43-5F52D81D6906}">
          <cx:dataLabels>
            <cx:visibility seriesName="0" categoryName="0" value="1"/>
          </cx:dataLabels>
          <cx:dataId val="0"/>
        </cx:series>
      </cx:plotAreaRegion>
      <cx:axis id="0">
        <cx:catScaling gapWidth="0.0599999987"/>
        <cx:title>
          <cx:tx>
            <cx:txData>
              <cx:v>Financial year</cx:v>
            </cx:txData>
          </cx:tx>
          <cx:txPr>
            <a:bodyPr spcFirstLastPara="1" vertOverflow="ellipsis" horzOverflow="overflow" wrap="square" lIns="0" tIns="0" rIns="0" bIns="0" anchor="ctr" anchorCtr="1"/>
            <a:lstStyle/>
            <a:p>
              <a:pPr algn="ctr" rtl="0">
                <a:defRPr/>
              </a:pPr>
              <a:r>
                <a:rPr lang="en-US" sz="900" b="1" i="0" u="none" strike="noStrike" baseline="0">
                  <a:solidFill>
                    <a:sysClr val="windowText" lastClr="000000">
                      <a:lumMod val="65000"/>
                      <a:lumOff val="35000"/>
                    </a:sysClr>
                  </a:solidFill>
                  <a:latin typeface="Humnst777 Lt BT" panose="020B0402030504020204" pitchFamily="34" charset="0"/>
                </a:rPr>
                <a:t>Financial year</a:t>
              </a:r>
            </a:p>
          </cx:txPr>
        </cx:title>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AF6266E884B68B0F763A878322D72"/>
        <w:category>
          <w:name w:val="General"/>
          <w:gallery w:val="placeholder"/>
        </w:category>
        <w:types>
          <w:type w:val="bbPlcHdr"/>
        </w:types>
        <w:behaviors>
          <w:behavior w:val="content"/>
        </w:behaviors>
        <w:guid w:val="{99E26E52-23B7-4BE0-B9DB-390A9F6DE165}"/>
      </w:docPartPr>
      <w:docPartBody>
        <w:p w:rsidR="0015426B" w:rsidRDefault="00C55984" w:rsidP="00C55984">
          <w:pPr>
            <w:pStyle w:val="F8DAF6266E884B68B0F763A878322D725"/>
          </w:pPr>
          <w:r w:rsidRPr="00BD7DFC">
            <w:rPr>
              <w:rFonts w:ascii="Arial" w:eastAsia="SimSun" w:hAnsi="Arial" w:cs="Arial"/>
              <w:color w:val="808080"/>
            </w:rPr>
            <w:t>Click here to enter text.</w:t>
          </w:r>
        </w:p>
      </w:docPartBody>
    </w:docPart>
    <w:docPart>
      <w:docPartPr>
        <w:name w:val="1113A45D448A4F3CB3079362785C5F50"/>
        <w:category>
          <w:name w:val="General"/>
          <w:gallery w:val="placeholder"/>
        </w:category>
        <w:types>
          <w:type w:val="bbPlcHdr"/>
        </w:types>
        <w:behaviors>
          <w:behavior w:val="content"/>
        </w:behaviors>
        <w:guid w:val="{873D6DE0-3B67-4DCC-954F-DC546023CF1B}"/>
      </w:docPartPr>
      <w:docPartBody>
        <w:p w:rsidR="0015426B" w:rsidRDefault="00C55984" w:rsidP="00C55984">
          <w:pPr>
            <w:pStyle w:val="1113A45D448A4F3CB3079362785C5F505"/>
          </w:pPr>
          <w:r w:rsidRPr="00E75483">
            <w:rPr>
              <w:rFonts w:ascii="Arial" w:eastAsia="SimSun" w:hAnsi="Arial"/>
              <w:color w:val="808080"/>
              <w:spacing w:val="-5"/>
              <w:lang w:eastAsia="zh-CN"/>
            </w:rPr>
            <w:t>Click here to enter text.</w:t>
          </w:r>
        </w:p>
      </w:docPartBody>
    </w:docPart>
    <w:docPart>
      <w:docPartPr>
        <w:name w:val="158A7B0A85CC4EA28EB3B09A223E2EA7"/>
        <w:category>
          <w:name w:val="General"/>
          <w:gallery w:val="placeholder"/>
        </w:category>
        <w:types>
          <w:type w:val="bbPlcHdr"/>
        </w:types>
        <w:behaviors>
          <w:behavior w:val="content"/>
        </w:behaviors>
        <w:guid w:val="{A851EA66-6363-44E1-AED1-F0B6BA661376}"/>
      </w:docPartPr>
      <w:docPartBody>
        <w:p w:rsidR="0015426B" w:rsidRDefault="00C55984" w:rsidP="00C55984">
          <w:pPr>
            <w:pStyle w:val="158A7B0A85CC4EA28EB3B09A223E2EA75"/>
          </w:pPr>
          <w:r w:rsidRPr="00E75483">
            <w:rPr>
              <w:rFonts w:ascii="Arial" w:eastAsia="SimSun" w:hAnsi="Arial"/>
              <w:color w:val="808080"/>
              <w:spacing w:val="-5"/>
              <w:lang w:eastAsia="zh-CN"/>
            </w:rPr>
            <w:t>Choose an item.</w:t>
          </w:r>
        </w:p>
      </w:docPartBody>
    </w:docPart>
    <w:docPart>
      <w:docPartPr>
        <w:name w:val="F3A97EFDDC9E4ECA8968905F9E33617A"/>
        <w:category>
          <w:name w:val="General"/>
          <w:gallery w:val="placeholder"/>
        </w:category>
        <w:types>
          <w:type w:val="bbPlcHdr"/>
        </w:types>
        <w:behaviors>
          <w:behavior w:val="content"/>
        </w:behaviors>
        <w:guid w:val="{84098E75-0E7D-4BFC-9DF6-50295D8C8FE6}"/>
      </w:docPartPr>
      <w:docPartBody>
        <w:p w:rsidR="0015426B" w:rsidRDefault="00C55984" w:rsidP="00C55984">
          <w:pPr>
            <w:pStyle w:val="F3A97EFDDC9E4ECA8968905F9E33617A5"/>
          </w:pPr>
          <w:r w:rsidRPr="00E75483">
            <w:rPr>
              <w:rFonts w:ascii="Arial" w:eastAsia="SimSun" w:hAnsi="Arial"/>
              <w:color w:val="808080"/>
              <w:spacing w:val="-5"/>
              <w:lang w:eastAsia="zh-CN"/>
            </w:rPr>
            <w:t>Click here to enter text.</w:t>
          </w:r>
        </w:p>
      </w:docPartBody>
    </w:docPart>
    <w:docPart>
      <w:docPartPr>
        <w:name w:val="CE978E46EE994C5BAC6288FFBCE328F2"/>
        <w:category>
          <w:name w:val="General"/>
          <w:gallery w:val="placeholder"/>
        </w:category>
        <w:types>
          <w:type w:val="bbPlcHdr"/>
        </w:types>
        <w:behaviors>
          <w:behavior w:val="content"/>
        </w:behaviors>
        <w:guid w:val="{B933FF57-EAF2-44D0-A71E-20DF7DC6957D}"/>
      </w:docPartPr>
      <w:docPartBody>
        <w:p w:rsidR="0015426B" w:rsidRDefault="00C55984" w:rsidP="00C55984">
          <w:pPr>
            <w:pStyle w:val="CE978E46EE994C5BAC6288FFBCE328F25"/>
          </w:pPr>
          <w:r w:rsidRPr="00E75483">
            <w:rPr>
              <w:rFonts w:ascii="Arial" w:eastAsia="SimSun" w:hAnsi="Arial"/>
              <w:color w:val="808080"/>
              <w:spacing w:val="-5"/>
              <w:lang w:eastAsia="zh-CN"/>
            </w:rPr>
            <w:t>Choose an item.</w:t>
          </w:r>
        </w:p>
      </w:docPartBody>
    </w:docPart>
    <w:docPart>
      <w:docPartPr>
        <w:name w:val="DDE40D88EA984057B22C1B10B2CE26B2"/>
        <w:category>
          <w:name w:val="General"/>
          <w:gallery w:val="placeholder"/>
        </w:category>
        <w:types>
          <w:type w:val="bbPlcHdr"/>
        </w:types>
        <w:behaviors>
          <w:behavior w:val="content"/>
        </w:behaviors>
        <w:guid w:val="{0A36A416-8C6B-44AC-B0D2-52F791C03546}"/>
      </w:docPartPr>
      <w:docPartBody>
        <w:p w:rsidR="0015426B" w:rsidRDefault="00C55984" w:rsidP="00C55984">
          <w:pPr>
            <w:pStyle w:val="DDE40D88EA984057B22C1B10B2CE26B25"/>
          </w:pPr>
          <w:r w:rsidRPr="00E75483">
            <w:rPr>
              <w:rFonts w:ascii="Arial" w:eastAsia="SimSun" w:hAnsi="Arial"/>
              <w:color w:val="808080"/>
              <w:spacing w:val="-5"/>
              <w:lang w:eastAsia="zh-CN"/>
            </w:rPr>
            <w:t>Click here to enter text.</w:t>
          </w:r>
        </w:p>
      </w:docPartBody>
    </w:docPart>
    <w:docPart>
      <w:docPartPr>
        <w:name w:val="DAC78B3A0A33455B8CD38464899BF10F"/>
        <w:category>
          <w:name w:val="General"/>
          <w:gallery w:val="placeholder"/>
        </w:category>
        <w:types>
          <w:type w:val="bbPlcHdr"/>
        </w:types>
        <w:behaviors>
          <w:behavior w:val="content"/>
        </w:behaviors>
        <w:guid w:val="{0B2919D8-CE21-4985-BECD-B214F1C61918}"/>
      </w:docPartPr>
      <w:docPartBody>
        <w:p w:rsidR="0015426B" w:rsidRDefault="00C55984" w:rsidP="00C55984">
          <w:pPr>
            <w:pStyle w:val="DAC78B3A0A33455B8CD38464899BF10F5"/>
          </w:pPr>
          <w:r w:rsidRPr="00E75483">
            <w:rPr>
              <w:rFonts w:ascii="Arial" w:eastAsia="SimSun" w:hAnsi="Arial"/>
              <w:color w:val="808080"/>
              <w:spacing w:val="-5"/>
              <w:lang w:eastAsia="zh-CN"/>
            </w:rPr>
            <w:t>Click here to enter text.</w:t>
          </w:r>
        </w:p>
      </w:docPartBody>
    </w:docPart>
    <w:docPart>
      <w:docPartPr>
        <w:name w:val="898FEDAD1042462BA0AFE067F1F9666D"/>
        <w:category>
          <w:name w:val="General"/>
          <w:gallery w:val="placeholder"/>
        </w:category>
        <w:types>
          <w:type w:val="bbPlcHdr"/>
        </w:types>
        <w:behaviors>
          <w:behavior w:val="content"/>
        </w:behaviors>
        <w:guid w:val="{B924B6C8-97F2-4A8C-9EAE-52F3D50BE9B9}"/>
      </w:docPartPr>
      <w:docPartBody>
        <w:p w:rsidR="0015426B" w:rsidRDefault="00C55984" w:rsidP="00C55984">
          <w:pPr>
            <w:pStyle w:val="898FEDAD1042462BA0AFE067F1F9666D5"/>
          </w:pPr>
          <w:r w:rsidRPr="00FB44FE">
            <w:rPr>
              <w:rStyle w:val="PlaceholderText"/>
              <w:rFonts w:ascii="Arial" w:hAnsi="Arial" w:cs="Arial"/>
            </w:rPr>
            <w:t>Click here to enter a date.</w:t>
          </w:r>
        </w:p>
      </w:docPartBody>
    </w:docPart>
    <w:docPart>
      <w:docPartPr>
        <w:name w:val="89AD2A266F224B6387CCAA0CCC6431E5"/>
        <w:category>
          <w:name w:val="General"/>
          <w:gallery w:val="placeholder"/>
        </w:category>
        <w:types>
          <w:type w:val="bbPlcHdr"/>
        </w:types>
        <w:behaviors>
          <w:behavior w:val="content"/>
        </w:behaviors>
        <w:guid w:val="{7F13C79E-29F6-40CF-B458-58B364731F1D}"/>
      </w:docPartPr>
      <w:docPartBody>
        <w:p w:rsidR="0015426B" w:rsidRDefault="00C55984" w:rsidP="00C55984">
          <w:pPr>
            <w:pStyle w:val="89AD2A266F224B6387CCAA0CCC6431E55"/>
          </w:pPr>
          <w:r w:rsidRPr="00134B4F">
            <w:rPr>
              <w:rFonts w:cs="Arial"/>
              <w:b w:val="0"/>
              <w:i w:val="0"/>
              <w:color w:val="808080"/>
              <w:szCs w:val="22"/>
            </w:rPr>
            <w:t>Click here to enter text.</w:t>
          </w:r>
        </w:p>
      </w:docPartBody>
    </w:docPart>
    <w:docPart>
      <w:docPartPr>
        <w:name w:val="F5D217F847D94880A8E4C0642902DCB8"/>
        <w:category>
          <w:name w:val="General"/>
          <w:gallery w:val="placeholder"/>
        </w:category>
        <w:types>
          <w:type w:val="bbPlcHdr"/>
        </w:types>
        <w:behaviors>
          <w:behavior w:val="content"/>
        </w:behaviors>
        <w:guid w:val="{19A99842-8B19-40A5-AE61-D867426081BF}"/>
      </w:docPartPr>
      <w:docPartBody>
        <w:p w:rsidR="0015426B" w:rsidRDefault="00C55984" w:rsidP="00C55984">
          <w:pPr>
            <w:pStyle w:val="F5D217F847D94880A8E4C0642902DCB85"/>
          </w:pPr>
          <w:r w:rsidRPr="00134B4F">
            <w:rPr>
              <w:rStyle w:val="PlaceholderText"/>
              <w:rFonts w:cs="Arial"/>
              <w:b w:val="0"/>
              <w:i w:val="0"/>
              <w:szCs w:val="22"/>
            </w:rPr>
            <w:t>Click here to enter a date.</w:t>
          </w:r>
        </w:p>
      </w:docPartBody>
    </w:docPart>
    <w:docPart>
      <w:docPartPr>
        <w:name w:val="2351CC0C73744C439D6EFE84E0EFD4B3"/>
        <w:category>
          <w:name w:val="General"/>
          <w:gallery w:val="placeholder"/>
        </w:category>
        <w:types>
          <w:type w:val="bbPlcHdr"/>
        </w:types>
        <w:behaviors>
          <w:behavior w:val="content"/>
        </w:behaviors>
        <w:guid w:val="{AE8FB785-66F0-4CB3-91D4-855C8667F712}"/>
      </w:docPartPr>
      <w:docPartBody>
        <w:p w:rsidR="0015426B" w:rsidRDefault="00C55984" w:rsidP="00C55984">
          <w:pPr>
            <w:pStyle w:val="2351CC0C73744C439D6EFE84E0EFD4B3"/>
          </w:pPr>
          <w:r w:rsidRPr="00BD7DFC">
            <w:rPr>
              <w:rFonts w:ascii="Arial" w:eastAsia="SimSun" w:hAnsi="Arial" w:cs="Arial"/>
              <w:color w:val="808080"/>
            </w:rPr>
            <w:t>Click here to enter text.</w:t>
          </w:r>
        </w:p>
      </w:docPartBody>
    </w:docPart>
    <w:docPart>
      <w:docPartPr>
        <w:name w:val="1279F852F47A462C9210C86210B0C946"/>
        <w:category>
          <w:name w:val="General"/>
          <w:gallery w:val="placeholder"/>
        </w:category>
        <w:types>
          <w:type w:val="bbPlcHdr"/>
        </w:types>
        <w:behaviors>
          <w:behavior w:val="content"/>
        </w:behaviors>
        <w:guid w:val="{697600C0-81FD-4C4B-BAB7-0CC07C3050C3}"/>
      </w:docPartPr>
      <w:docPartBody>
        <w:p w:rsidR="0015426B" w:rsidRDefault="00C55984" w:rsidP="00C55984">
          <w:pPr>
            <w:pStyle w:val="1279F852F47A462C9210C86210B0C946"/>
          </w:pPr>
          <w:r w:rsidRPr="00BD7DFC">
            <w:rPr>
              <w:rFonts w:ascii="Arial" w:eastAsia="SimSun" w:hAnsi="Arial" w:cs="Arial"/>
              <w:color w:val="808080"/>
            </w:rPr>
            <w:t>Click here to enter text.</w:t>
          </w:r>
        </w:p>
      </w:docPartBody>
    </w:docPart>
    <w:docPart>
      <w:docPartPr>
        <w:name w:val="F6CE806EFCB74329817BE4DF8C4B6ACD"/>
        <w:category>
          <w:name w:val="General"/>
          <w:gallery w:val="placeholder"/>
        </w:category>
        <w:types>
          <w:type w:val="bbPlcHdr"/>
        </w:types>
        <w:behaviors>
          <w:behavior w:val="content"/>
        </w:behaviors>
        <w:guid w:val="{F42AF846-5E46-483D-86B0-3BBBF0118E44}"/>
      </w:docPartPr>
      <w:docPartBody>
        <w:p w:rsidR="0015426B" w:rsidRDefault="00C55984" w:rsidP="00C55984">
          <w:pPr>
            <w:pStyle w:val="F6CE806EFCB74329817BE4DF8C4B6ACD"/>
          </w:pPr>
          <w:r w:rsidRPr="00BD7DFC">
            <w:rPr>
              <w:rFonts w:ascii="Arial" w:eastAsia="SimSun" w:hAnsi="Arial" w:cs="Arial"/>
              <w:color w:val="808080"/>
            </w:rPr>
            <w:t>Click here to enter text.</w:t>
          </w:r>
        </w:p>
      </w:docPartBody>
    </w:docPart>
    <w:docPart>
      <w:docPartPr>
        <w:name w:val="7DD3198DCF444E449B08809B388B3ED7"/>
        <w:category>
          <w:name w:val="General"/>
          <w:gallery w:val="placeholder"/>
        </w:category>
        <w:types>
          <w:type w:val="bbPlcHdr"/>
        </w:types>
        <w:behaviors>
          <w:behavior w:val="content"/>
        </w:behaviors>
        <w:guid w:val="{56954385-B97C-44AC-9FA7-B8B78F0BFA7D}"/>
      </w:docPartPr>
      <w:docPartBody>
        <w:p w:rsidR="002A070F" w:rsidRDefault="00C55984">
          <w:pPr>
            <w:pStyle w:val="7DD3198DCF444E449B08809B388B3ED7"/>
          </w:pPr>
          <w:r w:rsidRPr="00BD7DFC">
            <w:rPr>
              <w:rFonts w:ascii="Arial" w:eastAsia="SimSun" w:hAnsi="Arial" w:cs="Arial"/>
              <w:color w:val="808080"/>
            </w:rPr>
            <w:t>Click here to enter text.</w:t>
          </w:r>
        </w:p>
      </w:docPartBody>
    </w:docPart>
    <w:docPart>
      <w:docPartPr>
        <w:name w:val="3A35EAC6501C4A29810E4A11104485F4"/>
        <w:category>
          <w:name w:val="General"/>
          <w:gallery w:val="placeholder"/>
        </w:category>
        <w:types>
          <w:type w:val="bbPlcHdr"/>
        </w:types>
        <w:behaviors>
          <w:behavior w:val="content"/>
        </w:behaviors>
        <w:guid w:val="{83F83F32-FEE9-4293-9FA7-F25DB4C2B717}"/>
      </w:docPartPr>
      <w:docPartBody>
        <w:p w:rsidR="00AA049D" w:rsidRDefault="00C55984">
          <w:pPr>
            <w:pStyle w:val="3A35EAC6501C4A29810E4A11104485F4"/>
          </w:pPr>
          <w:r w:rsidRPr="00E75483">
            <w:rPr>
              <w:rFonts w:ascii="Arial" w:eastAsia="SimSun" w:hAnsi="Arial"/>
              <w:color w:val="808080"/>
              <w:spacing w:val="-6"/>
              <w:lang w:eastAsia="zh-CN"/>
            </w:rPr>
            <w:t>Click here to enter text.</w:t>
          </w:r>
        </w:p>
      </w:docPartBody>
    </w:docPart>
    <w:docPart>
      <w:docPartPr>
        <w:name w:val="7AFFE6DC724740239B37B663CFD1EC91"/>
        <w:category>
          <w:name w:val="General"/>
          <w:gallery w:val="placeholder"/>
        </w:category>
        <w:types>
          <w:type w:val="bbPlcHdr"/>
        </w:types>
        <w:behaviors>
          <w:behavior w:val="content"/>
        </w:behaviors>
        <w:guid w:val="{A1DBAB23-3939-45F3-BCBC-27C2302A6210}"/>
      </w:docPartPr>
      <w:docPartBody>
        <w:p w:rsidR="00AA049D" w:rsidRDefault="00C55984">
          <w:pPr>
            <w:pStyle w:val="7AFFE6DC724740239B37B663CFD1EC91"/>
          </w:pPr>
          <w:r w:rsidRPr="00FB44FE">
            <w:rPr>
              <w:rStyle w:val="PlaceholderText"/>
              <w:rFonts w:ascii="Arial" w:hAnsi="Arial" w:cs="Arial"/>
            </w:rPr>
            <w:t>Click here to enter a date.</w:t>
          </w:r>
        </w:p>
      </w:docPartBody>
    </w:docPart>
    <w:docPart>
      <w:docPartPr>
        <w:name w:val="2D599A6A128F431AAF1476D664D64650"/>
        <w:category>
          <w:name w:val="General"/>
          <w:gallery w:val="placeholder"/>
        </w:category>
        <w:types>
          <w:type w:val="bbPlcHdr"/>
        </w:types>
        <w:behaviors>
          <w:behavior w:val="content"/>
        </w:behaviors>
        <w:guid w:val="{F1230043-1495-4D2E-8311-E9273E06A322}"/>
      </w:docPartPr>
      <w:docPartBody>
        <w:p w:rsidR="00AA049D" w:rsidRDefault="00C55984">
          <w:pPr>
            <w:pStyle w:val="2D599A6A128F431AAF1476D664D64650"/>
          </w:pPr>
          <w:r w:rsidRPr="00E75483">
            <w:rPr>
              <w:rFonts w:ascii="Arial" w:eastAsia="SimSun" w:hAnsi="Arial"/>
              <w:color w:val="808080"/>
              <w:spacing w:val="-5"/>
              <w:lang w:eastAsia="zh-CN"/>
            </w:rPr>
            <w:t>Choose an item.</w:t>
          </w:r>
        </w:p>
      </w:docPartBody>
    </w:docPart>
    <w:docPart>
      <w:docPartPr>
        <w:name w:val="40F3A8CC909B4C83BE5300B0E52DA25E"/>
        <w:category>
          <w:name w:val="General"/>
          <w:gallery w:val="placeholder"/>
        </w:category>
        <w:types>
          <w:type w:val="bbPlcHdr"/>
        </w:types>
        <w:behaviors>
          <w:behavior w:val="content"/>
        </w:behaviors>
        <w:guid w:val="{6BEC7E20-199A-49C7-A795-53E377C58860}"/>
      </w:docPartPr>
      <w:docPartBody>
        <w:p w:rsidR="000435CB" w:rsidRDefault="00DC000E" w:rsidP="00DC000E">
          <w:pPr>
            <w:pStyle w:val="40F3A8CC909B4C83BE5300B0E52DA25E"/>
          </w:pPr>
          <w:r w:rsidRPr="00E75483">
            <w:rPr>
              <w:rFonts w:ascii="Arial" w:eastAsia="SimSun" w:hAnsi="Arial"/>
              <w:color w:val="808080"/>
              <w:spacing w:val="-5"/>
              <w:lang w:eastAsia="zh-C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Lt BT">
    <w:altName w:val="Lucida Sans Unicode"/>
    <w:panose1 w:val="020B0402030504020204"/>
    <w:charset w:val="00"/>
    <w:family w:val="swiss"/>
    <w:pitch w:val="variable"/>
    <w:sig w:usb0="800000AF" w:usb1="1000204A" w:usb2="00000000" w:usb3="00000000" w:csb0="000000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Mincho">
    <w:altName w:val="?a??fc"/>
    <w:charset w:val="80"/>
    <w:family w:val="roman"/>
    <w:pitch w:val="variable"/>
    <w:sig w:usb0="800002E7" w:usb1="2AC7FCFF" w:usb2="00000012" w:usb3="00000000" w:csb0="0002009F" w:csb1="00000000"/>
  </w:font>
  <w:font w:name="Yu Gothic Light">
    <w:altName w:val="?a?S?V?b?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984"/>
    <w:rsid w:val="000435CB"/>
    <w:rsid w:val="00056238"/>
    <w:rsid w:val="000C0834"/>
    <w:rsid w:val="00134666"/>
    <w:rsid w:val="0015426B"/>
    <w:rsid w:val="001E0020"/>
    <w:rsid w:val="00242E92"/>
    <w:rsid w:val="00264855"/>
    <w:rsid w:val="002A070F"/>
    <w:rsid w:val="0033516E"/>
    <w:rsid w:val="003E588F"/>
    <w:rsid w:val="00424C15"/>
    <w:rsid w:val="0046182C"/>
    <w:rsid w:val="00463FAF"/>
    <w:rsid w:val="00666083"/>
    <w:rsid w:val="006C7CF5"/>
    <w:rsid w:val="007A7E0E"/>
    <w:rsid w:val="007E4678"/>
    <w:rsid w:val="0087161B"/>
    <w:rsid w:val="008E266B"/>
    <w:rsid w:val="009959B8"/>
    <w:rsid w:val="009F5883"/>
    <w:rsid w:val="00A46765"/>
    <w:rsid w:val="00A8098E"/>
    <w:rsid w:val="00A91C99"/>
    <w:rsid w:val="00A94C2F"/>
    <w:rsid w:val="00AA049D"/>
    <w:rsid w:val="00AE1D82"/>
    <w:rsid w:val="00AF3C1F"/>
    <w:rsid w:val="00B77564"/>
    <w:rsid w:val="00BB22D0"/>
    <w:rsid w:val="00C55984"/>
    <w:rsid w:val="00C8130A"/>
    <w:rsid w:val="00D408E5"/>
    <w:rsid w:val="00DC000E"/>
    <w:rsid w:val="00E94D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F385D0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984"/>
    <w:rPr>
      <w:color w:val="808080"/>
    </w:rPr>
  </w:style>
  <w:style w:type="paragraph" w:customStyle="1" w:styleId="F8DAF6266E884B68B0F763A878322D725">
    <w:name w:val="F8DAF6266E884B68B0F763A878322D725"/>
    <w:rsid w:val="00C55984"/>
    <w:pPr>
      <w:spacing w:after="0" w:line="240" w:lineRule="auto"/>
    </w:pPr>
    <w:rPr>
      <w:rFonts w:ascii="Times New Roman" w:eastAsiaTheme="minorHAnsi" w:hAnsi="Times New Roman" w:cs="Times New Roman"/>
      <w:lang w:eastAsia="en-US"/>
    </w:rPr>
  </w:style>
  <w:style w:type="paragraph" w:customStyle="1" w:styleId="1113A45D448A4F3CB3079362785C5F505">
    <w:name w:val="1113A45D448A4F3CB3079362785C5F505"/>
    <w:rsid w:val="00C55984"/>
    <w:pPr>
      <w:spacing w:after="0" w:line="240" w:lineRule="auto"/>
    </w:pPr>
    <w:rPr>
      <w:rFonts w:ascii="Times New Roman" w:eastAsiaTheme="minorHAnsi" w:hAnsi="Times New Roman" w:cs="Times New Roman"/>
      <w:lang w:eastAsia="en-US"/>
    </w:rPr>
  </w:style>
  <w:style w:type="paragraph" w:customStyle="1" w:styleId="158A7B0A85CC4EA28EB3B09A223E2EA75">
    <w:name w:val="158A7B0A85CC4EA28EB3B09A223E2EA75"/>
    <w:rsid w:val="00C55984"/>
    <w:pPr>
      <w:spacing w:after="0" w:line="240" w:lineRule="auto"/>
    </w:pPr>
    <w:rPr>
      <w:rFonts w:ascii="Times New Roman" w:eastAsiaTheme="minorHAnsi" w:hAnsi="Times New Roman" w:cs="Times New Roman"/>
      <w:lang w:eastAsia="en-US"/>
    </w:rPr>
  </w:style>
  <w:style w:type="paragraph" w:customStyle="1" w:styleId="F3A97EFDDC9E4ECA8968905F9E33617A5">
    <w:name w:val="F3A97EFDDC9E4ECA8968905F9E33617A5"/>
    <w:rsid w:val="00C55984"/>
    <w:pPr>
      <w:spacing w:after="0" w:line="240" w:lineRule="auto"/>
    </w:pPr>
    <w:rPr>
      <w:rFonts w:ascii="Times New Roman" w:eastAsiaTheme="minorHAnsi" w:hAnsi="Times New Roman" w:cs="Times New Roman"/>
      <w:lang w:eastAsia="en-US"/>
    </w:rPr>
  </w:style>
  <w:style w:type="paragraph" w:customStyle="1" w:styleId="CE978E46EE994C5BAC6288FFBCE328F25">
    <w:name w:val="CE978E46EE994C5BAC6288FFBCE328F25"/>
    <w:rsid w:val="00C55984"/>
    <w:pPr>
      <w:spacing w:after="0" w:line="240" w:lineRule="auto"/>
    </w:pPr>
    <w:rPr>
      <w:rFonts w:ascii="Times New Roman" w:eastAsiaTheme="minorHAnsi" w:hAnsi="Times New Roman" w:cs="Times New Roman"/>
      <w:lang w:eastAsia="en-US"/>
    </w:rPr>
  </w:style>
  <w:style w:type="paragraph" w:customStyle="1" w:styleId="DDE40D88EA984057B22C1B10B2CE26B25">
    <w:name w:val="DDE40D88EA984057B22C1B10B2CE26B25"/>
    <w:rsid w:val="00C55984"/>
    <w:pPr>
      <w:spacing w:after="0" w:line="240" w:lineRule="auto"/>
    </w:pPr>
    <w:rPr>
      <w:rFonts w:ascii="Times New Roman" w:eastAsiaTheme="minorHAnsi" w:hAnsi="Times New Roman" w:cs="Times New Roman"/>
      <w:lang w:eastAsia="en-US"/>
    </w:rPr>
  </w:style>
  <w:style w:type="paragraph" w:customStyle="1" w:styleId="898FEDAD1042462BA0AFE067F1F9666D5">
    <w:name w:val="898FEDAD1042462BA0AFE067F1F9666D5"/>
    <w:rsid w:val="00C55984"/>
    <w:pPr>
      <w:spacing w:after="0" w:line="240" w:lineRule="auto"/>
    </w:pPr>
    <w:rPr>
      <w:rFonts w:ascii="Times New Roman" w:eastAsiaTheme="minorHAnsi" w:hAnsi="Times New Roman" w:cs="Times New Roman"/>
      <w:lang w:eastAsia="en-US"/>
    </w:rPr>
  </w:style>
  <w:style w:type="paragraph" w:customStyle="1" w:styleId="DAC78B3A0A33455B8CD38464899BF10F5">
    <w:name w:val="DAC78B3A0A33455B8CD38464899BF10F5"/>
    <w:rsid w:val="00C55984"/>
    <w:pPr>
      <w:spacing w:after="0" w:line="240" w:lineRule="auto"/>
    </w:pPr>
    <w:rPr>
      <w:rFonts w:ascii="Times New Roman" w:eastAsiaTheme="minorHAnsi" w:hAnsi="Times New Roman" w:cs="Times New Roman"/>
      <w:lang w:eastAsia="en-US"/>
    </w:rPr>
  </w:style>
  <w:style w:type="paragraph" w:customStyle="1" w:styleId="89AD2A266F224B6387CCAA0CCC6431E55">
    <w:name w:val="89AD2A266F224B6387CCAA0CCC6431E55"/>
    <w:rsid w:val="00C55984"/>
    <w:pPr>
      <w:spacing w:after="0" w:line="240" w:lineRule="auto"/>
      <w:ind w:right="284"/>
    </w:pPr>
    <w:rPr>
      <w:rFonts w:ascii="Arial" w:eastAsia="SimSun" w:hAnsi="Arial" w:cs="Times New Roman"/>
      <w:b/>
      <w:i/>
      <w:spacing w:val="-5"/>
      <w:szCs w:val="20"/>
      <w:lang w:eastAsia="zh-CN"/>
    </w:rPr>
  </w:style>
  <w:style w:type="paragraph" w:customStyle="1" w:styleId="F5D217F847D94880A8E4C0642902DCB85">
    <w:name w:val="F5D217F847D94880A8E4C0642902DCB85"/>
    <w:rsid w:val="00C55984"/>
    <w:pPr>
      <w:spacing w:after="0" w:line="240" w:lineRule="auto"/>
      <w:ind w:right="284"/>
    </w:pPr>
    <w:rPr>
      <w:rFonts w:ascii="Arial" w:eastAsia="SimSun" w:hAnsi="Arial" w:cs="Times New Roman"/>
      <w:b/>
      <w:i/>
      <w:spacing w:val="-5"/>
      <w:szCs w:val="20"/>
      <w:lang w:eastAsia="zh-CN"/>
    </w:rPr>
  </w:style>
  <w:style w:type="paragraph" w:customStyle="1" w:styleId="2351CC0C73744C439D6EFE84E0EFD4B3">
    <w:name w:val="2351CC0C73744C439D6EFE84E0EFD4B3"/>
    <w:rsid w:val="00C55984"/>
  </w:style>
  <w:style w:type="paragraph" w:customStyle="1" w:styleId="1279F852F47A462C9210C86210B0C946">
    <w:name w:val="1279F852F47A462C9210C86210B0C946"/>
    <w:rsid w:val="00C55984"/>
  </w:style>
  <w:style w:type="paragraph" w:customStyle="1" w:styleId="F6CE806EFCB74329817BE4DF8C4B6ACD">
    <w:name w:val="F6CE806EFCB74329817BE4DF8C4B6ACD"/>
    <w:rsid w:val="00C55984"/>
  </w:style>
  <w:style w:type="paragraph" w:customStyle="1" w:styleId="7DD3198DCF444E449B08809B388B3ED7">
    <w:name w:val="7DD3198DCF444E449B08809B388B3ED7"/>
    <w:pPr>
      <w:spacing w:after="160" w:line="259" w:lineRule="auto"/>
    </w:pPr>
  </w:style>
  <w:style w:type="paragraph" w:customStyle="1" w:styleId="3A35EAC6501C4A29810E4A11104485F4">
    <w:name w:val="3A35EAC6501C4A29810E4A11104485F4"/>
    <w:pPr>
      <w:spacing w:after="160" w:line="259" w:lineRule="auto"/>
    </w:pPr>
  </w:style>
  <w:style w:type="paragraph" w:customStyle="1" w:styleId="7AFFE6DC724740239B37B663CFD1EC91">
    <w:name w:val="7AFFE6DC724740239B37B663CFD1EC91"/>
    <w:pPr>
      <w:spacing w:after="160" w:line="259" w:lineRule="auto"/>
    </w:pPr>
  </w:style>
  <w:style w:type="paragraph" w:customStyle="1" w:styleId="2D599A6A128F431AAF1476D664D64650">
    <w:name w:val="2D599A6A128F431AAF1476D664D64650"/>
    <w:pPr>
      <w:spacing w:after="160" w:line="259" w:lineRule="auto"/>
    </w:pPr>
  </w:style>
  <w:style w:type="paragraph" w:customStyle="1" w:styleId="40F3A8CC909B4C83BE5300B0E52DA25E">
    <w:name w:val="40F3A8CC909B4C83BE5300B0E52DA25E"/>
    <w:rsid w:val="00DC00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MT Document" ma:contentTypeID="0x010100F3DA492754083E45834DB37B66A7598000BA5F89E1386F5047A391C9BADA0E49B3" ma:contentTypeVersion="3528" ma:contentTypeDescription="Create an InfoStore Document" ma:contentTypeScope="" ma:versionID="fe4c99ad9c834cda29b92535b8977b30">
  <xsd:schema xmlns:xsd="http://www.w3.org/2001/XMLSchema" xmlns:xs="http://www.w3.org/2001/XMLSchema" xmlns:p="http://schemas.microsoft.com/office/2006/metadata/properties" xmlns:ns1="http://schemas.microsoft.com/sharepoint/v3" xmlns:ns2="e3bb7af6-1ed4-4506-8370-9e20ea83206e" targetNamespace="http://schemas.microsoft.com/office/2006/metadata/properties" ma:root="true" ma:fieldsID="88998468267de77f70b732b14f1a10e2" ns1:_="" ns2:_="">
    <xsd:import namespace="http://schemas.microsoft.com/sharepoint/v3"/>
    <xsd:import namespace="e3bb7af6-1ed4-4506-8370-9e20ea83206e"/>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3</Value>
      <Value>1</Value>
      <Value>14</Value>
    </TaxCatchAll>
    <_dlc_DocId xmlns="e3bb7af6-1ed4-4506-8370-9e20ea83206e">HMTIG-1342342664-3688</_dlc_DocId>
    <_dlc_DocIdUrl xmlns="e3bb7af6-1ed4-4506-8370-9e20ea83206e">
      <Url>https://tris42.sharepoint.com/sites/hmt_is_ig/_layouts/15/DocIdRedir.aspx?ID=HMTIG-1342342664-3688</Url>
      <Description>HMTIG-1342342664-3688</Description>
    </_dlc_DocIdUrl>
    <_dlc_DocIdPersistId xmlns="e3bb7af6-1ed4-4506-8370-9e20ea83206e">true</_dlc_DocIdPersistId>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TeamHTField0 xmlns="e3bb7af6-1ed4-4506-8370-9e20ea83206e">
      <Terms xmlns="http://schemas.microsoft.com/office/infopath/2007/PartnerControls">
        <TermInfo xmlns="http://schemas.microsoft.com/office/infopath/2007/PartnerControls">
          <TermName xmlns="http://schemas.microsoft.com/office/infopath/2007/PartnerControls">Sanctions and Illicit Finance</TermName>
          <TermId xmlns="http://schemas.microsoft.com/office/infopath/2007/PartnerControls">18382029-c336-41f7-8607-61dfaa68046d</TermId>
        </TermInfo>
      </Terms>
    </HMT_TeamHTField0>
    <HMT_GroupHTField0 xmlns="e3bb7af6-1ed4-4506-8370-9e20ea83206e">
      <Terms xmlns="http://schemas.microsoft.com/office/infopath/2007/PartnerControls">
        <TermInfo xmlns="http://schemas.microsoft.com/office/infopath/2007/PartnerControls">
          <TermName xmlns="http://schemas.microsoft.com/office/infopath/2007/PartnerControls">International Group</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LegacyRecord xmlns="e3bb7af6-1ed4-4506-8370-9e20ea83206e">false</HMT_LegacyRecord>
    <HMT_LegacySensitive xmlns="e3bb7af6-1ed4-4506-8370-9e20ea83206e">false</HMT_LegacySensitive>
    <HMT_Topic xmlns="e3bb7af6-1ed4-4506-8370-9e20ea83206e">MLRs Review</HMT_Topic>
    <HMT_Record xmlns="e3bb7af6-1ed4-4506-8370-9e20ea83206e">true</HMT_Record>
    <HMT_Theme xmlns="e3bb7af6-1ed4-4506-8370-9e20ea83206e">Domestic AMLCFT</HMT_Theme>
    <HMT_SubTopic xmlns="e3bb7af6-1ed4-4506-8370-9e20ea83206e">Report Drafts</HMT_SubTopi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6767DC-4DAB-4CF3-980D-62CFCA02E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050CD-0CDE-4FA1-AEA0-414C2EAB42E1}">
  <ds:schemaRefs>
    <ds:schemaRef ds:uri="http://schemas.openxmlformats.org/officeDocument/2006/bibliography"/>
  </ds:schemaRefs>
</ds:datastoreItem>
</file>

<file path=customXml/itemProps3.xml><?xml version="1.0" encoding="utf-8"?>
<ds:datastoreItem xmlns:ds="http://schemas.openxmlformats.org/officeDocument/2006/customXml" ds:itemID="{09180687-9876-4492-A7AE-A691C82F8CD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3bb7af6-1ed4-4506-8370-9e20ea83206e"/>
    <ds:schemaRef ds:uri="http://www.w3.org/XML/1998/namespace"/>
    <ds:schemaRef ds:uri="http://purl.org/dc/dcmitype/"/>
  </ds:schemaRefs>
</ds:datastoreItem>
</file>

<file path=customXml/itemProps4.xml><?xml version="1.0" encoding="utf-8"?>
<ds:datastoreItem xmlns:ds="http://schemas.openxmlformats.org/officeDocument/2006/customXml" ds:itemID="{8C16965F-5AF9-47FF-8E58-4B6A94E4119B}">
  <ds:schemaRefs>
    <ds:schemaRef ds:uri="http://schemas.microsoft.com/sharepoint/v3/contenttype/forms"/>
  </ds:schemaRefs>
</ds:datastoreItem>
</file>

<file path=customXml/itemProps5.xml><?xml version="1.0" encoding="utf-8"?>
<ds:datastoreItem xmlns:ds="http://schemas.openxmlformats.org/officeDocument/2006/customXml" ds:itemID="{8F47AA2E-D370-4A19-A52F-CCF98A5696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8215</Words>
  <Characters>46830</Characters>
  <Application>Microsoft Office Word</Application>
  <DocSecurity>4</DocSecurity>
  <Lines>390</Lines>
  <Paragraphs>109</Paragraphs>
  <ScaleCrop>false</ScaleCrop>
  <LinksUpToDate>false</LinksUpToDate>
  <CharactersWithSpaces>54936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OPBAS PIR clean_final.docx</dc:title>
  <dc:subject/>
  <dc:creator/>
  <cp:keywords/>
  <cp:lastModifiedBy/>
  <cp:revision>1</cp:revision>
  <dcterms:created xsi:type="dcterms:W3CDTF">2022-07-21T15:30:00Z</dcterms:created>
  <dcterms:modified xsi:type="dcterms:W3CDTF">2022-07-21T15:30:00Z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0x010100F3DA492754083E45834DB37B66A7598000BA5F89E1386F5047A391C9BADA0E49B3</vt:lpwstr>
  </property>
  <property fmtid="{D5CDD505-2E9C-101B-9397-08002B2CF9AE}" pid="3" name="_dlc_DocIdItemGuid">
    <vt:lpwstr>38eb3118-2c7b-4083-9261-8b7cb5ec08d9</vt:lpwstr>
  </property>
  <property fmtid="{D5CDD505-2E9C-101B-9397-08002B2CF9AE}" pid="4" name="HMT_DocumentType">
    <vt:lpwstr>1;#Other|c235b5c2-f697-427b-a70a-43d69599f998</vt:lpwstr>
  </property>
  <property fmtid="{D5CDD505-2E9C-101B-9397-08002B2CF9AE}" pid="5" name="HMT_Group">
    <vt:lpwstr>5;#International Group|0e6e4ff8-af45-47af-a7e5-c4d875875166</vt:lpwstr>
  </property>
  <property fmtid="{D5CDD505-2E9C-101B-9397-08002B2CF9AE}" pid="6" name="HMT_Category">
    <vt:lpwstr>3;#Policy Document Types|bd4325a7-7f6a-48f9-b0dc-cc3aef626e65</vt:lpwstr>
  </property>
  <property fmtid="{D5CDD505-2E9C-101B-9397-08002B2CF9AE}" pid="7" name="HMT_Classification">
    <vt:lpwstr>8;#Sensitive|e4b4762f-94f6-4901-a732-9ab10906c6ba</vt:lpwstr>
  </property>
  <property fmtid="{D5CDD505-2E9C-101B-9397-08002B2CF9AE}" pid="8" name="HMT_SubTeam">
    <vt:lpwstr/>
  </property>
  <property fmtid="{D5CDD505-2E9C-101B-9397-08002B2CF9AE}" pid="9" name="HMT_Review">
    <vt:bool>false</vt:bool>
  </property>
  <property fmtid="{D5CDD505-2E9C-101B-9397-08002B2CF9AE}" pid="10" name="HMT_Team">
    <vt:lpwstr>14;#Sanctions and Illicit Finance|18382029-c336-41f7-8607-61dfaa68046d</vt:lpwstr>
  </property>
  <property fmtid="{D5CDD505-2E9C-101B-9397-08002B2CF9AE}" pid="11" name="fca_information_classification">
    <vt:lpwstr>1;#FCA Official|d07129ec-4894-4cda-af0c-a925cb68d6e3</vt:lpwstr>
  </property>
  <property fmtid="{D5CDD505-2E9C-101B-9397-08002B2CF9AE}" pid="12" name="fca_document_purpose">
    <vt:lpwstr>4;#Policy Development|845b5560-9b6f-4a1e-a867-32755fd1e2ef</vt:lpwstr>
  </property>
</Properties>
</file>