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8319" w14:textId="77777777" w:rsidR="001D0078" w:rsidRDefault="001D0078" w:rsidP="00BC2702">
      <w:pPr>
        <w:pStyle w:val="Conditions1"/>
        <w:numPr>
          <w:ilvl w:val="0"/>
          <w:numId w:val="0"/>
        </w:numPr>
      </w:pPr>
    </w:p>
    <w:p w14:paraId="5D28996A" w14:textId="7F69F629" w:rsidR="000B0589" w:rsidRDefault="000B0589" w:rsidP="00BC2702">
      <w:pPr>
        <w:pStyle w:val="Conditions1"/>
        <w:numPr>
          <w:ilvl w:val="0"/>
          <w:numId w:val="0"/>
        </w:numPr>
      </w:pPr>
      <w:r>
        <w:rPr>
          <w:noProof/>
        </w:rPr>
        <w:drawing>
          <wp:inline distT="0" distB="0" distL="0" distR="0" wp14:anchorId="37460D89" wp14:editId="7ED1F20D">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9925B3C" w14:textId="77777777" w:rsidR="000B0589" w:rsidRDefault="000B0589" w:rsidP="00A5760C"/>
    <w:p w14:paraId="7EC303EE"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715074EB" w14:textId="77777777" w:rsidTr="00A33FBE">
        <w:trPr>
          <w:cantSplit/>
          <w:trHeight w:val="23"/>
        </w:trPr>
        <w:tc>
          <w:tcPr>
            <w:tcW w:w="9356" w:type="dxa"/>
            <w:shd w:val="clear" w:color="auto" w:fill="auto"/>
          </w:tcPr>
          <w:p w14:paraId="1A7ABA79" w14:textId="162F49CD" w:rsidR="000B0589" w:rsidRPr="00A33FBE" w:rsidRDefault="00A33FBE"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0AA62A80" w14:textId="77777777" w:rsidTr="00A33FBE">
        <w:trPr>
          <w:cantSplit/>
          <w:trHeight w:val="23"/>
        </w:trPr>
        <w:tc>
          <w:tcPr>
            <w:tcW w:w="9356" w:type="dxa"/>
            <w:shd w:val="clear" w:color="auto" w:fill="auto"/>
            <w:vAlign w:val="center"/>
          </w:tcPr>
          <w:p w14:paraId="36A247B8" w14:textId="71B802AC" w:rsidR="000B0589" w:rsidRPr="00A33FBE" w:rsidRDefault="00A33FBE" w:rsidP="00A33FBE">
            <w:pPr>
              <w:spacing w:before="60"/>
              <w:ind w:left="-108" w:right="34"/>
              <w:rPr>
                <w:color w:val="000000"/>
                <w:szCs w:val="22"/>
              </w:rPr>
            </w:pPr>
            <w:r>
              <w:rPr>
                <w:color w:val="000000"/>
                <w:szCs w:val="22"/>
              </w:rPr>
              <w:t>Site visit made on 20 April 2022</w:t>
            </w:r>
          </w:p>
        </w:tc>
      </w:tr>
      <w:tr w:rsidR="000B0589" w:rsidRPr="00361890" w14:paraId="0F9AAB86" w14:textId="77777777" w:rsidTr="00A33FBE">
        <w:trPr>
          <w:cantSplit/>
          <w:trHeight w:val="23"/>
        </w:trPr>
        <w:tc>
          <w:tcPr>
            <w:tcW w:w="9356" w:type="dxa"/>
            <w:shd w:val="clear" w:color="auto" w:fill="auto"/>
          </w:tcPr>
          <w:p w14:paraId="23B91D02" w14:textId="2E1E7815" w:rsidR="000B0589" w:rsidRPr="00A33FBE" w:rsidRDefault="00A33FBE" w:rsidP="00A33FBE">
            <w:pPr>
              <w:spacing w:before="180"/>
              <w:ind w:left="-108" w:right="34"/>
              <w:rPr>
                <w:b/>
                <w:color w:val="000000"/>
                <w:sz w:val="16"/>
                <w:szCs w:val="22"/>
              </w:rPr>
            </w:pPr>
            <w:r>
              <w:rPr>
                <w:b/>
                <w:color w:val="000000"/>
                <w:szCs w:val="22"/>
              </w:rPr>
              <w:t xml:space="preserve">by D M Young JP BSc (Hons) </w:t>
            </w:r>
            <w:proofErr w:type="spellStart"/>
            <w:r>
              <w:rPr>
                <w:b/>
                <w:color w:val="000000"/>
                <w:szCs w:val="22"/>
              </w:rPr>
              <w:t>MPlan</w:t>
            </w:r>
            <w:proofErr w:type="spellEnd"/>
            <w:r>
              <w:rPr>
                <w:b/>
                <w:color w:val="000000"/>
                <w:szCs w:val="22"/>
              </w:rPr>
              <w:t xml:space="preserve"> MRTPI MIHE </w:t>
            </w:r>
          </w:p>
        </w:tc>
      </w:tr>
      <w:tr w:rsidR="000B0589" w:rsidRPr="00361890" w14:paraId="593B1CA0" w14:textId="77777777" w:rsidTr="00A33FBE">
        <w:trPr>
          <w:cantSplit/>
          <w:trHeight w:val="23"/>
        </w:trPr>
        <w:tc>
          <w:tcPr>
            <w:tcW w:w="9356" w:type="dxa"/>
            <w:shd w:val="clear" w:color="auto" w:fill="auto"/>
          </w:tcPr>
          <w:p w14:paraId="3BB2E655" w14:textId="5BE5B87E" w:rsidR="000B0589" w:rsidRPr="00A33FBE" w:rsidRDefault="00A33FBE"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06F38D28" w14:textId="77777777" w:rsidTr="00A33FBE">
        <w:trPr>
          <w:cantSplit/>
          <w:trHeight w:val="23"/>
        </w:trPr>
        <w:tc>
          <w:tcPr>
            <w:tcW w:w="9356" w:type="dxa"/>
            <w:shd w:val="clear" w:color="auto" w:fill="auto"/>
          </w:tcPr>
          <w:p w14:paraId="4BC6067B" w14:textId="72EA509F"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1D0078">
              <w:rPr>
                <w:b/>
                <w:color w:val="000000"/>
                <w:sz w:val="16"/>
                <w:szCs w:val="16"/>
              </w:rPr>
              <w:t xml:space="preserve">  16 May 2022</w:t>
            </w:r>
          </w:p>
        </w:tc>
      </w:tr>
    </w:tbl>
    <w:p w14:paraId="55FA26B5" w14:textId="77777777" w:rsidR="00A33FBE" w:rsidRDefault="00A33FBE" w:rsidP="000B0589"/>
    <w:tbl>
      <w:tblPr>
        <w:tblW w:w="0" w:type="auto"/>
        <w:tblLayout w:type="fixed"/>
        <w:tblLook w:val="0000" w:firstRow="0" w:lastRow="0" w:firstColumn="0" w:lastColumn="0" w:noHBand="0" w:noVBand="0"/>
      </w:tblPr>
      <w:tblGrid>
        <w:gridCol w:w="9520"/>
      </w:tblGrid>
      <w:tr w:rsidR="00A33FBE" w14:paraId="3D729160" w14:textId="77777777" w:rsidTr="00A33FBE">
        <w:tc>
          <w:tcPr>
            <w:tcW w:w="9520" w:type="dxa"/>
            <w:shd w:val="clear" w:color="auto" w:fill="auto"/>
          </w:tcPr>
          <w:p w14:paraId="724E35CB" w14:textId="636C4101" w:rsidR="00A33FBE" w:rsidRPr="00A33FBE" w:rsidRDefault="00A33FBE" w:rsidP="00A33FBE">
            <w:pPr>
              <w:spacing w:after="60"/>
              <w:rPr>
                <w:b/>
                <w:color w:val="000000"/>
              </w:rPr>
            </w:pPr>
            <w:r>
              <w:rPr>
                <w:b/>
                <w:color w:val="000000"/>
              </w:rPr>
              <w:t>Order Ref: ROW/3255068</w:t>
            </w:r>
          </w:p>
        </w:tc>
      </w:tr>
      <w:tr w:rsidR="00A33FBE" w14:paraId="064ACF1D" w14:textId="77777777" w:rsidTr="00A33FBE">
        <w:tc>
          <w:tcPr>
            <w:tcW w:w="9520" w:type="dxa"/>
            <w:shd w:val="clear" w:color="auto" w:fill="auto"/>
          </w:tcPr>
          <w:p w14:paraId="7600585D" w14:textId="00D63186" w:rsidR="00A33FBE" w:rsidRDefault="00A33FBE" w:rsidP="00A33FBE">
            <w:pPr>
              <w:pStyle w:val="TBullet"/>
            </w:pPr>
            <w:r>
              <w:t xml:space="preserve">This Order is made under Section 119 of the Highways Act 1980 (the 1980 Act) and is known as the </w:t>
            </w:r>
            <w:r w:rsidRPr="00A33FBE">
              <w:t xml:space="preserve">Buckinghamshire County Council </w:t>
            </w:r>
            <w:r>
              <w:t xml:space="preserve">(Public Footpath No.25 (Part) and Public Footpath No.28 (Part) Parish of </w:t>
            </w:r>
            <w:proofErr w:type="spellStart"/>
            <w:r>
              <w:t>Tingewick</w:t>
            </w:r>
            <w:proofErr w:type="spellEnd"/>
            <w:r>
              <w:t>) Public Path Diversion Order 2020</w:t>
            </w:r>
          </w:p>
        </w:tc>
      </w:tr>
      <w:tr w:rsidR="00A33FBE" w14:paraId="07AD40B1" w14:textId="77777777" w:rsidTr="00A33FBE">
        <w:tc>
          <w:tcPr>
            <w:tcW w:w="9520" w:type="dxa"/>
            <w:shd w:val="clear" w:color="auto" w:fill="auto"/>
          </w:tcPr>
          <w:p w14:paraId="33B6D244" w14:textId="6CDD9F0F" w:rsidR="00A33FBE" w:rsidRDefault="00A33FBE" w:rsidP="00A33FBE">
            <w:pPr>
              <w:pStyle w:val="TBullet"/>
            </w:pPr>
            <w:r>
              <w:t>The Order is dated 10 February 2020 and proposes to divert the public right of way shown on the Order plan and described in the Order Schedule.</w:t>
            </w:r>
          </w:p>
        </w:tc>
      </w:tr>
      <w:tr w:rsidR="00A33FBE" w14:paraId="243B5079" w14:textId="77777777" w:rsidTr="00A33FBE">
        <w:tc>
          <w:tcPr>
            <w:tcW w:w="9520" w:type="dxa"/>
            <w:shd w:val="clear" w:color="auto" w:fill="auto"/>
          </w:tcPr>
          <w:p w14:paraId="2F2E7495" w14:textId="333EF4C7" w:rsidR="00A33FBE" w:rsidRDefault="00A33FBE" w:rsidP="00A33FBE">
            <w:pPr>
              <w:pStyle w:val="TBullet"/>
            </w:pPr>
            <w:r>
              <w:t>There was one objection outstanding when Buckinghamshire County Council submitted the Order to the Secretary of State for Environment, Food and Rural Affairs for confirmation.</w:t>
            </w:r>
          </w:p>
        </w:tc>
      </w:tr>
      <w:tr w:rsidR="00A33FBE" w14:paraId="092C2ECA" w14:textId="77777777" w:rsidTr="00A33FBE">
        <w:tc>
          <w:tcPr>
            <w:tcW w:w="9520" w:type="dxa"/>
            <w:shd w:val="clear" w:color="auto" w:fill="auto"/>
          </w:tcPr>
          <w:p w14:paraId="50D15163" w14:textId="6581D212" w:rsidR="00A33FBE" w:rsidRPr="00A33FBE" w:rsidRDefault="00A33FBE" w:rsidP="00A33FBE">
            <w:pPr>
              <w:spacing w:before="60"/>
              <w:rPr>
                <w:b/>
                <w:color w:val="000000"/>
              </w:rPr>
            </w:pPr>
            <w:r>
              <w:rPr>
                <w:b/>
                <w:color w:val="000000"/>
              </w:rPr>
              <w:t>Summary of Decision: The Order is Confirmed</w:t>
            </w:r>
          </w:p>
        </w:tc>
      </w:tr>
      <w:tr w:rsidR="00A33FBE" w14:paraId="647B7D4E" w14:textId="77777777" w:rsidTr="00A33FBE">
        <w:tc>
          <w:tcPr>
            <w:tcW w:w="9520" w:type="dxa"/>
            <w:tcBorders>
              <w:bottom w:val="single" w:sz="6" w:space="0" w:color="000000"/>
            </w:tcBorders>
            <w:shd w:val="clear" w:color="auto" w:fill="auto"/>
          </w:tcPr>
          <w:p w14:paraId="77DFEC5C" w14:textId="77777777" w:rsidR="00A33FBE" w:rsidRPr="00A33FBE" w:rsidRDefault="00A33FBE" w:rsidP="00A33FBE">
            <w:pPr>
              <w:spacing w:before="60"/>
              <w:rPr>
                <w:b/>
                <w:color w:val="000000"/>
                <w:sz w:val="2"/>
              </w:rPr>
            </w:pPr>
            <w:bookmarkStart w:id="1" w:name="bmkReturn"/>
            <w:bookmarkEnd w:id="1"/>
          </w:p>
        </w:tc>
      </w:tr>
    </w:tbl>
    <w:p w14:paraId="4B34AE1C" w14:textId="77777777" w:rsidR="00A33FBE" w:rsidRDefault="00A33FBE" w:rsidP="00A33FBE">
      <w:pPr>
        <w:pStyle w:val="Heading6blackfont"/>
      </w:pPr>
      <w:r>
        <w:t>Procedural Matters</w:t>
      </w:r>
    </w:p>
    <w:p w14:paraId="77008E06" w14:textId="2A35DFA7" w:rsidR="00343231" w:rsidRDefault="00A33FBE" w:rsidP="00A33FBE">
      <w:pPr>
        <w:pStyle w:val="Style1"/>
      </w:pPr>
      <w:r w:rsidRPr="00A33FBE">
        <w:t>This case concerns the proposed diversion</w:t>
      </w:r>
      <w:r>
        <w:t xml:space="preserve"> of part of</w:t>
      </w:r>
      <w:r w:rsidRPr="00A33FBE">
        <w:t xml:space="preserve"> Public Footpath 25 (FP25) and</w:t>
      </w:r>
      <w:r>
        <w:t xml:space="preserve"> part of</w:t>
      </w:r>
      <w:r w:rsidRPr="00A33FBE">
        <w:t xml:space="preserve"> Public Footpath No.28 (</w:t>
      </w:r>
      <w:r>
        <w:t xml:space="preserve">FP28) </w:t>
      </w:r>
      <w:r w:rsidR="00343231">
        <w:t>which traverses private land to the rear of White Hart</w:t>
      </w:r>
      <w:r w:rsidR="00676636">
        <w:rPr>
          <w:rStyle w:val="FootnoteReference"/>
        </w:rPr>
        <w:footnoteReference w:id="1"/>
      </w:r>
      <w:r w:rsidR="00343231">
        <w:t xml:space="preserve">, </w:t>
      </w:r>
      <w:proofErr w:type="spellStart"/>
      <w:r w:rsidR="00343231">
        <w:t>Tingewick</w:t>
      </w:r>
      <w:proofErr w:type="spellEnd"/>
      <w:r w:rsidR="00343231">
        <w:t xml:space="preserve">.  </w:t>
      </w:r>
    </w:p>
    <w:p w14:paraId="09B9193B" w14:textId="377AA45E" w:rsidR="00A33FBE" w:rsidRDefault="00A33FBE" w:rsidP="00A33FBE">
      <w:pPr>
        <w:pStyle w:val="Style1"/>
      </w:pPr>
      <w:r w:rsidRPr="00A33FBE">
        <w:t>No-one requested an accompanied site visit, so my inspection was carried out unaccompanied.</w:t>
      </w:r>
    </w:p>
    <w:p w14:paraId="3B8E569D" w14:textId="159ED75F" w:rsidR="00A33FBE" w:rsidRDefault="00A33FBE" w:rsidP="00A33FBE">
      <w:pPr>
        <w:pStyle w:val="Heading6blackfont"/>
      </w:pPr>
      <w:r>
        <w:t>The Main Issues</w:t>
      </w:r>
    </w:p>
    <w:p w14:paraId="64C16384" w14:textId="77777777" w:rsidR="00A33FBE" w:rsidRDefault="00A33FBE" w:rsidP="003147FD">
      <w:pPr>
        <w:pStyle w:val="Style1"/>
      </w:pPr>
      <w:r>
        <w:t>The Order is made in the interests of the owner of the land crossed by the Footpath.  Section 119 of the Act requires that, before confirming the Order, I should be satisfied that:</w:t>
      </w:r>
    </w:p>
    <w:p w14:paraId="6A139B0A" w14:textId="77777777" w:rsidR="00A33FBE" w:rsidRDefault="00A33FBE" w:rsidP="00A33FBE">
      <w:pPr>
        <w:numPr>
          <w:ilvl w:val="1"/>
          <w:numId w:val="24"/>
        </w:numPr>
        <w:spacing w:before="80"/>
        <w:ind w:right="369"/>
      </w:pPr>
      <w:r>
        <w:t xml:space="preserve">it is expedient, in the interests of the owner, that the footpath in </w:t>
      </w:r>
      <w:r>
        <w:rPr>
          <w:rFonts w:cs="Verdana"/>
          <w:szCs w:val="22"/>
        </w:rPr>
        <w:t xml:space="preserve">question should be </w:t>
      </w:r>
      <w:proofErr w:type="gramStart"/>
      <w:r>
        <w:rPr>
          <w:rFonts w:cs="Verdana"/>
          <w:szCs w:val="22"/>
        </w:rPr>
        <w:t>diverted;</w:t>
      </w:r>
      <w:proofErr w:type="gramEnd"/>
    </w:p>
    <w:p w14:paraId="0D2FB18B" w14:textId="77777777" w:rsidR="00A33FBE" w:rsidRDefault="00A33FBE" w:rsidP="00A33FBE">
      <w:pPr>
        <w:numPr>
          <w:ilvl w:val="1"/>
          <w:numId w:val="24"/>
        </w:numPr>
        <w:spacing w:before="80"/>
        <w:ind w:right="369"/>
      </w:pPr>
      <w:r>
        <w:rPr>
          <w:rFonts w:cs="Verdana"/>
          <w:szCs w:val="22"/>
        </w:rPr>
        <w:t xml:space="preserve">the new footpath will not be substantially less convenient to the </w:t>
      </w:r>
      <w:proofErr w:type="gramStart"/>
      <w:r>
        <w:rPr>
          <w:rFonts w:cs="Verdana"/>
          <w:szCs w:val="22"/>
        </w:rPr>
        <w:t>public;</w:t>
      </w:r>
      <w:proofErr w:type="gramEnd"/>
    </w:p>
    <w:p w14:paraId="79BACBFA" w14:textId="77777777" w:rsidR="00A33FBE" w:rsidRDefault="00A33FBE" w:rsidP="00A33FBE">
      <w:pPr>
        <w:numPr>
          <w:ilvl w:val="1"/>
          <w:numId w:val="24"/>
        </w:numPr>
        <w:spacing w:before="80"/>
        <w:ind w:right="369"/>
      </w:pPr>
      <w:r>
        <w:rPr>
          <w:rFonts w:cs="Verdana"/>
          <w:szCs w:val="22"/>
        </w:rPr>
        <w:t xml:space="preserve">it is expedient to confirm the Order having regard to its </w:t>
      </w:r>
      <w:proofErr w:type="gramStart"/>
      <w:r>
        <w:rPr>
          <w:rFonts w:cs="Verdana"/>
          <w:szCs w:val="22"/>
        </w:rPr>
        <w:t>effect;</w:t>
      </w:r>
      <w:proofErr w:type="gramEnd"/>
    </w:p>
    <w:p w14:paraId="0E3035A7" w14:textId="77777777" w:rsidR="00A33FBE" w:rsidRDefault="00A33FBE" w:rsidP="00A33FBE">
      <w:pPr>
        <w:numPr>
          <w:ilvl w:val="2"/>
          <w:numId w:val="25"/>
        </w:numPr>
        <w:spacing w:before="60"/>
        <w:ind w:right="511"/>
        <w:rPr>
          <w:szCs w:val="22"/>
        </w:rPr>
      </w:pPr>
      <w:r>
        <w:rPr>
          <w:szCs w:val="22"/>
        </w:rPr>
        <w:t>on the public enjoyment of the path as a whole; and</w:t>
      </w:r>
    </w:p>
    <w:p w14:paraId="6A86F6A5" w14:textId="77777777" w:rsidR="00A33FBE" w:rsidRDefault="00A33FBE" w:rsidP="00A33FBE">
      <w:pPr>
        <w:numPr>
          <w:ilvl w:val="2"/>
          <w:numId w:val="25"/>
        </w:numPr>
        <w:spacing w:before="60"/>
        <w:ind w:right="511"/>
        <w:rPr>
          <w:szCs w:val="22"/>
        </w:rPr>
      </w:pPr>
      <w:r>
        <w:rPr>
          <w:szCs w:val="22"/>
        </w:rPr>
        <w:t>the effect the coming into operation of the order would have with respect to the land served by the existing path and the land over which the new path is created together with any land held with</w:t>
      </w:r>
      <w:r>
        <w:rPr>
          <w:rFonts w:cs="Verdana"/>
          <w:szCs w:val="22"/>
        </w:rPr>
        <w:t xml:space="preserve"> it, having regard to the provisions as to compensation.</w:t>
      </w:r>
    </w:p>
    <w:p w14:paraId="71487860" w14:textId="01537C05" w:rsidR="00A33FBE" w:rsidRPr="00343231" w:rsidRDefault="00A33FBE" w:rsidP="003147FD">
      <w:pPr>
        <w:pStyle w:val="Style1"/>
        <w:rPr>
          <w:b/>
        </w:rPr>
      </w:pPr>
      <w:r>
        <w:t xml:space="preserve">In addition, in determining </w:t>
      </w:r>
      <w:proofErr w:type="gramStart"/>
      <w:r>
        <w:t>whether or not</w:t>
      </w:r>
      <w:proofErr w:type="gramEnd"/>
      <w:r>
        <w:t xml:space="preserve"> to confirm the Order, I am required to have regard to the provisions of any rights of way improvement plan (“ROWIP”) prepared by any local highway authority whose area includes land over which the Order would create or exti</w:t>
      </w:r>
      <w:r w:rsidR="00621034">
        <w:t>n</w:t>
      </w:r>
      <w:r>
        <w:t xml:space="preserve">guish a public right of way.  </w:t>
      </w:r>
    </w:p>
    <w:p w14:paraId="6C52D4AF" w14:textId="77777777" w:rsidR="00343231" w:rsidRDefault="00A33FBE" w:rsidP="00343231">
      <w:pPr>
        <w:pStyle w:val="Heading6blackfont"/>
      </w:pPr>
      <w:r>
        <w:lastRenderedPageBreak/>
        <w:t>Reasons</w:t>
      </w:r>
    </w:p>
    <w:p w14:paraId="3F50C451" w14:textId="353FD172" w:rsidR="00343231" w:rsidRPr="00343231" w:rsidRDefault="00343231" w:rsidP="00343231">
      <w:pPr>
        <w:pStyle w:val="Heading6blackfont"/>
      </w:pPr>
      <w:r>
        <w:rPr>
          <w:rFonts w:cs="Verdana"/>
          <w:b w:val="0"/>
          <w:bCs/>
          <w:i/>
          <w:iCs/>
        </w:rPr>
        <w:t>Whether it is expedient, in the interests of the owner of the land, that the footpath in question should be diverted</w:t>
      </w:r>
    </w:p>
    <w:p w14:paraId="1AB0F745" w14:textId="5C6E6D7A" w:rsidR="0065356C" w:rsidRDefault="00343231" w:rsidP="003147FD">
      <w:pPr>
        <w:pStyle w:val="Style1"/>
      </w:pPr>
      <w:r>
        <w:t>As I saw on my site visit, the legal line of FP25 runs</w:t>
      </w:r>
      <w:r w:rsidR="00B363E4">
        <w:t xml:space="preserve"> to the rear </w:t>
      </w:r>
      <w:r w:rsidR="00F20E4D">
        <w:t>of the applicants’</w:t>
      </w:r>
      <w:r w:rsidR="00F20E4D">
        <w:rPr>
          <w:rStyle w:val="FootnoteReference"/>
        </w:rPr>
        <w:footnoteReference w:id="2"/>
      </w:r>
      <w:r w:rsidR="00F20E4D">
        <w:t xml:space="preserve"> property, </w:t>
      </w:r>
      <w:r w:rsidR="0065356C">
        <w:t>known as ‘</w:t>
      </w:r>
      <w:r w:rsidR="00F20E4D">
        <w:t>White Hart</w:t>
      </w:r>
      <w:r w:rsidR="0065356C">
        <w:t>’</w:t>
      </w:r>
      <w:r w:rsidR="00F20E4D">
        <w:t xml:space="preserve">.  As it turns northwards it skirts the </w:t>
      </w:r>
      <w:r>
        <w:t xml:space="preserve">eastern edge of </w:t>
      </w:r>
      <w:r w:rsidR="00F20E4D">
        <w:t xml:space="preserve">a </w:t>
      </w:r>
      <w:r>
        <w:t xml:space="preserve">stable block </w:t>
      </w:r>
      <w:r w:rsidR="00B363E4">
        <w:t xml:space="preserve">before </w:t>
      </w:r>
      <w:r>
        <w:t>cross</w:t>
      </w:r>
      <w:r w:rsidR="00B363E4">
        <w:t>ing</w:t>
      </w:r>
      <w:r>
        <w:t xml:space="preserve"> </w:t>
      </w:r>
      <w:r w:rsidR="002C751B">
        <w:t xml:space="preserve">a </w:t>
      </w:r>
      <w:r w:rsidR="001E2585">
        <w:t xml:space="preserve">field </w:t>
      </w:r>
      <w:r w:rsidR="002C751B">
        <w:t>on the northern edge of the village</w:t>
      </w:r>
      <w:r w:rsidR="00470428">
        <w:rPr>
          <w:rStyle w:val="FootnoteReference"/>
        </w:rPr>
        <w:footnoteReference w:id="3"/>
      </w:r>
      <w:r w:rsidR="002C751B">
        <w:t xml:space="preserve">.  </w:t>
      </w:r>
      <w:r w:rsidR="00F20E4D">
        <w:t xml:space="preserve">  </w:t>
      </w:r>
    </w:p>
    <w:p w14:paraId="77B27DE0" w14:textId="1B3CE84D" w:rsidR="00F20E4D" w:rsidRDefault="00F20E4D" w:rsidP="003147FD">
      <w:pPr>
        <w:pStyle w:val="Style1"/>
      </w:pPr>
      <w:r>
        <w:t>Given</w:t>
      </w:r>
      <w:r w:rsidR="002C751B">
        <w:t xml:space="preserve"> </w:t>
      </w:r>
      <w:r>
        <w:t>th</w:t>
      </w:r>
      <w:r w:rsidR="0065356C">
        <w:t>e proximity of the footpath to the rear</w:t>
      </w:r>
      <w:r w:rsidR="00CD204A">
        <w:t xml:space="preserve"> elevation of</w:t>
      </w:r>
      <w:r w:rsidR="0065356C">
        <w:t xml:space="preserve"> </w:t>
      </w:r>
      <w:r w:rsidR="002C751B">
        <w:t>White Hart and</w:t>
      </w:r>
      <w:r w:rsidR="0065356C">
        <w:t xml:space="preserve"> </w:t>
      </w:r>
      <w:r>
        <w:t xml:space="preserve">the </w:t>
      </w:r>
      <w:r w:rsidR="00343231">
        <w:t>landowner</w:t>
      </w:r>
      <w:r>
        <w:t>s</w:t>
      </w:r>
      <w:r w:rsidR="002C751B">
        <w:t>’</w:t>
      </w:r>
      <w:r w:rsidR="00566FD5">
        <w:t xml:space="preserve"> </w:t>
      </w:r>
      <w:r w:rsidR="002C751B">
        <w:t xml:space="preserve">stated </w:t>
      </w:r>
      <w:r w:rsidR="00566FD5">
        <w:t>desire</w:t>
      </w:r>
      <w:r>
        <w:t xml:space="preserve"> </w:t>
      </w:r>
      <w:r w:rsidR="00566FD5">
        <w:t xml:space="preserve">to </w:t>
      </w:r>
      <w:r w:rsidR="00343231">
        <w:t>keep horses on the land</w:t>
      </w:r>
      <w:r w:rsidR="0065356C">
        <w:t>,</w:t>
      </w:r>
      <w:r>
        <w:t xml:space="preserve"> it is not unreasonable </w:t>
      </w:r>
      <w:r w:rsidR="002C751B">
        <w:t>for the</w:t>
      </w:r>
      <w:r w:rsidR="009E1735">
        <w:t xml:space="preserve">m </w:t>
      </w:r>
      <w:r>
        <w:t xml:space="preserve">to want to divert the footpaths to increase privacy, </w:t>
      </w:r>
      <w:proofErr w:type="gramStart"/>
      <w:r>
        <w:t>security</w:t>
      </w:r>
      <w:proofErr w:type="gramEnd"/>
      <w:r>
        <w:t xml:space="preserve"> and </w:t>
      </w:r>
      <w:r w:rsidR="002C751B">
        <w:t xml:space="preserve">general </w:t>
      </w:r>
      <w:r>
        <w:t xml:space="preserve">enjoyment of their </w:t>
      </w:r>
      <w:r w:rsidR="0065356C">
        <w:t>property</w:t>
      </w:r>
      <w:r>
        <w:t xml:space="preserve">. </w:t>
      </w:r>
    </w:p>
    <w:p w14:paraId="1593E84C" w14:textId="28B932DF" w:rsidR="00F20E4D" w:rsidRDefault="00F20E4D" w:rsidP="003147FD">
      <w:pPr>
        <w:pStyle w:val="Style1"/>
      </w:pPr>
      <w:r>
        <w:t>Having regard to the above and given that there is no evidence to the contrary, I am satisfied that it is expedient in the interests of the landowner</w:t>
      </w:r>
      <w:r w:rsidR="002C751B">
        <w:t>s</w:t>
      </w:r>
      <w:r>
        <w:t xml:space="preserve"> that the footpath</w:t>
      </w:r>
      <w:r w:rsidR="008D78FF">
        <w:t>s</w:t>
      </w:r>
      <w:r>
        <w:t xml:space="preserve"> should be diverted.</w:t>
      </w:r>
    </w:p>
    <w:p w14:paraId="743E03CC" w14:textId="77777777" w:rsidR="005F3A67" w:rsidRPr="005F3A67" w:rsidRDefault="005F3A67" w:rsidP="005F3A67">
      <w:pPr>
        <w:pStyle w:val="Heading6blackfont"/>
        <w:rPr>
          <w:b w:val="0"/>
          <w:i/>
          <w:iCs/>
        </w:rPr>
      </w:pPr>
      <w:r w:rsidRPr="005F3A67">
        <w:rPr>
          <w:b w:val="0"/>
          <w:i/>
          <w:iCs/>
        </w:rPr>
        <w:t>Whether the new route will not be substantially less convenient to the public</w:t>
      </w:r>
    </w:p>
    <w:p w14:paraId="281D21DA" w14:textId="5A7DDE9B" w:rsidR="00A72A26" w:rsidRDefault="005F3A67" w:rsidP="003147FD">
      <w:pPr>
        <w:pStyle w:val="Style1"/>
      </w:pPr>
      <w:r>
        <w:t>According to the Council, the existing alignment of the footpath is 115</w:t>
      </w:r>
      <w:r w:rsidR="00A72A26">
        <w:t>m</w:t>
      </w:r>
      <w:r>
        <w:t xml:space="preserve"> whereas the Order </w:t>
      </w:r>
      <w:r w:rsidR="00A72A26">
        <w:t>r</w:t>
      </w:r>
      <w:r>
        <w:t xml:space="preserve">oute </w:t>
      </w:r>
      <w:r w:rsidR="00A72A26">
        <w:t xml:space="preserve">is </w:t>
      </w:r>
      <w:r>
        <w:t>142</w:t>
      </w:r>
      <w:r w:rsidR="00A72A26">
        <w:t>m</w:t>
      </w:r>
      <w:r>
        <w:t>.  In my view a 27</w:t>
      </w:r>
      <w:r w:rsidR="00A72A26">
        <w:t>m increase is</w:t>
      </w:r>
      <w:r>
        <w:t xml:space="preserve"> </w:t>
      </w:r>
      <w:proofErr w:type="gramStart"/>
      <w:r>
        <w:t>fairly modest</w:t>
      </w:r>
      <w:proofErr w:type="gramEnd"/>
      <w:r w:rsidR="00A72A26">
        <w:t xml:space="preserve"> particularly bearing in mind most users of FP25 are likely to be using it as part of </w:t>
      </w:r>
      <w:r w:rsidR="00415A6A">
        <w:t xml:space="preserve">a </w:t>
      </w:r>
      <w:r w:rsidR="00A72A26">
        <w:t>longer</w:t>
      </w:r>
      <w:r w:rsidR="002C751B">
        <w:t xml:space="preserve"> distance</w:t>
      </w:r>
      <w:r w:rsidR="00A72A26">
        <w:t xml:space="preserve"> recreational route. </w:t>
      </w:r>
    </w:p>
    <w:p w14:paraId="38ABD466" w14:textId="428BE1D6" w:rsidR="005F3A67" w:rsidRDefault="00A72A26" w:rsidP="003147FD">
      <w:pPr>
        <w:pStyle w:val="Style1"/>
      </w:pPr>
      <w:r>
        <w:t xml:space="preserve">The alignment of the Order route away from the stables </w:t>
      </w:r>
      <w:r w:rsidR="005F3A67">
        <w:t>would be more coherent than the</w:t>
      </w:r>
      <w:r>
        <w:t xml:space="preserve"> current</w:t>
      </w:r>
      <w:r w:rsidR="005F3A67">
        <w:t xml:space="preserve"> legal alignment.</w:t>
      </w:r>
      <w:r>
        <w:t xml:space="preserve">  </w:t>
      </w:r>
      <w:r w:rsidR="005F3A67">
        <w:t xml:space="preserve">I also accept that </w:t>
      </w:r>
      <w:r>
        <w:t xml:space="preserve">the replacement of the stone steps at the intersection of FP25 and FP28 would be </w:t>
      </w:r>
      <w:r w:rsidR="005F3A67">
        <w:t>more convenient for walkers</w:t>
      </w:r>
      <w:r>
        <w:t xml:space="preserve"> particularly the less mobile</w:t>
      </w:r>
      <w:r w:rsidR="00566FD5">
        <w:t xml:space="preserve"> and </w:t>
      </w:r>
      <w:r w:rsidR="005B1DE8">
        <w:t xml:space="preserve">would </w:t>
      </w:r>
      <w:r w:rsidR="00566FD5">
        <w:t>accord with the Council’s ROWIP.</w:t>
      </w:r>
      <w:r>
        <w:t xml:space="preserve">  </w:t>
      </w:r>
      <w:r w:rsidR="005F3A67">
        <w:t xml:space="preserve"> </w:t>
      </w:r>
    </w:p>
    <w:p w14:paraId="3300301C" w14:textId="568968AD" w:rsidR="005F3A67" w:rsidRDefault="005F3A67" w:rsidP="003147FD">
      <w:pPr>
        <w:pStyle w:val="Style1"/>
      </w:pPr>
      <w:r>
        <w:t xml:space="preserve">No additional gates or stiles would be </w:t>
      </w:r>
      <w:r w:rsidR="00566FD5">
        <w:t>erected,</w:t>
      </w:r>
      <w:r w:rsidR="00A72A26">
        <w:t xml:space="preserve"> and the </w:t>
      </w:r>
      <w:r>
        <w:t>unmade surface</w:t>
      </w:r>
      <w:r w:rsidR="005B1DE8">
        <w:t xml:space="preserve"> of the Order route</w:t>
      </w:r>
      <w:r>
        <w:t xml:space="preserve"> would be </w:t>
      </w:r>
      <w:proofErr w:type="gramStart"/>
      <w:r>
        <w:t>similar to</w:t>
      </w:r>
      <w:proofErr w:type="gramEnd"/>
      <w:r>
        <w:t xml:space="preserve"> the existing route.  Accordingly, </w:t>
      </w:r>
      <w:r w:rsidR="00A72A26">
        <w:t>I</w:t>
      </w:r>
      <w:r w:rsidR="005B1DE8">
        <w:t xml:space="preserve"> am satisfied </w:t>
      </w:r>
      <w:r>
        <w:t>the</w:t>
      </w:r>
      <w:r w:rsidR="00A72A26">
        <w:t xml:space="preserve"> Order route </w:t>
      </w:r>
      <w:r>
        <w:t>would not be substantially less convenient to the public.</w:t>
      </w:r>
    </w:p>
    <w:p w14:paraId="366F03BC" w14:textId="77777777" w:rsidR="00A72A26" w:rsidRPr="00A72A26" w:rsidRDefault="00A72A26" w:rsidP="00A72A26">
      <w:pPr>
        <w:pStyle w:val="Style1"/>
        <w:numPr>
          <w:ilvl w:val="0"/>
          <w:numId w:val="0"/>
        </w:numPr>
        <w:rPr>
          <w:i/>
          <w:iCs/>
          <w:szCs w:val="22"/>
        </w:rPr>
      </w:pPr>
      <w:r w:rsidRPr="00A72A26">
        <w:rPr>
          <w:i/>
          <w:iCs/>
          <w:szCs w:val="22"/>
        </w:rPr>
        <w:t>The effect of the diversion on public enjoyment of the route as a whole</w:t>
      </w:r>
    </w:p>
    <w:p w14:paraId="7D897BDB" w14:textId="20161C41" w:rsidR="00591C1C" w:rsidRDefault="00A72A26" w:rsidP="003147FD">
      <w:pPr>
        <w:pStyle w:val="Style1"/>
      </w:pPr>
      <w:r>
        <w:t xml:space="preserve">There is no suggestion from the objector that the diversion would adversely affect the public’s enjoyment of the </w:t>
      </w:r>
      <w:proofErr w:type="gramStart"/>
      <w:r>
        <w:t>route as a whole</w:t>
      </w:r>
      <w:proofErr w:type="gramEnd"/>
      <w:r>
        <w:t>.  In my view</w:t>
      </w:r>
      <w:r w:rsidR="007D03A3">
        <w:t>,</w:t>
      </w:r>
      <w:r>
        <w:t xml:space="preserve"> the Order route would retain the </w:t>
      </w:r>
      <w:r w:rsidR="00566FD5">
        <w:t>rural qualities of FP25 as it</w:t>
      </w:r>
      <w:r w:rsidR="005B1DE8">
        <w:t xml:space="preserve"> traverses open fields </w:t>
      </w:r>
      <w:r w:rsidR="00566FD5">
        <w:t xml:space="preserve">to the north of </w:t>
      </w:r>
      <w:proofErr w:type="spellStart"/>
      <w:r w:rsidR="00566FD5">
        <w:t>Tingewick</w:t>
      </w:r>
      <w:proofErr w:type="spellEnd"/>
      <w:r w:rsidR="00591C1C">
        <w:t xml:space="preserve"> but would remove any uneasiness users might have about intruding into what is clearly a private space, regardless of their legal rights</w:t>
      </w:r>
      <w:r w:rsidR="00766085">
        <w:t>.</w:t>
      </w:r>
      <w:r w:rsidR="00591C1C">
        <w:t xml:space="preserve"> </w:t>
      </w:r>
    </w:p>
    <w:p w14:paraId="3E340BFC" w14:textId="38FFD16E" w:rsidR="00566FD5" w:rsidRDefault="00566FD5" w:rsidP="00591C1C">
      <w:pPr>
        <w:pStyle w:val="Style1"/>
      </w:pPr>
      <w:r>
        <w:t xml:space="preserve">There would be no obvious detriment to views enjoyed in either direction </w:t>
      </w:r>
      <w:r w:rsidR="00766085">
        <w:t>or</w:t>
      </w:r>
      <w:r>
        <w:t xml:space="preserve"> decline</w:t>
      </w:r>
      <w:r w:rsidR="00F97BBD">
        <w:t xml:space="preserve"> in</w:t>
      </w:r>
      <w:r>
        <w:t xml:space="preserve"> one’s enjoyment of the route</w:t>
      </w:r>
      <w:r w:rsidR="00A72A26">
        <w:t xml:space="preserve">.  </w:t>
      </w:r>
      <w:r w:rsidRPr="00566FD5">
        <w:t>I therefore conclude that the new route would not</w:t>
      </w:r>
      <w:r w:rsidR="00D379B6">
        <w:t xml:space="preserve"> diminish the </w:t>
      </w:r>
      <w:r w:rsidR="00D379B6" w:rsidRPr="00D379B6">
        <w:t>public</w:t>
      </w:r>
      <w:r w:rsidR="00173FCC">
        <w:t>’s</w:t>
      </w:r>
      <w:r w:rsidR="00D379B6" w:rsidRPr="00D379B6">
        <w:t xml:space="preserve"> enjoyment of the </w:t>
      </w:r>
      <w:proofErr w:type="gramStart"/>
      <w:r w:rsidR="00D379B6" w:rsidRPr="00D379B6">
        <w:t>route as a whole</w:t>
      </w:r>
      <w:proofErr w:type="gramEnd"/>
      <w:r w:rsidR="00173FCC">
        <w:t>.</w:t>
      </w:r>
    </w:p>
    <w:p w14:paraId="06D5B4E9" w14:textId="69D34237" w:rsidR="00566FD5" w:rsidRDefault="00566FD5" w:rsidP="00566FD5">
      <w:pPr>
        <w:pStyle w:val="Style1"/>
        <w:numPr>
          <w:ilvl w:val="0"/>
          <w:numId w:val="0"/>
        </w:numPr>
        <w:rPr>
          <w:i/>
          <w:iCs/>
        </w:rPr>
      </w:pPr>
      <w:r w:rsidRPr="00566FD5">
        <w:rPr>
          <w:i/>
          <w:iCs/>
        </w:rPr>
        <w:t xml:space="preserve">The effect the coming into operation of the Order would have with respect to the </w:t>
      </w:r>
      <w:bookmarkStart w:id="2" w:name="_Hlk102642830"/>
      <w:r w:rsidRPr="00566FD5">
        <w:rPr>
          <w:i/>
          <w:iCs/>
        </w:rPr>
        <w:t xml:space="preserve">land served by the existing route and the land over which the new route is created </w:t>
      </w:r>
      <w:bookmarkEnd w:id="2"/>
      <w:r w:rsidRPr="00566FD5">
        <w:rPr>
          <w:i/>
          <w:iCs/>
        </w:rPr>
        <w:t>together with any land held with it, account being taken of the provisions as to compensation</w:t>
      </w:r>
    </w:p>
    <w:p w14:paraId="23EF2FAE" w14:textId="0303CBEB" w:rsidR="006F011A" w:rsidRDefault="00566FD5" w:rsidP="008441AF">
      <w:pPr>
        <w:pStyle w:val="Style1"/>
      </w:pPr>
      <w:r w:rsidRPr="00566FD5">
        <w:lastRenderedPageBreak/>
        <w:t>The land crossed by the existing route would remain within the ownership of</w:t>
      </w:r>
      <w:r>
        <w:t xml:space="preserve"> the applicants.</w:t>
      </w:r>
      <w:r w:rsidRPr="00566FD5">
        <w:t xml:space="preserve"> </w:t>
      </w:r>
      <w:r w:rsidR="00591C1C">
        <w:t xml:space="preserve"> </w:t>
      </w:r>
      <w:r>
        <w:t>I have carefully considered the objection from</w:t>
      </w:r>
      <w:r w:rsidR="00173FCC">
        <w:t xml:space="preserve"> the</w:t>
      </w:r>
      <w:r>
        <w:t xml:space="preserve"> </w:t>
      </w:r>
      <w:r w:rsidR="00173FCC">
        <w:t>adjoining landowner (</w:t>
      </w:r>
      <w:r>
        <w:t>Mrs Clark</w:t>
      </w:r>
      <w:r w:rsidR="00173FCC">
        <w:t>)</w:t>
      </w:r>
      <w:r>
        <w:t xml:space="preserve"> </w:t>
      </w:r>
      <w:r w:rsidR="006F011A">
        <w:t xml:space="preserve">who is concerned that the Order route </w:t>
      </w:r>
      <w:r w:rsidR="00C8198F">
        <w:t xml:space="preserve">being </w:t>
      </w:r>
      <w:r w:rsidR="006F011A">
        <w:t xml:space="preserve">closer to her </w:t>
      </w:r>
      <w:r w:rsidR="00C8198F">
        <w:t>land would c</w:t>
      </w:r>
      <w:r w:rsidR="006F011A">
        <w:t>ompromis</w:t>
      </w:r>
      <w:r w:rsidR="00C8198F">
        <w:t xml:space="preserve">e </w:t>
      </w:r>
      <w:r w:rsidR="006F011A">
        <w:t>her ability to</w:t>
      </w:r>
      <w:r w:rsidR="00C8198F">
        <w:t xml:space="preserve"> carry out various activities.</w:t>
      </w:r>
      <w:r w:rsidR="006F011A">
        <w:t xml:space="preserve"> </w:t>
      </w:r>
    </w:p>
    <w:p w14:paraId="4F0EFC9A" w14:textId="71814024" w:rsidR="006F011A" w:rsidRDefault="006F011A" w:rsidP="00566FD5">
      <w:pPr>
        <w:pStyle w:val="Style1"/>
      </w:pPr>
      <w:r>
        <w:t xml:space="preserve">However, the Order route, although closer, would not be contiguous with the objector’s land and ample separation would be maintained.  </w:t>
      </w:r>
      <w:r w:rsidR="00F43E5F">
        <w:t>It is also pertinent that FP25</w:t>
      </w:r>
      <w:r w:rsidR="00FE014F">
        <w:t xml:space="preserve"> already</w:t>
      </w:r>
      <w:r w:rsidR="00F43E5F">
        <w:t xml:space="preserve"> </w:t>
      </w:r>
      <w:r w:rsidR="00FE014F">
        <w:t>traverses the objectors land further to</w:t>
      </w:r>
      <w:r w:rsidR="00591C1C">
        <w:t xml:space="preserve"> the</w:t>
      </w:r>
      <w:r w:rsidR="00FE014F">
        <w:t xml:space="preserve"> west. </w:t>
      </w:r>
      <w:r w:rsidR="00591C1C">
        <w:t xml:space="preserve"> </w:t>
      </w:r>
      <w:r>
        <w:t>The other issues raised in relation to sho</w:t>
      </w:r>
      <w:r w:rsidR="00FE014F">
        <w:t>o</w:t>
      </w:r>
      <w:r>
        <w:t xml:space="preserve">ting and dogs are not relevant to my consideration of this Order under Section 119 of the 1980 Act.  The Order would not change the current position that landowners are responsible for ensuring their activities do not pose a risk to others.  </w:t>
      </w:r>
    </w:p>
    <w:p w14:paraId="531D61EE" w14:textId="77777777" w:rsidR="006F011A" w:rsidRDefault="006F011A" w:rsidP="00566FD5">
      <w:pPr>
        <w:pStyle w:val="Style1"/>
      </w:pPr>
      <w:r>
        <w:t xml:space="preserve">I therefore conclude that the Order route </w:t>
      </w:r>
      <w:r w:rsidR="00566FD5" w:rsidRPr="00566FD5">
        <w:t>would</w:t>
      </w:r>
      <w:r>
        <w:t xml:space="preserve"> not have </w:t>
      </w:r>
      <w:r w:rsidR="00566FD5" w:rsidRPr="00566FD5">
        <w:t>any negative effect on land served by the existing or proposed routes</w:t>
      </w:r>
      <w:r>
        <w:t>.</w:t>
      </w:r>
    </w:p>
    <w:p w14:paraId="68A0278C" w14:textId="3D63D52E" w:rsidR="00566FD5" w:rsidRPr="00566FD5" w:rsidRDefault="00566FD5" w:rsidP="00566FD5">
      <w:pPr>
        <w:pStyle w:val="Style1"/>
      </w:pPr>
      <w:r>
        <w:t>No c</w:t>
      </w:r>
      <w:r w:rsidRPr="00566FD5">
        <w:t>ompensation issues have been raised.</w:t>
      </w:r>
    </w:p>
    <w:p w14:paraId="165060D7" w14:textId="77777777" w:rsidR="006F011A" w:rsidRDefault="006F011A" w:rsidP="006F011A">
      <w:pPr>
        <w:pStyle w:val="Heading6blackfont"/>
      </w:pPr>
      <w:r>
        <w:t>Conclusions</w:t>
      </w:r>
    </w:p>
    <w:p w14:paraId="249FC690" w14:textId="5F67E865" w:rsidR="006F011A" w:rsidRDefault="006F011A" w:rsidP="0049503D">
      <w:pPr>
        <w:pStyle w:val="Style1"/>
      </w:pPr>
      <w:r>
        <w:t>I have concluded above that the Order is expedient in the interests of the landowner.  The proposed route w</w:t>
      </w:r>
      <w:r w:rsidR="00404CC2">
        <w:t>ould</w:t>
      </w:r>
      <w:r>
        <w:t xml:space="preserve"> not be substantially less convenient, and I am satisfied that it is expedient to confirm the Order having regard to its effect both on public enjoyment and </w:t>
      </w:r>
      <w:r w:rsidR="007476EB" w:rsidRPr="007476EB">
        <w:t>land served by the existing route</w:t>
      </w:r>
      <w:r w:rsidR="007476EB">
        <w:t xml:space="preserve"> and proposed </w:t>
      </w:r>
      <w:r w:rsidR="007476EB" w:rsidRPr="007476EB">
        <w:t>route</w:t>
      </w:r>
      <w:r w:rsidR="0049503D">
        <w:t xml:space="preserve">.  </w:t>
      </w:r>
      <w:r>
        <w:t xml:space="preserve">There is nothing in the submissions </w:t>
      </w:r>
      <w:r w:rsidR="00F73BB9">
        <w:t xml:space="preserve">referred to above </w:t>
      </w:r>
      <w:r>
        <w:t>or from my site visit that would lead me to conclude that it would not be expedient to confirm the Order.</w:t>
      </w:r>
    </w:p>
    <w:p w14:paraId="604F62AD" w14:textId="77777777" w:rsidR="006F011A" w:rsidRDefault="006F011A" w:rsidP="006F011A">
      <w:pPr>
        <w:pStyle w:val="Default"/>
        <w:rPr>
          <w:b/>
          <w:bCs/>
          <w:sz w:val="22"/>
          <w:szCs w:val="22"/>
        </w:rPr>
      </w:pPr>
    </w:p>
    <w:p w14:paraId="60897BA9" w14:textId="77777777" w:rsidR="006F011A" w:rsidRDefault="006F011A" w:rsidP="006F011A">
      <w:pPr>
        <w:pStyle w:val="Default"/>
        <w:rPr>
          <w:sz w:val="22"/>
          <w:szCs w:val="22"/>
        </w:rPr>
      </w:pPr>
      <w:r>
        <w:rPr>
          <w:b/>
          <w:bCs/>
          <w:sz w:val="22"/>
          <w:szCs w:val="22"/>
        </w:rPr>
        <w:t xml:space="preserve">Formal Decision </w:t>
      </w:r>
    </w:p>
    <w:p w14:paraId="1559E30E" w14:textId="77777777" w:rsidR="006F011A" w:rsidRDefault="006F011A" w:rsidP="008441AF">
      <w:pPr>
        <w:pStyle w:val="Style1"/>
      </w:pPr>
      <w:r>
        <w:t>The Order is confirmed.</w:t>
      </w:r>
    </w:p>
    <w:p w14:paraId="66DCD162" w14:textId="77777777" w:rsidR="00F73BB9" w:rsidRDefault="00F73BB9" w:rsidP="006F011A">
      <w:pPr>
        <w:tabs>
          <w:tab w:val="left" w:pos="432"/>
        </w:tabs>
        <w:spacing w:before="180"/>
        <w:outlineLvl w:val="0"/>
        <w:rPr>
          <w:rFonts w:ascii="Monotype Corsiva" w:hAnsi="Monotype Corsiva"/>
          <w:color w:val="000000"/>
          <w:kern w:val="28"/>
          <w:sz w:val="36"/>
          <w:szCs w:val="36"/>
        </w:rPr>
      </w:pPr>
    </w:p>
    <w:p w14:paraId="34684FB3" w14:textId="045FB62F" w:rsidR="006F011A" w:rsidRDefault="006F011A" w:rsidP="006F011A">
      <w:pPr>
        <w:tabs>
          <w:tab w:val="left" w:pos="432"/>
        </w:tabs>
        <w:spacing w:before="180"/>
        <w:outlineLvl w:val="0"/>
        <w:rPr>
          <w:rFonts w:ascii="Monotype Corsiva" w:hAnsi="Monotype Corsiva"/>
          <w:color w:val="000000"/>
          <w:kern w:val="28"/>
          <w:sz w:val="36"/>
          <w:szCs w:val="36"/>
        </w:rPr>
      </w:pPr>
      <w:r>
        <w:rPr>
          <w:rFonts w:ascii="Monotype Corsiva" w:hAnsi="Monotype Corsiva"/>
          <w:color w:val="000000"/>
          <w:kern w:val="28"/>
          <w:sz w:val="36"/>
          <w:szCs w:val="36"/>
        </w:rPr>
        <w:t xml:space="preserve">D. M. Young </w:t>
      </w:r>
    </w:p>
    <w:p w14:paraId="20C66809" w14:textId="45420F70" w:rsidR="006F011A" w:rsidRDefault="006F011A" w:rsidP="006F011A">
      <w:pPr>
        <w:tabs>
          <w:tab w:val="left" w:pos="432"/>
        </w:tabs>
        <w:spacing w:before="180"/>
        <w:ind w:left="431" w:hanging="431"/>
        <w:outlineLvl w:val="0"/>
        <w:rPr>
          <w:szCs w:val="22"/>
        </w:rPr>
      </w:pPr>
      <w:r>
        <w:rPr>
          <w:szCs w:val="22"/>
        </w:rPr>
        <w:t>Inspector</w:t>
      </w:r>
    </w:p>
    <w:p w14:paraId="12570319" w14:textId="2B40AEE6" w:rsidR="001D0078" w:rsidRDefault="001D0078" w:rsidP="006F011A">
      <w:pPr>
        <w:tabs>
          <w:tab w:val="left" w:pos="432"/>
        </w:tabs>
        <w:spacing w:before="180"/>
        <w:ind w:left="431" w:hanging="431"/>
        <w:outlineLvl w:val="0"/>
        <w:rPr>
          <w:szCs w:val="22"/>
        </w:rPr>
      </w:pPr>
    </w:p>
    <w:p w14:paraId="6B8270C3" w14:textId="062CE66C" w:rsidR="001D0078" w:rsidRDefault="001D0078">
      <w:pPr>
        <w:rPr>
          <w:szCs w:val="22"/>
        </w:rPr>
      </w:pPr>
      <w:r>
        <w:rPr>
          <w:szCs w:val="22"/>
        </w:rPr>
        <w:br w:type="page"/>
      </w:r>
    </w:p>
    <w:p w14:paraId="03908133" w14:textId="117BB122" w:rsidR="001D0078" w:rsidRDefault="001D0078" w:rsidP="006F011A">
      <w:pPr>
        <w:tabs>
          <w:tab w:val="left" w:pos="432"/>
        </w:tabs>
        <w:spacing w:before="180"/>
        <w:ind w:left="431" w:hanging="431"/>
        <w:outlineLvl w:val="0"/>
        <w:rPr>
          <w:color w:val="000000"/>
          <w:kern w:val="28"/>
        </w:rPr>
      </w:pPr>
      <w:r>
        <w:rPr>
          <w:noProof/>
        </w:rPr>
        <w:lastRenderedPageBreak/>
        <w:drawing>
          <wp:inline distT="0" distB="0" distL="0" distR="0" wp14:anchorId="466F74EA" wp14:editId="29F54BE2">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p w14:paraId="01D32F14" w14:textId="77777777" w:rsidR="006F011A" w:rsidRPr="006F011A" w:rsidRDefault="006F011A" w:rsidP="006F011A">
      <w:pPr>
        <w:pStyle w:val="Style1"/>
        <w:numPr>
          <w:ilvl w:val="0"/>
          <w:numId w:val="0"/>
        </w:numPr>
        <w:ind w:left="431" w:hanging="431"/>
      </w:pPr>
    </w:p>
    <w:sectPr w:rsidR="006F011A" w:rsidRPr="006F011A"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21AF" w14:textId="77777777" w:rsidR="00E54B87" w:rsidRDefault="00E54B87" w:rsidP="00F62916">
      <w:r>
        <w:separator/>
      </w:r>
    </w:p>
  </w:endnote>
  <w:endnote w:type="continuationSeparator" w:id="0">
    <w:p w14:paraId="29618E79" w14:textId="77777777" w:rsidR="00E54B87" w:rsidRDefault="00E54B87"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9267"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9C4446"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EB8F"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55FB1C4" wp14:editId="6ED5A3F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D9341"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A0DC356" w14:textId="77777777" w:rsidR="00366F95" w:rsidRPr="00E45340" w:rsidRDefault="00EE6DAF"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0703" w14:textId="77777777" w:rsidR="00366F95" w:rsidRDefault="00366F95" w:rsidP="00A33FB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C453354" wp14:editId="15014FB9">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F05AD"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688FD05" w14:textId="77777777" w:rsidR="00366F95" w:rsidRPr="00451EE4" w:rsidRDefault="00EE6DAF">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32B7" w14:textId="77777777" w:rsidR="00E54B87" w:rsidRDefault="00E54B87" w:rsidP="00F62916">
      <w:r>
        <w:separator/>
      </w:r>
    </w:p>
  </w:footnote>
  <w:footnote w:type="continuationSeparator" w:id="0">
    <w:p w14:paraId="5B811E66" w14:textId="77777777" w:rsidR="00E54B87" w:rsidRDefault="00E54B87" w:rsidP="00F62916">
      <w:r>
        <w:continuationSeparator/>
      </w:r>
    </w:p>
  </w:footnote>
  <w:footnote w:id="1">
    <w:p w14:paraId="6F61B6CB" w14:textId="1248AE8C" w:rsidR="00676636" w:rsidRDefault="00676636">
      <w:pPr>
        <w:pStyle w:val="FootnoteText"/>
      </w:pPr>
      <w:r>
        <w:rPr>
          <w:rStyle w:val="FootnoteReference"/>
        </w:rPr>
        <w:footnoteRef/>
      </w:r>
      <w:r>
        <w:t xml:space="preserve"> I note the</w:t>
      </w:r>
      <w:r w:rsidR="00C00B11">
        <w:t xml:space="preserve"> Applicants </w:t>
      </w:r>
      <w:r w:rsidR="00621034">
        <w:t>r</w:t>
      </w:r>
      <w:r>
        <w:t>efer</w:t>
      </w:r>
      <w:r w:rsidR="00621034">
        <w:t xml:space="preserve"> </w:t>
      </w:r>
      <w:r>
        <w:t>to</w:t>
      </w:r>
      <w:r w:rsidR="00621034">
        <w:t xml:space="preserve"> the property</w:t>
      </w:r>
      <w:r>
        <w:t xml:space="preserve"> as ‘Old White Har</w:t>
      </w:r>
      <w:r w:rsidR="00621034">
        <w:t>t’</w:t>
      </w:r>
    </w:p>
  </w:footnote>
  <w:footnote w:id="2">
    <w:p w14:paraId="2AE88269" w14:textId="77777777" w:rsidR="00F20E4D" w:rsidRDefault="00F20E4D" w:rsidP="00F20E4D">
      <w:pPr>
        <w:pStyle w:val="FootnoteText"/>
      </w:pPr>
      <w:r>
        <w:rPr>
          <w:rStyle w:val="FootnoteReference"/>
        </w:rPr>
        <w:footnoteRef/>
      </w:r>
      <w:r>
        <w:t xml:space="preserve"> Mr &amp; Mrs Paoli</w:t>
      </w:r>
    </w:p>
  </w:footnote>
  <w:footnote w:id="3">
    <w:p w14:paraId="136ABBD6" w14:textId="311E0305" w:rsidR="00470428" w:rsidRDefault="00470428">
      <w:pPr>
        <w:pStyle w:val="FootnoteText"/>
      </w:pPr>
      <w:r>
        <w:rPr>
          <w:rStyle w:val="FootnoteReference"/>
        </w:rPr>
        <w:footnoteRef/>
      </w:r>
      <w:r>
        <w:t xml:space="preserve"> The stables and field are under the same ownership as </w:t>
      </w:r>
      <w:r w:rsidR="00F04FA0">
        <w:t>White Hart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403EB8D" w14:textId="77777777">
      <w:tc>
        <w:tcPr>
          <w:tcW w:w="9520" w:type="dxa"/>
        </w:tcPr>
        <w:p w14:paraId="3A345093" w14:textId="4798A991" w:rsidR="00343231" w:rsidRDefault="00A33FBE" w:rsidP="00343231">
          <w:pPr>
            <w:pStyle w:val="Footer"/>
          </w:pPr>
          <w:r>
            <w:t xml:space="preserve">Order Decision </w:t>
          </w:r>
          <w:r w:rsidR="00343231">
            <w:t>ROW</w:t>
          </w:r>
          <w:r>
            <w:t>/</w:t>
          </w:r>
          <w:r w:rsidR="00343231">
            <w:t>3255068</w:t>
          </w:r>
        </w:p>
      </w:tc>
    </w:tr>
  </w:tbl>
  <w:p w14:paraId="25703307" w14:textId="77777777" w:rsidR="00366F95" w:rsidRDefault="00366F95" w:rsidP="00087477">
    <w:pPr>
      <w:pStyle w:val="Footer"/>
      <w:spacing w:after="180"/>
    </w:pPr>
    <w:r>
      <w:rPr>
        <w:noProof/>
      </w:rPr>
      <mc:AlternateContent>
        <mc:Choice Requires="wps">
          <w:drawing>
            <wp:anchor distT="0" distB="0" distL="114300" distR="114300" simplePos="0" relativeHeight="251668480" behindDoc="0" locked="0" layoutInCell="1" allowOverlap="1" wp14:anchorId="0DD14B67" wp14:editId="3FB71CB8">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D78F4" id="Line 14" o:spid="_x0000_s1026" alt="&quot;&quot;"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3BD1"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63D670FA"/>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lvlOverride w:ilvl="0">
      <w:lvl w:ilvl="0">
        <w:start w:val="1"/>
        <w:numFmt w:val="decimal"/>
        <w:pStyle w:val="Style1"/>
        <w:lvlText w:val="%1."/>
        <w:lvlJc w:val="left"/>
        <w:pPr>
          <w:tabs>
            <w:tab w:val="num" w:pos="720"/>
          </w:tabs>
          <w:ind w:left="431" w:hanging="431"/>
        </w:pPr>
        <w:rPr>
          <w:rFonts w:hint="default"/>
          <w:b w:val="0"/>
          <w:bCs/>
        </w:rPr>
      </w:lvl>
    </w:lvlOverride>
  </w:num>
  <w:num w:numId="23">
    <w:abstractNumId w:val="1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 w:ilvl="0">
        <w:start w:val="1"/>
        <w:numFmt w:val="decimal"/>
        <w:pStyle w:val="Style1"/>
        <w:lvlText w:val="%1."/>
        <w:lvlJc w:val="left"/>
        <w:pPr>
          <w:tabs>
            <w:tab w:val="num" w:pos="720"/>
          </w:tabs>
          <w:ind w:left="431" w:hanging="431"/>
        </w:pPr>
        <w:rPr>
          <w:b w:val="0"/>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pStyle w:val="Heading7"/>
        <w:lvlText w:val=""/>
        <w:lvlJc w:val="left"/>
      </w:lvl>
    </w:lvlOverride>
    <w:lvlOverride w:ilvl="7">
      <w:startOverride w:val="1"/>
      <w:lvl w:ilvl="7">
        <w:start w:val="1"/>
        <w:numFmt w:val="decimal"/>
        <w:pStyle w:val="Heading8"/>
        <w:lvlText w:val=""/>
        <w:lvlJc w:val="left"/>
      </w:lvl>
    </w:lvlOverride>
    <w:lvlOverride w:ilvl="8">
      <w:startOverride w:val="1"/>
      <w:lvl w:ilvl="8">
        <w:start w:val="1"/>
        <w:numFmt w:val="decimal"/>
        <w:pStyle w:val="Heading9"/>
        <w:lvlText w:val=""/>
        <w:lvlJc w:val="left"/>
      </w:lvl>
    </w:lvlOverride>
  </w:num>
  <w:num w:numId="27">
    <w:abstractNumId w:val="9"/>
    <w:lvlOverride w:ilvl="0">
      <w:startOverride w:val="1"/>
      <w:lvl w:ilvl="0">
        <w:start w:val="1"/>
        <w:numFmt w:val="decimal"/>
        <w:pStyle w:val="Style1"/>
        <w:lvlText w:val="%1."/>
        <w:lvlJc w:val="left"/>
        <w:pPr>
          <w:tabs>
            <w:tab w:val="num" w:pos="720"/>
          </w:tabs>
          <w:ind w:left="431" w:hanging="431"/>
        </w:pPr>
        <w:rPr>
          <w:b w:val="0"/>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pStyle w:val="Heading7"/>
        <w:lvlText w:val=""/>
        <w:lvlJc w:val="left"/>
      </w:lvl>
    </w:lvlOverride>
    <w:lvlOverride w:ilvl="7">
      <w:startOverride w:val="1"/>
      <w:lvl w:ilvl="7">
        <w:start w:val="1"/>
        <w:numFmt w:val="decimal"/>
        <w:pStyle w:val="Heading8"/>
        <w:lvlText w:val=""/>
        <w:lvlJc w:val="left"/>
      </w:lvl>
    </w:lvlOverride>
    <w:lvlOverride w:ilvl="8">
      <w:startOverride w:val="1"/>
      <w:lvl w:ilvl="8">
        <w:start w:val="1"/>
        <w:numFmt w:val="decimal"/>
        <w:pStyle w:val="Heading9"/>
        <w:lvlText w:val=""/>
        <w:lvlJc w:val="left"/>
      </w:lvl>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33FBE"/>
    <w:rsid w:val="0000335F"/>
    <w:rsid w:val="00024500"/>
    <w:rsid w:val="000247B2"/>
    <w:rsid w:val="00046145"/>
    <w:rsid w:val="0004625F"/>
    <w:rsid w:val="00053135"/>
    <w:rsid w:val="00077358"/>
    <w:rsid w:val="00087477"/>
    <w:rsid w:val="00087DEC"/>
    <w:rsid w:val="00094A44"/>
    <w:rsid w:val="000A4AEB"/>
    <w:rsid w:val="000A64AE"/>
    <w:rsid w:val="000B02BC"/>
    <w:rsid w:val="000B0589"/>
    <w:rsid w:val="000C3F13"/>
    <w:rsid w:val="000C5098"/>
    <w:rsid w:val="000C698E"/>
    <w:rsid w:val="000D0673"/>
    <w:rsid w:val="000E57C1"/>
    <w:rsid w:val="000F16F4"/>
    <w:rsid w:val="000F6EC2"/>
    <w:rsid w:val="001000CB"/>
    <w:rsid w:val="00104D93"/>
    <w:rsid w:val="001440C3"/>
    <w:rsid w:val="00152C92"/>
    <w:rsid w:val="00161B5C"/>
    <w:rsid w:val="00173FCC"/>
    <w:rsid w:val="00197B5B"/>
    <w:rsid w:val="001B37BF"/>
    <w:rsid w:val="001D0078"/>
    <w:rsid w:val="001E2585"/>
    <w:rsid w:val="001F5990"/>
    <w:rsid w:val="00207816"/>
    <w:rsid w:val="00212C8F"/>
    <w:rsid w:val="00242A5E"/>
    <w:rsid w:val="002819AB"/>
    <w:rsid w:val="002958D9"/>
    <w:rsid w:val="002B5A3A"/>
    <w:rsid w:val="002C068A"/>
    <w:rsid w:val="002C2524"/>
    <w:rsid w:val="002C751B"/>
    <w:rsid w:val="002D5A7C"/>
    <w:rsid w:val="00303CA5"/>
    <w:rsid w:val="0030500E"/>
    <w:rsid w:val="003147FD"/>
    <w:rsid w:val="003206FD"/>
    <w:rsid w:val="00343231"/>
    <w:rsid w:val="00343A1F"/>
    <w:rsid w:val="00344294"/>
    <w:rsid w:val="00344CD1"/>
    <w:rsid w:val="00355FCC"/>
    <w:rsid w:val="00360664"/>
    <w:rsid w:val="00361890"/>
    <w:rsid w:val="00364E17"/>
    <w:rsid w:val="00366F95"/>
    <w:rsid w:val="00374F9F"/>
    <w:rsid w:val="003753FE"/>
    <w:rsid w:val="003941CF"/>
    <w:rsid w:val="003B2FE6"/>
    <w:rsid w:val="003D1D4A"/>
    <w:rsid w:val="003D3715"/>
    <w:rsid w:val="003E54CC"/>
    <w:rsid w:val="003F3533"/>
    <w:rsid w:val="003F7DFB"/>
    <w:rsid w:val="004029F3"/>
    <w:rsid w:val="00404CC2"/>
    <w:rsid w:val="004156F0"/>
    <w:rsid w:val="00415A6A"/>
    <w:rsid w:val="00434739"/>
    <w:rsid w:val="004474DE"/>
    <w:rsid w:val="00451EE4"/>
    <w:rsid w:val="004522C1"/>
    <w:rsid w:val="00453E15"/>
    <w:rsid w:val="00470428"/>
    <w:rsid w:val="0047718B"/>
    <w:rsid w:val="0048041A"/>
    <w:rsid w:val="00483D15"/>
    <w:rsid w:val="0049503D"/>
    <w:rsid w:val="004976CF"/>
    <w:rsid w:val="004A2EB8"/>
    <w:rsid w:val="004C07CB"/>
    <w:rsid w:val="004E04E0"/>
    <w:rsid w:val="004E17CB"/>
    <w:rsid w:val="004E6091"/>
    <w:rsid w:val="004F274A"/>
    <w:rsid w:val="00506851"/>
    <w:rsid w:val="0052347F"/>
    <w:rsid w:val="00523706"/>
    <w:rsid w:val="00541734"/>
    <w:rsid w:val="00542B4C"/>
    <w:rsid w:val="00561E69"/>
    <w:rsid w:val="0056634F"/>
    <w:rsid w:val="00566FD5"/>
    <w:rsid w:val="0057098A"/>
    <w:rsid w:val="005718AF"/>
    <w:rsid w:val="00571FD4"/>
    <w:rsid w:val="00572879"/>
    <w:rsid w:val="0057471E"/>
    <w:rsid w:val="0057782A"/>
    <w:rsid w:val="00591235"/>
    <w:rsid w:val="00591C1C"/>
    <w:rsid w:val="005A0799"/>
    <w:rsid w:val="005A3A64"/>
    <w:rsid w:val="005B1DE8"/>
    <w:rsid w:val="005D739E"/>
    <w:rsid w:val="005E34E1"/>
    <w:rsid w:val="005E34FF"/>
    <w:rsid w:val="005E3542"/>
    <w:rsid w:val="005E52F9"/>
    <w:rsid w:val="005F1261"/>
    <w:rsid w:val="005F3A67"/>
    <w:rsid w:val="00602315"/>
    <w:rsid w:val="006052EF"/>
    <w:rsid w:val="006127F0"/>
    <w:rsid w:val="00614E46"/>
    <w:rsid w:val="00615462"/>
    <w:rsid w:val="00621034"/>
    <w:rsid w:val="006319E6"/>
    <w:rsid w:val="0063373D"/>
    <w:rsid w:val="0065356C"/>
    <w:rsid w:val="0065719B"/>
    <w:rsid w:val="0066322F"/>
    <w:rsid w:val="00676636"/>
    <w:rsid w:val="00681108"/>
    <w:rsid w:val="00683417"/>
    <w:rsid w:val="00685A46"/>
    <w:rsid w:val="0069559D"/>
    <w:rsid w:val="00696368"/>
    <w:rsid w:val="006A5BB3"/>
    <w:rsid w:val="006A7B8B"/>
    <w:rsid w:val="006C0FD4"/>
    <w:rsid w:val="006C4C25"/>
    <w:rsid w:val="006C6D1A"/>
    <w:rsid w:val="006D2842"/>
    <w:rsid w:val="006D5133"/>
    <w:rsid w:val="006F011A"/>
    <w:rsid w:val="006F16D9"/>
    <w:rsid w:val="006F6496"/>
    <w:rsid w:val="00704126"/>
    <w:rsid w:val="0071604A"/>
    <w:rsid w:val="007476EB"/>
    <w:rsid w:val="00766085"/>
    <w:rsid w:val="00785862"/>
    <w:rsid w:val="007A0537"/>
    <w:rsid w:val="007A06BE"/>
    <w:rsid w:val="007B4C9B"/>
    <w:rsid w:val="007C1DBC"/>
    <w:rsid w:val="007D03A3"/>
    <w:rsid w:val="007D65B4"/>
    <w:rsid w:val="007F1352"/>
    <w:rsid w:val="007F3F10"/>
    <w:rsid w:val="007F59EB"/>
    <w:rsid w:val="00806F2A"/>
    <w:rsid w:val="00827937"/>
    <w:rsid w:val="00834368"/>
    <w:rsid w:val="008411A4"/>
    <w:rsid w:val="008441AF"/>
    <w:rsid w:val="00882B66"/>
    <w:rsid w:val="008A03E3"/>
    <w:rsid w:val="008B3871"/>
    <w:rsid w:val="008C6FA3"/>
    <w:rsid w:val="008D78FF"/>
    <w:rsid w:val="008E359C"/>
    <w:rsid w:val="00901334"/>
    <w:rsid w:val="009124CE"/>
    <w:rsid w:val="00912954"/>
    <w:rsid w:val="00921F34"/>
    <w:rsid w:val="0092304C"/>
    <w:rsid w:val="00923F06"/>
    <w:rsid w:val="0092562E"/>
    <w:rsid w:val="00960B10"/>
    <w:rsid w:val="009841DA"/>
    <w:rsid w:val="00986627"/>
    <w:rsid w:val="00994A8E"/>
    <w:rsid w:val="009B3075"/>
    <w:rsid w:val="009B72ED"/>
    <w:rsid w:val="009B7BD4"/>
    <w:rsid w:val="009B7F3F"/>
    <w:rsid w:val="009C1BA7"/>
    <w:rsid w:val="009E1447"/>
    <w:rsid w:val="009E1735"/>
    <w:rsid w:val="009E179D"/>
    <w:rsid w:val="009E3C69"/>
    <w:rsid w:val="009E4076"/>
    <w:rsid w:val="009E6FB7"/>
    <w:rsid w:val="00A00FCD"/>
    <w:rsid w:val="00A101CD"/>
    <w:rsid w:val="00A23FC7"/>
    <w:rsid w:val="00A33FBE"/>
    <w:rsid w:val="00A418A7"/>
    <w:rsid w:val="00A5760C"/>
    <w:rsid w:val="00A60DB3"/>
    <w:rsid w:val="00A72A26"/>
    <w:rsid w:val="00AD0E39"/>
    <w:rsid w:val="00AD2F56"/>
    <w:rsid w:val="00AE2FAA"/>
    <w:rsid w:val="00B049F2"/>
    <w:rsid w:val="00B04C00"/>
    <w:rsid w:val="00B32324"/>
    <w:rsid w:val="00B345C9"/>
    <w:rsid w:val="00B363E4"/>
    <w:rsid w:val="00B51D9F"/>
    <w:rsid w:val="00B56990"/>
    <w:rsid w:val="00B61A59"/>
    <w:rsid w:val="00B7142C"/>
    <w:rsid w:val="00BC0524"/>
    <w:rsid w:val="00BC2702"/>
    <w:rsid w:val="00BD09CD"/>
    <w:rsid w:val="00BE6377"/>
    <w:rsid w:val="00BF34D7"/>
    <w:rsid w:val="00C00B11"/>
    <w:rsid w:val="00C00E8A"/>
    <w:rsid w:val="00C11BD0"/>
    <w:rsid w:val="00C22528"/>
    <w:rsid w:val="00C274BD"/>
    <w:rsid w:val="00C36797"/>
    <w:rsid w:val="00C40EA6"/>
    <w:rsid w:val="00C57B84"/>
    <w:rsid w:val="00C74873"/>
    <w:rsid w:val="00C8198F"/>
    <w:rsid w:val="00C8343C"/>
    <w:rsid w:val="00C857CB"/>
    <w:rsid w:val="00C8740F"/>
    <w:rsid w:val="00C915A8"/>
    <w:rsid w:val="00CC50AC"/>
    <w:rsid w:val="00CD204A"/>
    <w:rsid w:val="00CE21C0"/>
    <w:rsid w:val="00D02B48"/>
    <w:rsid w:val="00D1120A"/>
    <w:rsid w:val="00D125BE"/>
    <w:rsid w:val="00D1410D"/>
    <w:rsid w:val="00D354A3"/>
    <w:rsid w:val="00D379B6"/>
    <w:rsid w:val="00D423EB"/>
    <w:rsid w:val="00D555DA"/>
    <w:rsid w:val="00D918EF"/>
    <w:rsid w:val="00DB1128"/>
    <w:rsid w:val="00DB7937"/>
    <w:rsid w:val="00DD0F21"/>
    <w:rsid w:val="00DE265F"/>
    <w:rsid w:val="00E11244"/>
    <w:rsid w:val="00E15353"/>
    <w:rsid w:val="00E16CAE"/>
    <w:rsid w:val="00E45340"/>
    <w:rsid w:val="00E515DB"/>
    <w:rsid w:val="00E54B87"/>
    <w:rsid w:val="00E54F7C"/>
    <w:rsid w:val="00E674DD"/>
    <w:rsid w:val="00E67B22"/>
    <w:rsid w:val="00E81323"/>
    <w:rsid w:val="00E83B13"/>
    <w:rsid w:val="00E85E3D"/>
    <w:rsid w:val="00E974ED"/>
    <w:rsid w:val="00EA406E"/>
    <w:rsid w:val="00EA43AC"/>
    <w:rsid w:val="00EA52D3"/>
    <w:rsid w:val="00EA73CE"/>
    <w:rsid w:val="00EB2329"/>
    <w:rsid w:val="00ED043A"/>
    <w:rsid w:val="00ED3727"/>
    <w:rsid w:val="00ED3DDF"/>
    <w:rsid w:val="00ED3FF4"/>
    <w:rsid w:val="00ED50F4"/>
    <w:rsid w:val="00EE1C1A"/>
    <w:rsid w:val="00EE2613"/>
    <w:rsid w:val="00EE550A"/>
    <w:rsid w:val="00EE6DAF"/>
    <w:rsid w:val="00EF1E98"/>
    <w:rsid w:val="00EF5820"/>
    <w:rsid w:val="00F04FA0"/>
    <w:rsid w:val="00F1025A"/>
    <w:rsid w:val="00F20E4D"/>
    <w:rsid w:val="00F2297F"/>
    <w:rsid w:val="00F35EDC"/>
    <w:rsid w:val="00F43E5F"/>
    <w:rsid w:val="00F62916"/>
    <w:rsid w:val="00F63D9A"/>
    <w:rsid w:val="00F659A3"/>
    <w:rsid w:val="00F73BB9"/>
    <w:rsid w:val="00F7417F"/>
    <w:rsid w:val="00F97BBD"/>
    <w:rsid w:val="00FA02D2"/>
    <w:rsid w:val="00FB743C"/>
    <w:rsid w:val="00FC6E8D"/>
    <w:rsid w:val="00FD307B"/>
    <w:rsid w:val="00FE014F"/>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EA82BD"/>
  <w15:docId w15:val="{BCC904A8-730B-41EC-B408-AA4AA1AA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FootnoteTextChar">
    <w:name w:val="Footnote Text Char"/>
    <w:basedOn w:val="DefaultParagraphFont"/>
    <w:link w:val="FootnoteText"/>
    <w:semiHidden/>
    <w:rsid w:val="00343231"/>
    <w:rPr>
      <w:rFonts w:ascii="Verdana" w:hAnsi="Verdana"/>
      <w:sz w:val="16"/>
    </w:rPr>
  </w:style>
  <w:style w:type="character" w:styleId="FootnoteReference">
    <w:name w:val="footnote reference"/>
    <w:basedOn w:val="DefaultParagraphFont"/>
    <w:semiHidden/>
    <w:unhideWhenUsed/>
    <w:rsid w:val="00343231"/>
    <w:rPr>
      <w:vertAlign w:val="superscript"/>
    </w:rPr>
  </w:style>
  <w:style w:type="character" w:customStyle="1" w:styleId="Style1Char">
    <w:name w:val="Style1 Char"/>
    <w:link w:val="Style1"/>
    <w:locked/>
    <w:rsid w:val="00F20E4D"/>
    <w:rPr>
      <w:rFonts w:ascii="Verdana" w:hAnsi="Verdana"/>
      <w:color w:val="000000"/>
      <w:kern w:val="28"/>
      <w:sz w:val="22"/>
    </w:rPr>
  </w:style>
  <w:style w:type="paragraph" w:customStyle="1" w:styleId="Default">
    <w:name w:val="Default"/>
    <w:rsid w:val="006F011A"/>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3051">
      <w:bodyDiv w:val="1"/>
      <w:marLeft w:val="0"/>
      <w:marRight w:val="0"/>
      <w:marTop w:val="0"/>
      <w:marBottom w:val="0"/>
      <w:divBdr>
        <w:top w:val="none" w:sz="0" w:space="0" w:color="auto"/>
        <w:left w:val="none" w:sz="0" w:space="0" w:color="auto"/>
        <w:bottom w:val="none" w:sz="0" w:space="0" w:color="auto"/>
        <w:right w:val="none" w:sz="0" w:space="0" w:color="auto"/>
      </w:divBdr>
    </w:div>
    <w:div w:id="445974087">
      <w:bodyDiv w:val="1"/>
      <w:marLeft w:val="0"/>
      <w:marRight w:val="0"/>
      <w:marTop w:val="0"/>
      <w:marBottom w:val="0"/>
      <w:divBdr>
        <w:top w:val="none" w:sz="0" w:space="0" w:color="auto"/>
        <w:left w:val="none" w:sz="0" w:space="0" w:color="auto"/>
        <w:bottom w:val="none" w:sz="0" w:space="0" w:color="auto"/>
        <w:right w:val="none" w:sz="0" w:space="0" w:color="auto"/>
      </w:divBdr>
    </w:div>
    <w:div w:id="1071655524">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736467509">
      <w:bodyDiv w:val="1"/>
      <w:marLeft w:val="0"/>
      <w:marRight w:val="0"/>
      <w:marTop w:val="0"/>
      <w:marBottom w:val="0"/>
      <w:divBdr>
        <w:top w:val="none" w:sz="0" w:space="0" w:color="auto"/>
        <w:left w:val="none" w:sz="0" w:space="0" w:color="auto"/>
        <w:bottom w:val="none" w:sz="0" w:space="0" w:color="auto"/>
        <w:right w:val="none" w:sz="0" w:space="0" w:color="auto"/>
      </w:divBdr>
    </w:div>
    <w:div w:id="1861312947">
      <w:bodyDiv w:val="1"/>
      <w:marLeft w:val="0"/>
      <w:marRight w:val="0"/>
      <w:marTop w:val="0"/>
      <w:marBottom w:val="0"/>
      <w:divBdr>
        <w:top w:val="none" w:sz="0" w:space="0" w:color="auto"/>
        <w:left w:val="none" w:sz="0" w:space="0" w:color="auto"/>
        <w:bottom w:val="none" w:sz="0" w:space="0" w:color="auto"/>
        <w:right w:val="none" w:sz="0" w:space="0" w:color="auto"/>
      </w:divBdr>
    </w:div>
    <w:div w:id="20424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1A605-84CA-45AE-87FA-85A904C84071}">
  <ds:schemaRefs>
    <ds:schemaRef ds:uri="http://schemas.microsoft.com/sharepoint/v3/contenttype/forms"/>
  </ds:schemaRefs>
</ds:datastoreItem>
</file>

<file path=customXml/itemProps2.xml><?xml version="1.0" encoding="utf-8"?>
<ds:datastoreItem xmlns:ds="http://schemas.openxmlformats.org/officeDocument/2006/customXml" ds:itemID="{0DED99DD-07E6-4913-B720-C8963668F6E6}"/>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4BC71E9-079B-4FB3-A5A2-6BA076497E7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5DFDBAA-7E3E-48EE-B558-FDE52062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4</Pages>
  <Words>1123</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Young, Dominic</dc:creator>
  <cp:lastModifiedBy>Cook, Robert</cp:lastModifiedBy>
  <cp:revision>3</cp:revision>
  <cp:lastPrinted>2013-05-29T14:27:00Z</cp:lastPrinted>
  <dcterms:created xsi:type="dcterms:W3CDTF">2022-05-16T14:24:00Z</dcterms:created>
  <dcterms:modified xsi:type="dcterms:W3CDTF">2022-05-18T11:53:00Z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