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99BF" w14:textId="77777777" w:rsidR="00BD09CD" w:rsidRDefault="00182952">
      <w:r>
        <w:pict w14:anchorId="799BB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8.5pt">
            <v:imagedata r:id="rId8" o:title="PINS logo (black) (A4 sizing)"/>
          </v:shape>
        </w:pict>
      </w:r>
    </w:p>
    <w:p w14:paraId="2CE9FD25" w14:textId="77777777" w:rsidR="0004625F" w:rsidRDefault="0004625F" w:rsidP="00B32324">
      <w:pPr>
        <w:spacing w:after="60"/>
      </w:pPr>
    </w:p>
    <w:p w14:paraId="27A1363B"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3B36481" w14:textId="77777777" w:rsidTr="006062E5">
        <w:trPr>
          <w:cantSplit/>
          <w:trHeight w:val="659"/>
        </w:trPr>
        <w:tc>
          <w:tcPr>
            <w:tcW w:w="9356" w:type="dxa"/>
            <w:shd w:val="clear" w:color="auto" w:fill="auto"/>
          </w:tcPr>
          <w:p w14:paraId="6EAA3B57" w14:textId="77777777" w:rsidR="0004625F" w:rsidRPr="006062E5" w:rsidRDefault="006062E5"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3ED62208" w14:textId="77777777" w:rsidTr="006062E5">
        <w:trPr>
          <w:cantSplit/>
          <w:trHeight w:val="425"/>
        </w:trPr>
        <w:tc>
          <w:tcPr>
            <w:tcW w:w="9356" w:type="dxa"/>
            <w:shd w:val="clear" w:color="auto" w:fill="auto"/>
            <w:vAlign w:val="center"/>
          </w:tcPr>
          <w:p w14:paraId="642371EB" w14:textId="4DD143D0" w:rsidR="0004625F" w:rsidRPr="006062E5" w:rsidRDefault="00A86CAF" w:rsidP="00AB7672">
            <w:pPr>
              <w:spacing w:before="60"/>
              <w:ind w:left="-108" w:right="34"/>
              <w:rPr>
                <w:color w:val="000000"/>
                <w:szCs w:val="22"/>
              </w:rPr>
            </w:pPr>
            <w:r>
              <w:rPr>
                <w:color w:val="000000"/>
                <w:szCs w:val="22"/>
              </w:rPr>
              <w:t xml:space="preserve">Inquiry </w:t>
            </w:r>
            <w:r w:rsidR="003F5123">
              <w:rPr>
                <w:color w:val="000000"/>
                <w:szCs w:val="22"/>
              </w:rPr>
              <w:t>o</w:t>
            </w:r>
            <w:r>
              <w:rPr>
                <w:color w:val="000000"/>
                <w:szCs w:val="22"/>
              </w:rPr>
              <w:t>pened on</w:t>
            </w:r>
            <w:r w:rsidR="00835183">
              <w:rPr>
                <w:color w:val="000000"/>
                <w:szCs w:val="22"/>
              </w:rPr>
              <w:t xml:space="preserve"> </w:t>
            </w:r>
            <w:r w:rsidR="003F5123">
              <w:rPr>
                <w:color w:val="000000"/>
                <w:szCs w:val="22"/>
              </w:rPr>
              <w:t>30 November 2021</w:t>
            </w:r>
          </w:p>
        </w:tc>
      </w:tr>
      <w:tr w:rsidR="0004625F" w:rsidRPr="00361890" w14:paraId="50913BB2" w14:textId="77777777" w:rsidTr="006062E5">
        <w:trPr>
          <w:cantSplit/>
          <w:trHeight w:val="374"/>
        </w:trPr>
        <w:tc>
          <w:tcPr>
            <w:tcW w:w="9356" w:type="dxa"/>
            <w:shd w:val="clear" w:color="auto" w:fill="auto"/>
          </w:tcPr>
          <w:p w14:paraId="37E468B2" w14:textId="77777777" w:rsidR="0004625F" w:rsidRPr="006062E5" w:rsidRDefault="006062E5" w:rsidP="006062E5">
            <w:pPr>
              <w:spacing w:before="180"/>
              <w:ind w:left="-108" w:right="34"/>
              <w:rPr>
                <w:b/>
                <w:color w:val="000000"/>
                <w:sz w:val="16"/>
                <w:szCs w:val="22"/>
              </w:rPr>
            </w:pPr>
            <w:r>
              <w:rPr>
                <w:b/>
                <w:color w:val="000000"/>
                <w:szCs w:val="22"/>
              </w:rPr>
              <w:t xml:space="preserve">by Barney </w:t>
            </w:r>
            <w:proofErr w:type="gramStart"/>
            <w:r>
              <w:rPr>
                <w:b/>
                <w:color w:val="000000"/>
                <w:szCs w:val="22"/>
              </w:rPr>
              <w:t>Grimshaw  BA</w:t>
            </w:r>
            <w:proofErr w:type="gramEnd"/>
            <w:r>
              <w:rPr>
                <w:b/>
                <w:color w:val="000000"/>
                <w:szCs w:val="22"/>
              </w:rPr>
              <w:t xml:space="preserve"> DPA MRTPI(</w:t>
            </w:r>
            <w:proofErr w:type="spellStart"/>
            <w:r>
              <w:rPr>
                <w:b/>
                <w:color w:val="000000"/>
                <w:szCs w:val="22"/>
              </w:rPr>
              <w:t>Rtd</w:t>
            </w:r>
            <w:proofErr w:type="spellEnd"/>
            <w:r>
              <w:rPr>
                <w:b/>
                <w:color w:val="000000"/>
                <w:szCs w:val="22"/>
              </w:rPr>
              <w:t>)</w:t>
            </w:r>
          </w:p>
        </w:tc>
      </w:tr>
      <w:tr w:rsidR="0004625F" w:rsidRPr="00361890" w14:paraId="57159A9A" w14:textId="77777777" w:rsidTr="006062E5">
        <w:trPr>
          <w:cantSplit/>
          <w:trHeight w:val="357"/>
        </w:trPr>
        <w:tc>
          <w:tcPr>
            <w:tcW w:w="9356" w:type="dxa"/>
            <w:shd w:val="clear" w:color="auto" w:fill="auto"/>
          </w:tcPr>
          <w:p w14:paraId="6EABFCFE" w14:textId="77777777" w:rsidR="0004625F" w:rsidRPr="006062E5" w:rsidRDefault="006062E5"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067DE324" w14:textId="77777777" w:rsidTr="006062E5">
        <w:trPr>
          <w:cantSplit/>
          <w:trHeight w:val="335"/>
        </w:trPr>
        <w:tc>
          <w:tcPr>
            <w:tcW w:w="9356" w:type="dxa"/>
            <w:shd w:val="clear" w:color="auto" w:fill="auto"/>
          </w:tcPr>
          <w:p w14:paraId="72D8E95F" w14:textId="5C3BC13A"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182952">
              <w:rPr>
                <w:b/>
                <w:color w:val="000000"/>
                <w:sz w:val="16"/>
                <w:szCs w:val="16"/>
              </w:rPr>
              <w:t xml:space="preserve"> 24 May 2022</w:t>
            </w:r>
          </w:p>
        </w:tc>
      </w:tr>
    </w:tbl>
    <w:p w14:paraId="267F98D9" w14:textId="77777777" w:rsidR="0004625F" w:rsidRDefault="0004625F"/>
    <w:tbl>
      <w:tblPr>
        <w:tblW w:w="0" w:type="auto"/>
        <w:tblLayout w:type="fixed"/>
        <w:tblLook w:val="0000" w:firstRow="0" w:lastRow="0" w:firstColumn="0" w:lastColumn="0" w:noHBand="0" w:noVBand="0"/>
      </w:tblPr>
      <w:tblGrid>
        <w:gridCol w:w="9520"/>
      </w:tblGrid>
      <w:tr w:rsidR="00E050A6" w:rsidRPr="00D23A94" w14:paraId="60EC8BDD" w14:textId="77777777" w:rsidTr="004A18F7">
        <w:tc>
          <w:tcPr>
            <w:tcW w:w="9520" w:type="dxa"/>
            <w:shd w:val="clear" w:color="auto" w:fill="auto"/>
          </w:tcPr>
          <w:p w14:paraId="08177C3A" w14:textId="27F09DA2" w:rsidR="00E050A6" w:rsidRDefault="00E050A6" w:rsidP="00527382">
            <w:pPr>
              <w:rPr>
                <w:b/>
                <w:color w:val="000000"/>
              </w:rPr>
            </w:pPr>
            <w:r>
              <w:rPr>
                <w:b/>
                <w:color w:val="000000"/>
              </w:rPr>
              <w:t xml:space="preserve">Application Ref: </w:t>
            </w:r>
            <w:r w:rsidR="001636FE">
              <w:rPr>
                <w:b/>
                <w:color w:val="000000"/>
              </w:rPr>
              <w:t>COM/32</w:t>
            </w:r>
            <w:r w:rsidR="00835183">
              <w:rPr>
                <w:b/>
                <w:color w:val="000000"/>
              </w:rPr>
              <w:t>62817</w:t>
            </w:r>
          </w:p>
          <w:p w14:paraId="1B19AAE4" w14:textId="15FEB2C6" w:rsidR="00370386" w:rsidRDefault="00835183" w:rsidP="00067AFA">
            <w:pPr>
              <w:rPr>
                <w:b/>
                <w:color w:val="000000"/>
              </w:rPr>
            </w:pPr>
            <w:r>
              <w:rPr>
                <w:b/>
                <w:color w:val="000000"/>
              </w:rPr>
              <w:t>Woodcock Hill Village Green</w:t>
            </w:r>
            <w:r w:rsidR="007939F5">
              <w:rPr>
                <w:b/>
                <w:color w:val="000000"/>
              </w:rPr>
              <w:t>, Bore</w:t>
            </w:r>
            <w:r w:rsidR="00E01354">
              <w:rPr>
                <w:b/>
                <w:color w:val="000000"/>
              </w:rPr>
              <w:t>h</w:t>
            </w:r>
            <w:r w:rsidR="007939F5">
              <w:rPr>
                <w:b/>
                <w:color w:val="000000"/>
              </w:rPr>
              <w:t>amwood</w:t>
            </w:r>
          </w:p>
          <w:p w14:paraId="51D2D284" w14:textId="67691565" w:rsidR="00E050A6" w:rsidRPr="00067AFA" w:rsidRDefault="00527382" w:rsidP="00067AFA">
            <w:pPr>
              <w:rPr>
                <w:b/>
                <w:color w:val="000000"/>
              </w:rPr>
            </w:pPr>
            <w:r>
              <w:rPr>
                <w:sz w:val="20"/>
              </w:rPr>
              <w:t xml:space="preserve">Register Unit: </w:t>
            </w:r>
            <w:r w:rsidR="00370386">
              <w:rPr>
                <w:sz w:val="20"/>
              </w:rPr>
              <w:t>VG</w:t>
            </w:r>
            <w:r w:rsidR="00846588">
              <w:rPr>
                <w:sz w:val="20"/>
              </w:rPr>
              <w:t xml:space="preserve"> 120</w:t>
            </w:r>
          </w:p>
          <w:p w14:paraId="1FE2F563" w14:textId="1145B742" w:rsidR="00E050A6" w:rsidRPr="00D23A94" w:rsidRDefault="00E050A6" w:rsidP="00AB7672">
            <w:pPr>
              <w:spacing w:after="60"/>
              <w:rPr>
                <w:b/>
                <w:color w:val="000000"/>
                <w:sz w:val="20"/>
              </w:rPr>
            </w:pPr>
            <w:r>
              <w:rPr>
                <w:sz w:val="20"/>
              </w:rPr>
              <w:t xml:space="preserve">Registration Authority: </w:t>
            </w:r>
            <w:r w:rsidR="00846588">
              <w:rPr>
                <w:sz w:val="20"/>
              </w:rPr>
              <w:t>He</w:t>
            </w:r>
            <w:r w:rsidR="00C00047">
              <w:rPr>
                <w:sz w:val="20"/>
              </w:rPr>
              <w:t>r</w:t>
            </w:r>
            <w:r w:rsidR="00846588">
              <w:rPr>
                <w:sz w:val="20"/>
              </w:rPr>
              <w:t>tfordshire</w:t>
            </w:r>
            <w:r w:rsidR="001636FE">
              <w:rPr>
                <w:sz w:val="20"/>
              </w:rPr>
              <w:t xml:space="preserve"> County Council</w:t>
            </w:r>
          </w:p>
        </w:tc>
      </w:tr>
      <w:tr w:rsidR="00E050A6" w:rsidRPr="00D23A94" w14:paraId="404B8885" w14:textId="77777777" w:rsidTr="004A18F7">
        <w:tc>
          <w:tcPr>
            <w:tcW w:w="9520" w:type="dxa"/>
            <w:shd w:val="clear" w:color="auto" w:fill="auto"/>
          </w:tcPr>
          <w:p w14:paraId="6DBE8043" w14:textId="014EF1E0" w:rsidR="00E050A6" w:rsidRPr="00D23A94" w:rsidRDefault="00E050A6" w:rsidP="00AB7672">
            <w:pPr>
              <w:pStyle w:val="TBullet"/>
            </w:pPr>
            <w:r>
              <w:t>The application, dated</w:t>
            </w:r>
            <w:r w:rsidR="004125CA">
              <w:t xml:space="preserve"> </w:t>
            </w:r>
            <w:r w:rsidR="00DD4062">
              <w:t>5 November 2020</w:t>
            </w:r>
            <w:r>
              <w:t>, is made under Section 16 of the Commons Act 2006 (“the 2006 Act”) to deregister and exchange common land.</w:t>
            </w:r>
          </w:p>
        </w:tc>
      </w:tr>
      <w:tr w:rsidR="00E050A6" w:rsidRPr="00D23A94" w14:paraId="09B4C7F7" w14:textId="77777777" w:rsidTr="004A18F7">
        <w:tc>
          <w:tcPr>
            <w:tcW w:w="9520" w:type="dxa"/>
            <w:shd w:val="clear" w:color="auto" w:fill="auto"/>
          </w:tcPr>
          <w:p w14:paraId="2CC12BA9" w14:textId="4DE06EBC" w:rsidR="00E050A6" w:rsidRPr="00D23A94" w:rsidRDefault="00E050A6" w:rsidP="00AB7672">
            <w:pPr>
              <w:pStyle w:val="TBullet"/>
            </w:pPr>
            <w:r>
              <w:t xml:space="preserve">The application is </w:t>
            </w:r>
            <w:r w:rsidRPr="00D23A94">
              <w:t xml:space="preserve">made </w:t>
            </w:r>
            <w:r w:rsidR="00910A0F">
              <w:t>on behalf of Laing Homes</w:t>
            </w:r>
            <w:r>
              <w:t>.</w:t>
            </w:r>
          </w:p>
        </w:tc>
      </w:tr>
      <w:tr w:rsidR="00E050A6" w:rsidRPr="00D23A94" w14:paraId="16CB3BBA" w14:textId="77777777" w:rsidTr="004A18F7">
        <w:tc>
          <w:tcPr>
            <w:tcW w:w="9520" w:type="dxa"/>
            <w:shd w:val="clear" w:color="auto" w:fill="auto"/>
          </w:tcPr>
          <w:p w14:paraId="61E3E997" w14:textId="21C33019" w:rsidR="00AB7672" w:rsidRDefault="00E050A6" w:rsidP="00DD4BA4">
            <w:pPr>
              <w:pStyle w:val="TBullet"/>
            </w:pPr>
            <w:r w:rsidRPr="00B13A79">
              <w:rPr>
                <w:b/>
              </w:rPr>
              <w:t>The release land</w:t>
            </w:r>
            <w:r>
              <w:t xml:space="preserve"> comprises</w:t>
            </w:r>
            <w:r w:rsidR="00AB7672">
              <w:t xml:space="preserve"> </w:t>
            </w:r>
            <w:r w:rsidR="00393DB9">
              <w:t>33000</w:t>
            </w:r>
            <w:r w:rsidR="00AB7672">
              <w:t>m</w:t>
            </w:r>
            <w:r w:rsidR="00AB7672">
              <w:rPr>
                <w:vertAlign w:val="superscript"/>
              </w:rPr>
              <w:t>2</w:t>
            </w:r>
            <w:r w:rsidR="00AB7672">
              <w:t xml:space="preserve"> </w:t>
            </w:r>
            <w:r w:rsidR="00AF263A">
              <w:t xml:space="preserve">of the existing Woodcock Hill Village Green to the </w:t>
            </w:r>
            <w:r w:rsidR="00B55DA5">
              <w:t>south-</w:t>
            </w:r>
            <w:r w:rsidR="00AF263A">
              <w:t>west of Vale Avenue.</w:t>
            </w:r>
            <w:r w:rsidR="00DD4BA4">
              <w:t xml:space="preserve"> </w:t>
            </w:r>
          </w:p>
          <w:p w14:paraId="2FBA3D37" w14:textId="7DF06B8B" w:rsidR="00DD4BA4" w:rsidRPr="00D23A94" w:rsidRDefault="00DE1490" w:rsidP="00DD4BA4">
            <w:pPr>
              <w:pStyle w:val="TBullet"/>
            </w:pPr>
            <w:r>
              <w:rPr>
                <w:b/>
                <w:bCs/>
              </w:rPr>
              <w:t>The replacement land</w:t>
            </w:r>
            <w:r w:rsidR="009205D0">
              <w:rPr>
                <w:b/>
                <w:bCs/>
              </w:rPr>
              <w:t xml:space="preserve"> </w:t>
            </w:r>
            <w:r w:rsidR="009205D0">
              <w:t>comprises</w:t>
            </w:r>
            <w:r w:rsidR="0038188C">
              <w:t xml:space="preserve"> 36000m</w:t>
            </w:r>
            <w:r w:rsidR="0038188C">
              <w:rPr>
                <w:vertAlign w:val="superscript"/>
              </w:rPr>
              <w:t xml:space="preserve">2 </w:t>
            </w:r>
            <w:r w:rsidR="006173D0">
              <w:t>of</w:t>
            </w:r>
            <w:r w:rsidR="00280E61">
              <w:t xml:space="preserve"> </w:t>
            </w:r>
            <w:r w:rsidR="006173D0">
              <w:t>land north of Barnet Lane (A411)</w:t>
            </w:r>
            <w:r w:rsidR="00280E61">
              <w:t>, to the west of Woodcock Hill Village Green</w:t>
            </w:r>
            <w:r w:rsidR="00305083">
              <w:t>.</w:t>
            </w:r>
          </w:p>
        </w:tc>
      </w:tr>
    </w:tbl>
    <w:p w14:paraId="0DBF12C2" w14:textId="77777777" w:rsidR="00E050A6" w:rsidRDefault="00E050A6"/>
    <w:p w14:paraId="763F5B30" w14:textId="77777777" w:rsidR="00067AFA" w:rsidRDefault="00067AFA" w:rsidP="00067AFA">
      <w:r w:rsidRPr="00067AFA">
        <w:rPr>
          <w:b/>
        </w:rPr>
        <w:t>Decision</w:t>
      </w:r>
      <w:r>
        <w:rPr>
          <w:b/>
        </w:rPr>
        <w:t xml:space="preserve"> </w:t>
      </w:r>
    </w:p>
    <w:p w14:paraId="779A41E9" w14:textId="764921F9" w:rsidR="00067AFA" w:rsidRPr="00067AFA" w:rsidRDefault="00067AFA" w:rsidP="00067AFA">
      <w:pPr>
        <w:pStyle w:val="Style1"/>
      </w:pPr>
      <w:r w:rsidRPr="00067AFA">
        <w:t>The</w:t>
      </w:r>
      <w:r>
        <w:t xml:space="preserve"> application is </w:t>
      </w:r>
      <w:r w:rsidRPr="00067AFA">
        <w:t>granted in accordance with the terms of the application [Ref:</w:t>
      </w:r>
      <w:r w:rsidR="001636FE">
        <w:t xml:space="preserve"> COM/32</w:t>
      </w:r>
      <w:r w:rsidR="00E311FF">
        <w:t>62817</w:t>
      </w:r>
      <w:r w:rsidRPr="0064693A">
        <w:rPr>
          <w:szCs w:val="22"/>
        </w:rPr>
        <w:t>] dated</w:t>
      </w:r>
      <w:r w:rsidR="004125CA">
        <w:rPr>
          <w:szCs w:val="22"/>
        </w:rPr>
        <w:t xml:space="preserve"> </w:t>
      </w:r>
      <w:r w:rsidR="00E311FF">
        <w:rPr>
          <w:szCs w:val="22"/>
        </w:rPr>
        <w:t>5 November</w:t>
      </w:r>
      <w:r w:rsidR="001636FE">
        <w:rPr>
          <w:szCs w:val="22"/>
        </w:rPr>
        <w:t xml:space="preserve"> 20</w:t>
      </w:r>
      <w:r w:rsidR="00E311FF">
        <w:rPr>
          <w:szCs w:val="22"/>
        </w:rPr>
        <w:t>20</w:t>
      </w:r>
      <w:r>
        <w:rPr>
          <w:szCs w:val="22"/>
        </w:rPr>
        <w:t>, and the plan</w:t>
      </w:r>
      <w:r w:rsidRPr="0064693A">
        <w:rPr>
          <w:szCs w:val="22"/>
        </w:rPr>
        <w:t xml:space="preserve"> submitted the</w:t>
      </w:r>
      <w:r>
        <w:rPr>
          <w:szCs w:val="22"/>
        </w:rPr>
        <w:t>rewith.</w:t>
      </w:r>
    </w:p>
    <w:p w14:paraId="73DF830C" w14:textId="77777777" w:rsidR="00E050A6" w:rsidRDefault="00E050A6" w:rsidP="006062E5">
      <w:pPr>
        <w:pStyle w:val="Heading6blackfont"/>
      </w:pPr>
      <w:r>
        <w:t>Preliminary Matters</w:t>
      </w:r>
    </w:p>
    <w:p w14:paraId="60B369DB" w14:textId="3DB8FA9D" w:rsidR="00682BD2" w:rsidRDefault="00682BD2" w:rsidP="00682BD2">
      <w:pPr>
        <w:pStyle w:val="Style1"/>
      </w:pPr>
      <w:r>
        <w:t>Section 16(1) of the 2006 Act provides, among other things, that the owner of any land registered as common land may apply for the land (“the release land”) to cease to be so registered.  If the area of the release land is greater than 200m² a proposal must be made to replace it with other land to be registered as common land (“the replacement land”).</w:t>
      </w:r>
    </w:p>
    <w:p w14:paraId="7C733651" w14:textId="24BF28CF" w:rsidR="001A6E46" w:rsidRDefault="00D30B62" w:rsidP="00682BD2">
      <w:pPr>
        <w:pStyle w:val="Style1"/>
      </w:pPr>
      <w:r>
        <w:t>An inquiry into this application was opened on 30 November</w:t>
      </w:r>
      <w:r w:rsidR="00286946">
        <w:t xml:space="preserve"> 2021 by another inspector but then </w:t>
      </w:r>
      <w:r w:rsidR="00CB6D2E">
        <w:t>adjourned</w:t>
      </w:r>
      <w:r w:rsidR="00402B91">
        <w:t xml:space="preserve"> until 24 January</w:t>
      </w:r>
      <w:r w:rsidR="00303181">
        <w:t xml:space="preserve"> 2022</w:t>
      </w:r>
      <w:r w:rsidR="00402B91">
        <w:t xml:space="preserve">, when I re-opened the inquiry. </w:t>
      </w:r>
      <w:r w:rsidR="00D71036">
        <w:t xml:space="preserve">The inquiry then </w:t>
      </w:r>
      <w:proofErr w:type="gramStart"/>
      <w:r w:rsidR="00D71036">
        <w:t>continued on</w:t>
      </w:r>
      <w:proofErr w:type="gramEnd"/>
      <w:r w:rsidR="00D71036">
        <w:t xml:space="preserve"> 25</w:t>
      </w:r>
      <w:r w:rsidR="00065C03">
        <w:t>, 27 and 28 January</w:t>
      </w:r>
      <w:r w:rsidR="00DB6298">
        <w:t xml:space="preserve"> 2022</w:t>
      </w:r>
      <w:r w:rsidR="00065C03">
        <w:t>, and</w:t>
      </w:r>
      <w:r w:rsidR="00DB6298">
        <w:t>,</w:t>
      </w:r>
      <w:r w:rsidR="00065C03">
        <w:t xml:space="preserve"> after a further adjournment</w:t>
      </w:r>
      <w:r w:rsidR="00DB6298">
        <w:t>, on 15 March 2022.</w:t>
      </w:r>
    </w:p>
    <w:p w14:paraId="5422A246" w14:textId="6D46B0BA" w:rsidR="00AE5F6D" w:rsidRDefault="00AE5F6D" w:rsidP="00682BD2">
      <w:pPr>
        <w:pStyle w:val="Style1"/>
      </w:pPr>
      <w:r>
        <w:t xml:space="preserve">I </w:t>
      </w:r>
      <w:proofErr w:type="gramStart"/>
      <w:r>
        <w:t>made an inspection of</w:t>
      </w:r>
      <w:proofErr w:type="gramEnd"/>
      <w:r>
        <w:t xml:space="preserve"> the site on 17 March 2022 when I was able to view both the release land and the replacement land</w:t>
      </w:r>
      <w:r w:rsidR="009747F1">
        <w:t xml:space="preserve"> and other parts of the village green</w:t>
      </w:r>
      <w:r>
        <w:t xml:space="preserve">. I was accompanied at the inspection by representatives of </w:t>
      </w:r>
      <w:r w:rsidR="00F67C6D">
        <w:t>the applicant</w:t>
      </w:r>
      <w:r w:rsidR="00D76F19">
        <w:t>s</w:t>
      </w:r>
      <w:r w:rsidR="00F67C6D">
        <w:t xml:space="preserve"> and </w:t>
      </w:r>
      <w:r>
        <w:t>objectors.</w:t>
      </w:r>
    </w:p>
    <w:p w14:paraId="5ED920FA" w14:textId="77777777" w:rsidR="008D5994" w:rsidRDefault="008D5994" w:rsidP="008D5994">
      <w:pPr>
        <w:pStyle w:val="Long3"/>
        <w:rPr>
          <w:b w:val="0"/>
          <w:i w:val="0"/>
        </w:rPr>
      </w:pPr>
      <w:r>
        <w:t>The Release Land</w:t>
      </w:r>
    </w:p>
    <w:p w14:paraId="4AD30544" w14:textId="30E298CF" w:rsidR="008D5994" w:rsidRPr="00037E69" w:rsidRDefault="008D5994" w:rsidP="008D5994">
      <w:pPr>
        <w:pStyle w:val="Style1"/>
      </w:pPr>
      <w:r>
        <w:t>The release land comprises an area of 33,000m</w:t>
      </w:r>
      <w:r>
        <w:rPr>
          <w:vertAlign w:val="superscript"/>
        </w:rPr>
        <w:t>2</w:t>
      </w:r>
      <w:r>
        <w:t xml:space="preserve"> of the existing Woodcock Hill Village Green which slopes upwards from nort</w:t>
      </w:r>
      <w:r w:rsidR="00221840">
        <w:t>h</w:t>
      </w:r>
      <w:r>
        <w:t xml:space="preserve"> to south (shaded pink on the attached plan). It consists of rough grassland with scattered trees, </w:t>
      </w:r>
      <w:proofErr w:type="gramStart"/>
      <w:r>
        <w:t>shrubs</w:t>
      </w:r>
      <w:proofErr w:type="gramEnd"/>
      <w:r>
        <w:t xml:space="preserve"> and hedgerows with mown/worn footpaths.</w:t>
      </w:r>
    </w:p>
    <w:p w14:paraId="1C7DD181" w14:textId="77777777" w:rsidR="008D5994" w:rsidRDefault="008D5994" w:rsidP="008D5994">
      <w:pPr>
        <w:pStyle w:val="Long3"/>
        <w:rPr>
          <w:b w:val="0"/>
          <w:i w:val="0"/>
        </w:rPr>
      </w:pPr>
      <w:r>
        <w:lastRenderedPageBreak/>
        <w:t>The Replacement Land</w:t>
      </w:r>
    </w:p>
    <w:p w14:paraId="41335532" w14:textId="243A17C9" w:rsidR="007B64A8" w:rsidRDefault="008D5994" w:rsidP="008D5994">
      <w:pPr>
        <w:pStyle w:val="Style1"/>
      </w:pPr>
      <w:r>
        <w:t>The replacement land comprises 36,000m</w:t>
      </w:r>
      <w:r>
        <w:rPr>
          <w:vertAlign w:val="superscript"/>
        </w:rPr>
        <w:t>2</w:t>
      </w:r>
      <w:r>
        <w:t xml:space="preserve"> of land immediately to the west of the existing village green (shaded </w:t>
      </w:r>
      <w:r w:rsidR="00D76F19">
        <w:t>green</w:t>
      </w:r>
      <w:r>
        <w:t xml:space="preserve"> on the attached plan). It consists of grazed </w:t>
      </w:r>
      <w:proofErr w:type="gramStart"/>
      <w:r>
        <w:t>pasture land</w:t>
      </w:r>
      <w:proofErr w:type="gramEnd"/>
      <w:r>
        <w:t xml:space="preserve"> and woodland.</w:t>
      </w:r>
    </w:p>
    <w:p w14:paraId="7ABCA79F" w14:textId="77777777" w:rsidR="00E050A6" w:rsidRDefault="00E050A6" w:rsidP="00E050A6">
      <w:pPr>
        <w:pStyle w:val="Heading6"/>
      </w:pPr>
      <w:r>
        <w:t>The Application</w:t>
      </w:r>
    </w:p>
    <w:p w14:paraId="32776856" w14:textId="64F27456" w:rsidR="002D198C" w:rsidRDefault="00F37EDB" w:rsidP="002D198C">
      <w:pPr>
        <w:pStyle w:val="Style1"/>
      </w:pPr>
      <w:r>
        <w:t xml:space="preserve">The application is made </w:t>
      </w:r>
      <w:r w:rsidR="00D04603">
        <w:t>on behalf of Laing Homes</w:t>
      </w:r>
      <w:r>
        <w:t xml:space="preserve">, </w:t>
      </w:r>
      <w:r w:rsidR="00CF0916">
        <w:t xml:space="preserve">part of the Taylor Wimpey plc </w:t>
      </w:r>
      <w:r w:rsidR="00F9195C">
        <w:t>Group</w:t>
      </w:r>
      <w:r w:rsidR="00EE3EAA">
        <w:t xml:space="preserve"> (TW)</w:t>
      </w:r>
      <w:r w:rsidR="00F9195C">
        <w:t xml:space="preserve">, the </w:t>
      </w:r>
      <w:r>
        <w:t>owner of the release</w:t>
      </w:r>
      <w:r w:rsidR="00D166B1">
        <w:t xml:space="preserve"> land</w:t>
      </w:r>
      <w:r w:rsidR="00F9195C">
        <w:t>.</w:t>
      </w:r>
      <w:r w:rsidR="00D166B1">
        <w:t xml:space="preserve"> </w:t>
      </w:r>
      <w:r w:rsidR="00F9195C">
        <w:t>T</w:t>
      </w:r>
      <w:r w:rsidR="00D166B1">
        <w:t>he replacement land</w:t>
      </w:r>
      <w:r w:rsidR="00F9195C">
        <w:t xml:space="preserve"> is owned by third parties but held under contract b</w:t>
      </w:r>
      <w:r w:rsidR="00EE3EAA">
        <w:t>y TW</w:t>
      </w:r>
      <w:r w:rsidR="00821EA0">
        <w:t>. The stated</w:t>
      </w:r>
      <w:r w:rsidR="007248D2">
        <w:t xml:space="preserve"> </w:t>
      </w:r>
      <w:r w:rsidR="00821EA0">
        <w:t>purpose</w:t>
      </w:r>
      <w:r w:rsidR="00D166B1">
        <w:t xml:space="preserve"> of</w:t>
      </w:r>
      <w:r w:rsidR="007248D2">
        <w:t xml:space="preserve"> the application is to</w:t>
      </w:r>
      <w:r w:rsidR="004A5F08">
        <w:t xml:space="preserve"> provide </w:t>
      </w:r>
      <w:r w:rsidR="00E41A29">
        <w:t xml:space="preserve">a larger, more </w:t>
      </w:r>
      <w:proofErr w:type="gramStart"/>
      <w:r w:rsidR="00E41A29">
        <w:t>accessible</w:t>
      </w:r>
      <w:proofErr w:type="gramEnd"/>
      <w:r w:rsidR="00E41A29">
        <w:t xml:space="preserve"> and improved </w:t>
      </w:r>
      <w:r w:rsidR="007C630B">
        <w:t>v</w:t>
      </w:r>
      <w:r w:rsidR="00E41A29">
        <w:t xml:space="preserve">illage </w:t>
      </w:r>
      <w:r w:rsidR="007C630B">
        <w:t>g</w:t>
      </w:r>
      <w:r w:rsidR="00E41A29">
        <w:t>reen</w:t>
      </w:r>
      <w:r w:rsidR="00FD3BA0">
        <w:t xml:space="preserve"> on adjacent land</w:t>
      </w:r>
      <w:r w:rsidR="00D166B1">
        <w:t>.</w:t>
      </w:r>
      <w:r w:rsidR="0093225A">
        <w:t xml:space="preserve"> The applicant</w:t>
      </w:r>
      <w:r w:rsidR="0007142F">
        <w:t>s</w:t>
      </w:r>
      <w:r w:rsidR="0093225A">
        <w:t xml:space="preserve"> ha</w:t>
      </w:r>
      <w:r w:rsidR="0007142F">
        <w:t>ve</w:t>
      </w:r>
      <w:r w:rsidR="0093225A">
        <w:t xml:space="preserve"> made no secret of the fact that</w:t>
      </w:r>
      <w:r w:rsidR="0007142F">
        <w:t xml:space="preserve"> in due course they</w:t>
      </w:r>
      <w:r w:rsidR="00BD571B">
        <w:t xml:space="preserve"> may aspire to develop the release land for </w:t>
      </w:r>
      <w:r w:rsidR="00FC2126">
        <w:t>housing,</w:t>
      </w:r>
      <w:r w:rsidR="00E31917">
        <w:t xml:space="preserve"> but no proposals have yet been made nor any permission for </w:t>
      </w:r>
      <w:r w:rsidR="00F1495B">
        <w:t xml:space="preserve">such development sought. Should development proposals be </w:t>
      </w:r>
      <w:r w:rsidR="002C2DB5">
        <w:t>put forward in the future, these will be subject to</w:t>
      </w:r>
      <w:r w:rsidR="00A27914">
        <w:t xml:space="preserve"> a separate process</w:t>
      </w:r>
      <w:r w:rsidR="00291AA7">
        <w:t xml:space="preserve"> to assess their merits</w:t>
      </w:r>
      <w:r w:rsidR="00EE7D47">
        <w:t xml:space="preserve"> and the possibil</w:t>
      </w:r>
      <w:r w:rsidR="008A44C4">
        <w:t xml:space="preserve">ity of such proposals cannot and should not </w:t>
      </w:r>
      <w:r w:rsidR="006240B8">
        <w:t>affect consideration of the current application.</w:t>
      </w:r>
    </w:p>
    <w:p w14:paraId="17A8A385" w14:textId="3095092E" w:rsidR="000E7B5D" w:rsidRDefault="000E7B5D" w:rsidP="000E7B5D">
      <w:pPr>
        <w:pStyle w:val="Style1"/>
        <w:tabs>
          <w:tab w:val="clear" w:pos="720"/>
        </w:tabs>
      </w:pPr>
      <w:r>
        <w:t xml:space="preserve">On behalf of Hertsmere Borough Council (HBC) it is argued that the application is premature and, as it is government policy that development should be plan led, consideration of the alteration of the village green should not take place prior to the preparation of a </w:t>
      </w:r>
      <w:r w:rsidR="003923D3">
        <w:t xml:space="preserve">new </w:t>
      </w:r>
      <w:r>
        <w:t xml:space="preserve">local plan. On behalf of the applicants, it is argued that the planning process is separate from that under the Commons Act 2006 which contains nothing to suggest that an application for de-registration of a village green cannot be made at any time. This is in my view correct. Although the 2006 Act has now been amended </w:t>
      </w:r>
      <w:proofErr w:type="gramStart"/>
      <w:r>
        <w:t>so as to</w:t>
      </w:r>
      <w:proofErr w:type="gramEnd"/>
      <w:r>
        <w:t xml:space="preserve"> prevent the registration of village green status being used as a means to prevent development already proposed from taking place, this does not mean that consideration of the de-registration of village greens must await the preparation of local plan</w:t>
      </w:r>
      <w:r w:rsidR="004756EF">
        <w:t>s</w:t>
      </w:r>
      <w:r>
        <w:t xml:space="preserve"> or other development proposals. I also note that prior to the registration of the current village green in 2008, the proposed release land had been safeguarded for housing purposes in a 2003 local plan. Accordingly, its registration was itself </w:t>
      </w:r>
      <w:proofErr w:type="gramStart"/>
      <w:r>
        <w:t>not plan</w:t>
      </w:r>
      <w:proofErr w:type="gramEnd"/>
      <w:r>
        <w:t xml:space="preserve"> led.</w:t>
      </w:r>
    </w:p>
    <w:p w14:paraId="28531DBD" w14:textId="151B3364" w:rsidR="000E7B5D" w:rsidRDefault="000255F3" w:rsidP="002D198C">
      <w:pPr>
        <w:pStyle w:val="Style1"/>
      </w:pPr>
      <w:r>
        <w:t xml:space="preserve">During the inquiry some doubt </w:t>
      </w:r>
      <w:r w:rsidR="00DD6FC4">
        <w:t xml:space="preserve">was raised regarding whether the preparation of a new local plan was </w:t>
      </w:r>
      <w:r w:rsidR="004756EF">
        <w:t xml:space="preserve">still </w:t>
      </w:r>
      <w:r w:rsidR="00361A4B">
        <w:t>being pursued</w:t>
      </w:r>
      <w:r w:rsidR="003539AE">
        <w:t xml:space="preserve">. In the light of </w:t>
      </w:r>
      <w:r w:rsidR="0029255A">
        <w:t>the above, I do not think this affects consideration of the current application in any way.</w:t>
      </w:r>
      <w:r w:rsidR="00FE6A8C">
        <w:t xml:space="preserve"> If the application is approved and at some future date a proposal is made for the development of the release land</w:t>
      </w:r>
      <w:r w:rsidR="00932C51">
        <w:t xml:space="preserve">, this will be a matter for HBC itself to consider taking account of </w:t>
      </w:r>
      <w:r w:rsidR="00A559CB">
        <w:t xml:space="preserve">appropriate </w:t>
      </w:r>
      <w:r w:rsidR="00EC1CA1">
        <w:t xml:space="preserve">matters </w:t>
      </w:r>
      <w:r w:rsidR="00A559CB">
        <w:t>set out in other legislation</w:t>
      </w:r>
      <w:r w:rsidR="00EC1CA1">
        <w:t xml:space="preserve"> and </w:t>
      </w:r>
      <w:r w:rsidR="001B4E03">
        <w:t xml:space="preserve">in any local plan then </w:t>
      </w:r>
      <w:r w:rsidR="00A140B3">
        <w:t xml:space="preserve">in place. </w:t>
      </w:r>
      <w:r w:rsidR="00EC1CA1">
        <w:t>I see no reason why such consideration would be prejudiced in any way by</w:t>
      </w:r>
      <w:r w:rsidR="0099262A">
        <w:t xml:space="preserve"> the de-registration of the release land.</w:t>
      </w:r>
    </w:p>
    <w:p w14:paraId="009B6CFF" w14:textId="286220D6" w:rsidR="00EA4A7B" w:rsidRDefault="00FB09D8" w:rsidP="002D198C">
      <w:pPr>
        <w:pStyle w:val="Style1"/>
      </w:pPr>
      <w:r>
        <w:t>In conjunction with the application</w:t>
      </w:r>
      <w:r w:rsidR="004127F6">
        <w:t>, if approved, the applicants have undertaken to carry out imp</w:t>
      </w:r>
      <w:r w:rsidR="00D2635B">
        <w:t xml:space="preserve">rovements to a further </w:t>
      </w:r>
      <w:r w:rsidR="00EC3746">
        <w:t>24,00</w:t>
      </w:r>
      <w:r w:rsidR="00A83329">
        <w:t>0</w:t>
      </w:r>
      <w:r w:rsidR="00EC3746">
        <w:t>m</w:t>
      </w:r>
      <w:r w:rsidR="00EC3746">
        <w:rPr>
          <w:vertAlign w:val="superscript"/>
        </w:rPr>
        <w:t xml:space="preserve">2 </w:t>
      </w:r>
      <w:r w:rsidR="00D2635B">
        <w:t>area of the existing Village Green</w:t>
      </w:r>
      <w:r w:rsidR="000C05D6">
        <w:t xml:space="preserve"> within their ownership but outside the proposed release land</w:t>
      </w:r>
      <w:r w:rsidR="00EC3746">
        <w:t>.</w:t>
      </w:r>
      <w:r w:rsidR="00E32187">
        <w:t xml:space="preserve"> This land is referred to as the</w:t>
      </w:r>
      <w:r w:rsidR="00EF6698">
        <w:t xml:space="preserve"> ‘improvement land’</w:t>
      </w:r>
      <w:r w:rsidR="00EC6E7D">
        <w:t xml:space="preserve"> and is shaded yellow on the attached plan</w:t>
      </w:r>
      <w:r w:rsidR="00EF6698">
        <w:t>.</w:t>
      </w:r>
    </w:p>
    <w:p w14:paraId="6E2B6025" w14:textId="4E12BE22" w:rsidR="00B04BF8" w:rsidRDefault="00B04BF8" w:rsidP="002D198C">
      <w:pPr>
        <w:pStyle w:val="Style1"/>
      </w:pPr>
      <w:r>
        <w:t xml:space="preserve">A further </w:t>
      </w:r>
      <w:r w:rsidR="00A83329">
        <w:t>43</w:t>
      </w:r>
      <w:r w:rsidR="001E4D73">
        <w:t>,</w:t>
      </w:r>
      <w:r w:rsidR="00A83329">
        <w:t>0</w:t>
      </w:r>
      <w:r w:rsidR="001E4D73">
        <w:t>00m</w:t>
      </w:r>
      <w:r w:rsidR="001E4D73">
        <w:rPr>
          <w:vertAlign w:val="superscript"/>
        </w:rPr>
        <w:t xml:space="preserve">2 </w:t>
      </w:r>
      <w:r>
        <w:t>area of the existing Village Green</w:t>
      </w:r>
      <w:r w:rsidR="00A83329">
        <w:t xml:space="preserve"> is unaffected by the application (shaded blue on the attached plan).</w:t>
      </w:r>
    </w:p>
    <w:p w14:paraId="4A9E5CF3" w14:textId="7A015221" w:rsidR="00D56344" w:rsidRDefault="00B21D9A" w:rsidP="00D56344">
      <w:pPr>
        <w:pStyle w:val="Style1"/>
      </w:pPr>
      <w:r>
        <w:lastRenderedPageBreak/>
        <w:t>I</w:t>
      </w:r>
      <w:r w:rsidR="00B75CD5">
        <w:t xml:space="preserve">n association with the application, the applicants, along with </w:t>
      </w:r>
      <w:r w:rsidR="00AC45B7">
        <w:t xml:space="preserve">the </w:t>
      </w:r>
      <w:r w:rsidR="00B75CD5">
        <w:t xml:space="preserve">other current owners of the replacement land, </w:t>
      </w:r>
      <w:r w:rsidR="00834906">
        <w:t xml:space="preserve">have submitted a Planning Obligation by way of a Unilateral Undertaking. </w:t>
      </w:r>
      <w:r w:rsidR="007C6AF9">
        <w:t>This would come into</w:t>
      </w:r>
      <w:r w:rsidR="00834906">
        <w:t xml:space="preserve"> effect </w:t>
      </w:r>
      <w:r w:rsidR="007C6AF9">
        <w:t xml:space="preserve">on </w:t>
      </w:r>
      <w:r w:rsidR="00D56344">
        <w:t>t</w:t>
      </w:r>
      <w:r w:rsidR="007C6AF9">
        <w:t>he approval of the application and bind the applicants</w:t>
      </w:r>
      <w:r w:rsidR="00D56344">
        <w:t>:</w:t>
      </w:r>
    </w:p>
    <w:p w14:paraId="228D84C3" w14:textId="3C2FD770" w:rsidR="00D56344" w:rsidRDefault="00D56344" w:rsidP="00D56344">
      <w:pPr>
        <w:pStyle w:val="Style1"/>
        <w:numPr>
          <w:ilvl w:val="0"/>
          <w:numId w:val="0"/>
        </w:numPr>
        <w:ind w:left="432"/>
      </w:pPr>
      <w:r>
        <w:tab/>
        <w:t>-</w:t>
      </w:r>
      <w:r w:rsidR="007C6AF9">
        <w:t xml:space="preserve"> to carry out proposed improvement works on the replacement land and the </w:t>
      </w:r>
      <w:r>
        <w:t xml:space="preserve">  </w:t>
      </w:r>
      <w:r w:rsidR="007C6AF9">
        <w:t>improvement land within 18 months</w:t>
      </w:r>
      <w:r>
        <w:t>;</w:t>
      </w:r>
      <w:r w:rsidR="007C6AF9">
        <w:t xml:space="preserve"> </w:t>
      </w:r>
      <w:r w:rsidR="004E2761">
        <w:t>and</w:t>
      </w:r>
    </w:p>
    <w:p w14:paraId="1BE6961E" w14:textId="13DF5DAA" w:rsidR="005E18C5" w:rsidRPr="005E18C5" w:rsidRDefault="00D56344" w:rsidP="0045447D">
      <w:pPr>
        <w:pStyle w:val="Style1"/>
        <w:numPr>
          <w:ilvl w:val="0"/>
          <w:numId w:val="0"/>
        </w:numPr>
        <w:ind w:left="432"/>
      </w:pPr>
      <w:r>
        <w:tab/>
        <w:t xml:space="preserve">- </w:t>
      </w:r>
      <w:r w:rsidR="007C6AF9">
        <w:t>to establish</w:t>
      </w:r>
      <w:r>
        <w:t>,</w:t>
      </w:r>
      <w:r w:rsidR="007C6AF9">
        <w:t xml:space="preserve"> </w:t>
      </w:r>
      <w:r>
        <w:t xml:space="preserve">within 1 year of the approval date, </w:t>
      </w:r>
      <w:r w:rsidR="007C6AF9">
        <w:t>a management company</w:t>
      </w:r>
      <w:r w:rsidR="005D5D30">
        <w:t xml:space="preserve"> with a long lease (999 years) over land to be improved. This company</w:t>
      </w:r>
      <w:r w:rsidR="007C6AF9">
        <w:t xml:space="preserve"> to be responsible</w:t>
      </w:r>
      <w:r>
        <w:t xml:space="preserve"> for management and maintenance works over a period of 15 years funded by a contribution of £370,000 from the applicants and payable in 4 instalments. The management company</w:t>
      </w:r>
      <w:r w:rsidR="006F1DC5">
        <w:t xml:space="preserve"> also to establish a Village Green Committee to liaise with the company in the delivery of management and maintenance and to carry out at its discretion continued managemen</w:t>
      </w:r>
      <w:r w:rsidR="004D1C03">
        <w:t xml:space="preserve">t and maintenance after the end of the </w:t>
      </w:r>
      <w:proofErr w:type="gramStart"/>
      <w:r w:rsidR="004D1C03">
        <w:t>15 year</w:t>
      </w:r>
      <w:proofErr w:type="gramEnd"/>
      <w:r w:rsidR="004D1C03">
        <w:t xml:space="preserve"> period</w:t>
      </w:r>
      <w:r w:rsidR="004E2761">
        <w:t>.</w:t>
      </w:r>
    </w:p>
    <w:p w14:paraId="7819CD71" w14:textId="77777777" w:rsidR="00E050A6" w:rsidRDefault="00E050A6" w:rsidP="00E050A6">
      <w:pPr>
        <w:pStyle w:val="Heading6"/>
      </w:pPr>
      <w:r>
        <w:t>The Statutory Requirements</w:t>
      </w:r>
    </w:p>
    <w:p w14:paraId="10EB725F" w14:textId="77777777" w:rsidR="00E050A6" w:rsidRDefault="00E050A6" w:rsidP="00E050A6">
      <w:pPr>
        <w:pStyle w:val="Style1"/>
      </w:pPr>
      <w:r>
        <w:t>I am required by Section 16(6) of the 2006 Act to have regard to the following in determining this application:</w:t>
      </w:r>
    </w:p>
    <w:p w14:paraId="338F65FA" w14:textId="77777777" w:rsidR="00E050A6" w:rsidRDefault="00E050A6" w:rsidP="00E050A6">
      <w:pPr>
        <w:pStyle w:val="Style1"/>
        <w:numPr>
          <w:ilvl w:val="0"/>
          <w:numId w:val="9"/>
        </w:numPr>
        <w:tabs>
          <w:tab w:val="clear" w:pos="2292"/>
          <w:tab w:val="num" w:pos="1440"/>
        </w:tabs>
        <w:ind w:left="1440"/>
      </w:pPr>
      <w:r>
        <w:t xml:space="preserve">the interests of persons having rights in relation to, or occupying, the release </w:t>
      </w:r>
      <w:proofErr w:type="gramStart"/>
      <w:r>
        <w:t>land;</w:t>
      </w:r>
      <w:proofErr w:type="gramEnd"/>
    </w:p>
    <w:p w14:paraId="1F47FBE4" w14:textId="77777777" w:rsidR="00E050A6" w:rsidRDefault="00E050A6" w:rsidP="00E050A6">
      <w:pPr>
        <w:pStyle w:val="Style1"/>
        <w:numPr>
          <w:ilvl w:val="0"/>
          <w:numId w:val="9"/>
        </w:numPr>
        <w:tabs>
          <w:tab w:val="clear" w:pos="2292"/>
          <w:tab w:val="num" w:pos="1440"/>
        </w:tabs>
        <w:ind w:left="1440"/>
      </w:pPr>
      <w:r>
        <w:t xml:space="preserve">the interests of the </w:t>
      </w:r>
      <w:proofErr w:type="gramStart"/>
      <w:r>
        <w:t>neighbourhood;</w:t>
      </w:r>
      <w:proofErr w:type="gramEnd"/>
    </w:p>
    <w:p w14:paraId="27972C07" w14:textId="77777777" w:rsidR="00E050A6" w:rsidRDefault="00E050A6" w:rsidP="00E050A6">
      <w:pPr>
        <w:pStyle w:val="Style1"/>
        <w:numPr>
          <w:ilvl w:val="0"/>
          <w:numId w:val="9"/>
        </w:numPr>
        <w:tabs>
          <w:tab w:val="clear" w:pos="2292"/>
          <w:tab w:val="num" w:pos="1440"/>
        </w:tabs>
        <w:ind w:left="1440"/>
      </w:pPr>
      <w:r>
        <w:t>the public interest;</w:t>
      </w:r>
      <w:r>
        <w:rPr>
          <w:rStyle w:val="FootnoteReference"/>
        </w:rPr>
        <w:footnoteReference w:id="1"/>
      </w:r>
    </w:p>
    <w:p w14:paraId="6D80C5FB" w14:textId="77777777" w:rsidR="00E050A6" w:rsidRDefault="00E050A6" w:rsidP="00E050A6">
      <w:pPr>
        <w:pStyle w:val="Style1"/>
        <w:numPr>
          <w:ilvl w:val="0"/>
          <w:numId w:val="9"/>
        </w:numPr>
        <w:tabs>
          <w:tab w:val="clear" w:pos="2292"/>
          <w:tab w:val="num" w:pos="1440"/>
        </w:tabs>
        <w:ind w:left="1440"/>
      </w:pPr>
      <w:r>
        <w:t>any other matter considered to be relevant.</w:t>
      </w:r>
    </w:p>
    <w:p w14:paraId="00382C4B" w14:textId="77777777" w:rsidR="00E050A6" w:rsidRDefault="00E050A6" w:rsidP="00AE36CF">
      <w:pPr>
        <w:pStyle w:val="Style1"/>
      </w:pPr>
      <w:r>
        <w:t>I will also have regard to published guidance in relation to the determination of applications under Section 16</w:t>
      </w:r>
      <w:r>
        <w:rPr>
          <w:rStyle w:val="FootnoteReference"/>
        </w:rPr>
        <w:footnoteReference w:id="2"/>
      </w:r>
      <w:r>
        <w:t>.</w:t>
      </w:r>
    </w:p>
    <w:p w14:paraId="775C5A89" w14:textId="77777777" w:rsidR="00AE36CF" w:rsidRDefault="00AE36CF" w:rsidP="00AE36CF">
      <w:pPr>
        <w:pStyle w:val="Heading6"/>
      </w:pPr>
      <w:r>
        <w:t>Assessment</w:t>
      </w:r>
    </w:p>
    <w:p w14:paraId="2D0A2E1F" w14:textId="77777777" w:rsidR="00AE36CF" w:rsidRDefault="00AE36CF" w:rsidP="00AE36CF">
      <w:pPr>
        <w:pStyle w:val="Long3"/>
        <w:rPr>
          <w:b w:val="0"/>
          <w:i w:val="0"/>
        </w:rPr>
      </w:pPr>
      <w:r>
        <w:t>The interests of persons occupying or having rights in relation to the release land</w:t>
      </w:r>
    </w:p>
    <w:p w14:paraId="7A98219E" w14:textId="75E93CA4" w:rsidR="00D90C68" w:rsidRDefault="00293B05" w:rsidP="00293B05">
      <w:pPr>
        <w:pStyle w:val="Style1"/>
      </w:pPr>
      <w:r>
        <w:t>The release land is owned by</w:t>
      </w:r>
      <w:r w:rsidR="00110A02">
        <w:t xml:space="preserve"> Laing Homes</w:t>
      </w:r>
      <w:r w:rsidR="00142613">
        <w:t xml:space="preserve"> (TW)</w:t>
      </w:r>
      <w:r>
        <w:t>, the applicant</w:t>
      </w:r>
      <w:r w:rsidR="00FE3685">
        <w:t>s</w:t>
      </w:r>
      <w:r>
        <w:t xml:space="preserve">. There are no </w:t>
      </w:r>
      <w:r w:rsidR="00FA7CBB">
        <w:t>registered</w:t>
      </w:r>
      <w:r w:rsidR="00BD0AB9">
        <w:t xml:space="preserve"> </w:t>
      </w:r>
      <w:r>
        <w:t xml:space="preserve">rights </w:t>
      </w:r>
      <w:r w:rsidR="00FA7CBB">
        <w:t xml:space="preserve">of common </w:t>
      </w:r>
      <w:r>
        <w:t xml:space="preserve">over it. </w:t>
      </w:r>
      <w:r w:rsidR="00E46EEE">
        <w:t xml:space="preserve">The public have the right to access the land </w:t>
      </w:r>
      <w:r w:rsidR="004E50E3">
        <w:t>for the purpose of lawful sports and pastimes</w:t>
      </w:r>
      <w:r w:rsidR="007F2B45">
        <w:t xml:space="preserve"> and the effect of the application</w:t>
      </w:r>
      <w:r w:rsidR="00FE060B">
        <w:t xml:space="preserve"> on the interests of the public are considered later.</w:t>
      </w:r>
    </w:p>
    <w:p w14:paraId="176CE4DE" w14:textId="77777777" w:rsidR="00AE36CF" w:rsidRDefault="00AE36CF" w:rsidP="00AE36CF">
      <w:pPr>
        <w:pStyle w:val="Long3"/>
      </w:pPr>
      <w:r>
        <w:t>The interests of the neighbourhood</w:t>
      </w:r>
    </w:p>
    <w:p w14:paraId="4794E021" w14:textId="77777777" w:rsidR="00AE36CF" w:rsidRDefault="00AE36CF" w:rsidP="00AE36CF">
      <w:pPr>
        <w:pStyle w:val="Style1"/>
        <w:tabs>
          <w:tab w:val="clear" w:pos="720"/>
        </w:tabs>
      </w:pPr>
      <w:r>
        <w:t>The 2006 Act does not define the term ‘neighbourhood’.</w:t>
      </w:r>
      <w:r w:rsidR="00D90C68">
        <w:t xml:space="preserve"> However, published guidance</w:t>
      </w:r>
      <w:r w:rsidR="00D90C68">
        <w:rPr>
          <w:rStyle w:val="FootnoteReference"/>
        </w:rPr>
        <w:footnoteReference w:id="3"/>
      </w:r>
      <w:r w:rsidR="00D90C68">
        <w:t xml:space="preserve"> makes it clear that the term should be taken to refer to the local inhabitants.</w:t>
      </w:r>
    </w:p>
    <w:p w14:paraId="356736C5" w14:textId="293430C6" w:rsidR="00D90C68" w:rsidRDefault="00D90C68" w:rsidP="00AE36CF">
      <w:pPr>
        <w:pStyle w:val="Style1"/>
        <w:tabs>
          <w:tab w:val="clear" w:pos="720"/>
        </w:tabs>
      </w:pPr>
      <w:r>
        <w:lastRenderedPageBreak/>
        <w:t xml:space="preserve">In this case, the </w:t>
      </w:r>
      <w:r w:rsidR="002A4D05">
        <w:t xml:space="preserve">neighbourhood of the existing </w:t>
      </w:r>
      <w:r w:rsidR="00FE3685">
        <w:t>v</w:t>
      </w:r>
      <w:r w:rsidR="002A4D05">
        <w:t xml:space="preserve">illage </w:t>
      </w:r>
      <w:r w:rsidR="00FE3685">
        <w:t>g</w:t>
      </w:r>
      <w:r w:rsidR="002A4D05">
        <w:t xml:space="preserve">reen was precisely defined </w:t>
      </w:r>
      <w:r w:rsidR="003869FF">
        <w:t>prior to</w:t>
      </w:r>
      <w:r w:rsidR="00A866A5">
        <w:t xml:space="preserve"> its registration</w:t>
      </w:r>
      <w:r w:rsidR="00EA24BC">
        <w:t xml:space="preserve"> in 2008</w:t>
      </w:r>
      <w:r w:rsidR="00A866A5">
        <w:t>.</w:t>
      </w:r>
      <w:r w:rsidR="0031349E">
        <w:t xml:space="preserve"> </w:t>
      </w:r>
      <w:r w:rsidR="005609E4">
        <w:t xml:space="preserve">This consisted of properties in </w:t>
      </w:r>
      <w:r w:rsidR="00B86FF0">
        <w:t xml:space="preserve">specified </w:t>
      </w:r>
      <w:r w:rsidR="00F0141F">
        <w:t xml:space="preserve">streets to the north and east of the </w:t>
      </w:r>
      <w:r w:rsidR="00CF6844">
        <w:t>g</w:t>
      </w:r>
      <w:r w:rsidR="00F0141F">
        <w:t>reen.</w:t>
      </w:r>
    </w:p>
    <w:p w14:paraId="508905DA" w14:textId="752E1DCB" w:rsidR="00AE437D" w:rsidRDefault="00305EE4" w:rsidP="00565CB9">
      <w:pPr>
        <w:pStyle w:val="Style1"/>
        <w:tabs>
          <w:tab w:val="clear" w:pos="720"/>
        </w:tabs>
      </w:pPr>
      <w:r>
        <w:t xml:space="preserve">The </w:t>
      </w:r>
      <w:r w:rsidR="00CF6844">
        <w:t>v</w:t>
      </w:r>
      <w:r>
        <w:t xml:space="preserve">illage </w:t>
      </w:r>
      <w:r w:rsidR="00CF6844">
        <w:t>g</w:t>
      </w:r>
      <w:r>
        <w:t>reen was registered on the basis that it had been used</w:t>
      </w:r>
      <w:r w:rsidR="00B277E6">
        <w:t xml:space="preserve"> by </w:t>
      </w:r>
      <w:r w:rsidR="00855996">
        <w:t xml:space="preserve">inhabitants of the neighbourhood </w:t>
      </w:r>
      <w:r w:rsidR="005C5FEC">
        <w:t xml:space="preserve">for lawful sports and pastimes </w:t>
      </w:r>
      <w:r w:rsidR="00855996">
        <w:t xml:space="preserve">for a period of </w:t>
      </w:r>
      <w:r w:rsidR="00E95809">
        <w:t xml:space="preserve">20 years prior to 1 </w:t>
      </w:r>
      <w:r w:rsidR="005C5FEC">
        <w:t>D</w:t>
      </w:r>
      <w:r w:rsidR="00E95809">
        <w:t>ecember 2001</w:t>
      </w:r>
      <w:r w:rsidR="005C5FEC">
        <w:t>. In practice</w:t>
      </w:r>
      <w:r w:rsidR="00171FEE">
        <w:t>,</w:t>
      </w:r>
      <w:r w:rsidR="005C5FEC">
        <w:t xml:space="preserve"> it was noted that the main use of the </w:t>
      </w:r>
      <w:r w:rsidR="004937A1">
        <w:t>land had been for walking, including walking</w:t>
      </w:r>
      <w:r w:rsidR="0000627F">
        <w:t xml:space="preserve"> with dogs and/or children.</w:t>
      </w:r>
    </w:p>
    <w:p w14:paraId="67E90204" w14:textId="2B2C604F" w:rsidR="00832422" w:rsidRDefault="00FF1A0C" w:rsidP="00AE36CF">
      <w:pPr>
        <w:pStyle w:val="Style1"/>
        <w:tabs>
          <w:tab w:val="clear" w:pos="720"/>
        </w:tabs>
      </w:pPr>
      <w:r>
        <w:t xml:space="preserve">Since the registration of the </w:t>
      </w:r>
      <w:r w:rsidR="00CF6844">
        <w:t>v</w:t>
      </w:r>
      <w:r w:rsidR="00460F91">
        <w:t xml:space="preserve">illage </w:t>
      </w:r>
      <w:r w:rsidR="00CF6844">
        <w:t>g</w:t>
      </w:r>
      <w:r>
        <w:t xml:space="preserve">reen, </w:t>
      </w:r>
      <w:r w:rsidR="00CA05F2">
        <w:t xml:space="preserve">volunteers from </w:t>
      </w:r>
      <w:r>
        <w:t>t</w:t>
      </w:r>
      <w:r w:rsidR="003224BE">
        <w:t>he local community</w:t>
      </w:r>
      <w:r w:rsidR="00144F36">
        <w:t xml:space="preserve">, coordinated by the Woodcock Hill Village Green </w:t>
      </w:r>
      <w:r w:rsidR="001B6CBD">
        <w:t>Society (WHVGS</w:t>
      </w:r>
      <w:r w:rsidR="0078637B">
        <w:t>)</w:t>
      </w:r>
      <w:r w:rsidR="00144F36">
        <w:t>,</w:t>
      </w:r>
      <w:r w:rsidR="00500236">
        <w:t xml:space="preserve"> ha</w:t>
      </w:r>
      <w:r w:rsidR="00DA74B2">
        <w:t>ve</w:t>
      </w:r>
      <w:r w:rsidR="00500236">
        <w:t xml:space="preserve"> carried out maint</w:t>
      </w:r>
      <w:r w:rsidR="00C12066">
        <w:t>enance and improvement work on the green</w:t>
      </w:r>
      <w:r w:rsidR="00460F91">
        <w:t xml:space="preserve">. </w:t>
      </w:r>
      <w:proofErr w:type="gramStart"/>
      <w:r w:rsidR="00B25BC5">
        <w:t>With regard to</w:t>
      </w:r>
      <w:proofErr w:type="gramEnd"/>
      <w:r w:rsidR="00B25BC5">
        <w:t xml:space="preserve"> the proposed release land and improvement land</w:t>
      </w:r>
      <w:r w:rsidR="005F15A3">
        <w:t>, t</w:t>
      </w:r>
      <w:r w:rsidR="00460F91">
        <w:t xml:space="preserve">his has included </w:t>
      </w:r>
      <w:r w:rsidR="005F15A3">
        <w:t xml:space="preserve">the clearance of brambles and scrub to keep footpaths </w:t>
      </w:r>
      <w:r w:rsidR="003C4DC3">
        <w:t>open, planting of trees, excavation of ponds and the placing of benches</w:t>
      </w:r>
      <w:r w:rsidR="004065FA">
        <w:t xml:space="preserve"> along with fund raising to </w:t>
      </w:r>
      <w:r w:rsidR="00832422">
        <w:t>support these activities</w:t>
      </w:r>
      <w:r w:rsidR="003C4DC3">
        <w:t>.</w:t>
      </w:r>
      <w:r w:rsidR="007351FD">
        <w:t xml:space="preserve"> </w:t>
      </w:r>
      <w:r w:rsidR="00832422">
        <w:t>The WHV</w:t>
      </w:r>
      <w:r w:rsidR="00FA78CF">
        <w:t>G</w:t>
      </w:r>
      <w:r w:rsidR="00832422">
        <w:t>S</w:t>
      </w:r>
      <w:r w:rsidR="000A03BE">
        <w:t xml:space="preserve"> was said to have members from 300 households</w:t>
      </w:r>
      <w:r w:rsidR="00AD1491">
        <w:t>, predominantly within the defined neighbourhood</w:t>
      </w:r>
      <w:r w:rsidR="0093044E">
        <w:t xml:space="preserve">, who </w:t>
      </w:r>
      <w:r w:rsidR="00E43F0A">
        <w:t xml:space="preserve">each </w:t>
      </w:r>
      <w:r w:rsidR="0093044E">
        <w:t xml:space="preserve">paid </w:t>
      </w:r>
      <w:r w:rsidR="001B450D">
        <w:t xml:space="preserve">a </w:t>
      </w:r>
      <w:r w:rsidR="0093044E">
        <w:t>£5 per annum</w:t>
      </w:r>
      <w:r w:rsidR="001B450D">
        <w:t xml:space="preserve"> membership fee.</w:t>
      </w:r>
    </w:p>
    <w:p w14:paraId="6EB61994" w14:textId="1666C998" w:rsidR="00886645" w:rsidRDefault="00832422" w:rsidP="00AE36CF">
      <w:pPr>
        <w:pStyle w:val="Style1"/>
        <w:tabs>
          <w:tab w:val="clear" w:pos="720"/>
        </w:tabs>
      </w:pPr>
      <w:r>
        <w:t>P</w:t>
      </w:r>
      <w:r w:rsidR="00D579D7">
        <w:t xml:space="preserve">rior to 2018 </w:t>
      </w:r>
      <w:r w:rsidR="00234A42">
        <w:t xml:space="preserve">most of </w:t>
      </w:r>
      <w:r w:rsidR="00D579D7">
        <w:t xml:space="preserve">this work </w:t>
      </w:r>
      <w:r w:rsidR="001B450D">
        <w:t>by the WHV</w:t>
      </w:r>
      <w:r w:rsidR="00FA78CF">
        <w:t xml:space="preserve">GS </w:t>
      </w:r>
      <w:r w:rsidR="00D579D7">
        <w:t>was carried out with</w:t>
      </w:r>
      <w:r w:rsidR="00234A42">
        <w:t xml:space="preserve"> the permission of the landowner</w:t>
      </w:r>
      <w:r w:rsidR="00495719">
        <w:t>, the current applicant</w:t>
      </w:r>
      <w:r w:rsidR="00F3704A">
        <w:t>s</w:t>
      </w:r>
      <w:r w:rsidR="00495719">
        <w:t xml:space="preserve">, but permission was withdrawn in 2018 and since </w:t>
      </w:r>
      <w:r w:rsidR="00BD05F9">
        <w:t>then little or no work has been carried out.</w:t>
      </w:r>
    </w:p>
    <w:p w14:paraId="016663EA" w14:textId="7960F26A" w:rsidR="00961285" w:rsidRDefault="008719EA" w:rsidP="00AE36CF">
      <w:pPr>
        <w:pStyle w:val="Style1"/>
        <w:tabs>
          <w:tab w:val="clear" w:pos="720"/>
        </w:tabs>
      </w:pPr>
      <w:proofErr w:type="gramStart"/>
      <w:r>
        <w:t>It is clear that</w:t>
      </w:r>
      <w:r w:rsidR="00AD3E30">
        <w:t xml:space="preserve"> residents</w:t>
      </w:r>
      <w:proofErr w:type="gramEnd"/>
      <w:r w:rsidR="00AD3E30">
        <w:t xml:space="preserve"> of the neighbourhood greatly value the </w:t>
      </w:r>
      <w:r w:rsidR="00F3704A">
        <w:t>v</w:t>
      </w:r>
      <w:r w:rsidR="00AD3E30">
        <w:t>illag</w:t>
      </w:r>
      <w:r w:rsidR="000761C1">
        <w:t xml:space="preserve">e </w:t>
      </w:r>
      <w:r w:rsidR="00F3704A">
        <w:t>g</w:t>
      </w:r>
      <w:r w:rsidR="000761C1">
        <w:t xml:space="preserve">reen and have invested considerable time and effort into its maintenance and improvement over a lengthy period. </w:t>
      </w:r>
      <w:r w:rsidR="009C33AA">
        <w:t>Accordingly, it is understandable that</w:t>
      </w:r>
      <w:r w:rsidR="00863DC6">
        <w:t xml:space="preserve"> the prospect of </w:t>
      </w:r>
      <w:r w:rsidR="00817911">
        <w:t xml:space="preserve">the results of </w:t>
      </w:r>
      <w:r w:rsidR="00863DC6">
        <w:t>their efforts</w:t>
      </w:r>
      <w:r w:rsidR="0095421D">
        <w:t xml:space="preserve"> being lost in so far as the release land is concerned</w:t>
      </w:r>
      <w:r w:rsidR="00277CFE">
        <w:t xml:space="preserve"> is </w:t>
      </w:r>
      <w:r w:rsidR="008B3BEF">
        <w:t xml:space="preserve">regarded as </w:t>
      </w:r>
      <w:r w:rsidR="00277CFE">
        <w:t>a cause for concern</w:t>
      </w:r>
      <w:r w:rsidR="00A573C9">
        <w:t xml:space="preserve"> and </w:t>
      </w:r>
      <w:r w:rsidR="008B3BEF">
        <w:t>reason for opposing</w:t>
      </w:r>
      <w:r w:rsidR="00A573C9">
        <w:t xml:space="preserve"> the approval of the applica</w:t>
      </w:r>
      <w:r w:rsidR="004510CD">
        <w:t>tion.</w:t>
      </w:r>
      <w:r w:rsidR="00C41793">
        <w:t xml:space="preserve"> Although it is proposed that the </w:t>
      </w:r>
      <w:r w:rsidR="00CD42F8">
        <w:t>Village Green Committee to be established by the managem</w:t>
      </w:r>
      <w:r w:rsidR="007E4632">
        <w:t xml:space="preserve">ent company </w:t>
      </w:r>
      <w:r w:rsidR="008D619C">
        <w:t>which will</w:t>
      </w:r>
      <w:r w:rsidR="007E4632">
        <w:t xml:space="preserve"> be responsible for the </w:t>
      </w:r>
      <w:r w:rsidR="003B6FF8">
        <w:t xml:space="preserve">future </w:t>
      </w:r>
      <w:r w:rsidR="007E4632">
        <w:t xml:space="preserve">maintenance of the </w:t>
      </w:r>
      <w:r w:rsidR="004F68D8">
        <w:t>land to be improved if the application is approved should include representatives of the</w:t>
      </w:r>
      <w:r w:rsidR="00944264">
        <w:t xml:space="preserve"> </w:t>
      </w:r>
      <w:r w:rsidR="004F68D8">
        <w:t>local community</w:t>
      </w:r>
      <w:r w:rsidR="00944264">
        <w:t xml:space="preserve">, this </w:t>
      </w:r>
      <w:r w:rsidR="008D619C">
        <w:t>i</w:t>
      </w:r>
      <w:r w:rsidR="00944264">
        <w:t>s not regarded</w:t>
      </w:r>
      <w:r w:rsidR="00820E5A">
        <w:t xml:space="preserve"> as adequate compensation.</w:t>
      </w:r>
    </w:p>
    <w:p w14:paraId="7A1BF7C7" w14:textId="5516F501" w:rsidR="004510CD" w:rsidRDefault="00F254FB" w:rsidP="00AE36CF">
      <w:pPr>
        <w:pStyle w:val="Style1"/>
        <w:tabs>
          <w:tab w:val="clear" w:pos="720"/>
        </w:tabs>
      </w:pPr>
      <w:r>
        <w:t>The release land</w:t>
      </w:r>
      <w:r w:rsidR="00681E86">
        <w:t xml:space="preserve"> is the northernmost and lowest lying part of the existing </w:t>
      </w:r>
      <w:r w:rsidR="008D619C">
        <w:t>v</w:t>
      </w:r>
      <w:r w:rsidR="00681E86">
        <w:t xml:space="preserve">illage </w:t>
      </w:r>
      <w:r w:rsidR="008D619C">
        <w:t>g</w:t>
      </w:r>
      <w:r w:rsidR="00681E86">
        <w:t>reen</w:t>
      </w:r>
      <w:r w:rsidR="0031442F">
        <w:t xml:space="preserve"> and is overlooked by</w:t>
      </w:r>
      <w:r w:rsidR="00C713D6">
        <w:t xml:space="preserve"> adjacent residential development</w:t>
      </w:r>
      <w:r w:rsidR="003068E1">
        <w:t xml:space="preserve">. On my visit it </w:t>
      </w:r>
      <w:r w:rsidR="0000201E">
        <w:t xml:space="preserve">was largely overgrown </w:t>
      </w:r>
      <w:r w:rsidR="00E338E1">
        <w:t>and difficult to access</w:t>
      </w:r>
      <w:r w:rsidR="0081513F">
        <w:t xml:space="preserve"> </w:t>
      </w:r>
      <w:proofErr w:type="gramStart"/>
      <w:r w:rsidR="009559F5">
        <w:t>with the exception of</w:t>
      </w:r>
      <w:proofErr w:type="gramEnd"/>
      <w:r w:rsidR="009559F5">
        <w:t xml:space="preserve"> one well-trodden footpath</w:t>
      </w:r>
      <w:r w:rsidR="00436D0D">
        <w:t xml:space="preserve">. It </w:t>
      </w:r>
      <w:r w:rsidR="0000201E">
        <w:t>was extremely wet underfoot</w:t>
      </w:r>
      <w:r w:rsidR="0081513F">
        <w:t xml:space="preserve"> and the footpath was muddy and slippery</w:t>
      </w:r>
      <w:r w:rsidR="00436D0D">
        <w:t>. The land rises to the south and reportedly other parts of the green are more intens</w:t>
      </w:r>
      <w:r w:rsidR="009A7726">
        <w:t>iv</w:t>
      </w:r>
      <w:r w:rsidR="00436D0D">
        <w:t>ely used</w:t>
      </w:r>
      <w:r w:rsidR="000F66A5">
        <w:t xml:space="preserve">. Nevertheless, the release land is closest and most accessible </w:t>
      </w:r>
      <w:r w:rsidR="00162E36">
        <w:t>to a large proportion of properties in the defined neighbourhood</w:t>
      </w:r>
      <w:r w:rsidR="00A313E5">
        <w:t xml:space="preserve"> by way of access points on Vale Avenue and </w:t>
      </w:r>
      <w:r w:rsidR="002E6565">
        <w:t xml:space="preserve">Byron Avenue that would no longer be available if the application is </w:t>
      </w:r>
      <w:r w:rsidR="00550FEF">
        <w:t>approved.</w:t>
      </w:r>
    </w:p>
    <w:p w14:paraId="53ACE2CE" w14:textId="34D907A2" w:rsidR="00403773" w:rsidRDefault="00403773" w:rsidP="00AE36CF">
      <w:pPr>
        <w:pStyle w:val="Style1"/>
        <w:tabs>
          <w:tab w:val="clear" w:pos="720"/>
        </w:tabs>
      </w:pPr>
      <w:r>
        <w:t xml:space="preserve">The area of the replacement land is slightly greater than that of the release </w:t>
      </w:r>
      <w:r w:rsidR="006F34CC">
        <w:t>land,</w:t>
      </w:r>
      <w:r>
        <w:t xml:space="preserve"> so approval of the application would not lead to any net loss of </w:t>
      </w:r>
      <w:r w:rsidR="007E2D83">
        <w:t xml:space="preserve">village green </w:t>
      </w:r>
      <w:r>
        <w:t>land.</w:t>
      </w:r>
    </w:p>
    <w:p w14:paraId="7A7960AF" w14:textId="0745EE8F" w:rsidR="00AE0649" w:rsidRDefault="00CE35ED" w:rsidP="00AE0649">
      <w:pPr>
        <w:pStyle w:val="Style1"/>
        <w:tabs>
          <w:tab w:val="clear" w:pos="720"/>
        </w:tabs>
      </w:pPr>
      <w:r>
        <w:t xml:space="preserve">The replacement land </w:t>
      </w:r>
      <w:r w:rsidR="00F27CCE">
        <w:t>adjoins the western edge of th</w:t>
      </w:r>
      <w:r w:rsidR="00BA134A">
        <w:t xml:space="preserve">e existing green but </w:t>
      </w:r>
      <w:r>
        <w:t>is different in character</w:t>
      </w:r>
      <w:r w:rsidR="00C2797D">
        <w:t xml:space="preserve"> to the release land and other parts of the existing green</w:t>
      </w:r>
      <w:r w:rsidR="00BA134A">
        <w:t>.</w:t>
      </w:r>
      <w:r w:rsidR="00FE223F">
        <w:t xml:space="preserve"> It co</w:t>
      </w:r>
      <w:r w:rsidR="001A52DB">
        <w:t>nsists of a relatively flat grassed area, used for g</w:t>
      </w:r>
      <w:r w:rsidR="005B5AE8">
        <w:t>r</w:t>
      </w:r>
      <w:r w:rsidR="001A52DB">
        <w:t>azing until recently, and a belt of woodland</w:t>
      </w:r>
      <w:r w:rsidR="00824079">
        <w:t>.</w:t>
      </w:r>
      <w:r w:rsidR="003E2CE5">
        <w:t xml:space="preserve"> </w:t>
      </w:r>
      <w:r w:rsidR="007B0030">
        <w:t xml:space="preserve">It is further away from </w:t>
      </w:r>
      <w:r w:rsidR="00B6053D">
        <w:t>many properties in the defined neighbourhood than the release land</w:t>
      </w:r>
      <w:r w:rsidR="00BD7E5C">
        <w:t>. However, a</w:t>
      </w:r>
      <w:r w:rsidR="003E2CE5">
        <w:t xml:space="preserve"> proposed new access point from B</w:t>
      </w:r>
      <w:r w:rsidR="00A1082C">
        <w:t>arnet Lane at the south-west corner of the land</w:t>
      </w:r>
      <w:r w:rsidR="007F5E79">
        <w:t xml:space="preserve"> would make the revised </w:t>
      </w:r>
      <w:r w:rsidR="008346B6">
        <w:t>v</w:t>
      </w:r>
      <w:r w:rsidR="007F5E79">
        <w:t xml:space="preserve">illage </w:t>
      </w:r>
      <w:r w:rsidR="008346B6">
        <w:t>g</w:t>
      </w:r>
      <w:r w:rsidR="007F5E79">
        <w:t>reen more easily accessible from properties to the west</w:t>
      </w:r>
      <w:r w:rsidR="00494A90">
        <w:t>.</w:t>
      </w:r>
    </w:p>
    <w:p w14:paraId="670A30DD" w14:textId="48E8BB1C" w:rsidR="001D6DA2" w:rsidRDefault="001D6DA2" w:rsidP="00AE0649">
      <w:pPr>
        <w:pStyle w:val="Style1"/>
        <w:tabs>
          <w:tab w:val="clear" w:pos="720"/>
        </w:tabs>
      </w:pPr>
      <w:r>
        <w:lastRenderedPageBreak/>
        <w:t>It was argued on behalf of some objectors that</w:t>
      </w:r>
      <w:r w:rsidR="005E5EFF">
        <w:t xml:space="preserve"> the release land is in Borehamwood and the replacement land in Elstree</w:t>
      </w:r>
      <w:r w:rsidR="00956013">
        <w:t>. It was alleged that the two communities are different in character</w:t>
      </w:r>
      <w:r w:rsidR="00820648">
        <w:t>, which may well be the case. However,</w:t>
      </w:r>
      <w:r w:rsidR="007B3858">
        <w:t xml:space="preserve"> I see no reason why one community should </w:t>
      </w:r>
      <w:r w:rsidR="00A77394">
        <w:t xml:space="preserve">take precedence over the other </w:t>
      </w:r>
      <w:proofErr w:type="gramStart"/>
      <w:r w:rsidR="00A77394">
        <w:t>with regard to</w:t>
      </w:r>
      <w:proofErr w:type="gramEnd"/>
      <w:r w:rsidR="00A77394">
        <w:t xml:space="preserve"> access to the village green. I also note that </w:t>
      </w:r>
      <w:r w:rsidR="0043268E">
        <w:t xml:space="preserve">the two communities are </w:t>
      </w:r>
      <w:r w:rsidR="003E6AC0">
        <w:t>jointly</w:t>
      </w:r>
      <w:r w:rsidR="0043268E">
        <w:t xml:space="preserve"> represented by a single Town Council</w:t>
      </w:r>
      <w:r w:rsidR="001423E8">
        <w:t xml:space="preserve"> and various other bodies.</w:t>
      </w:r>
    </w:p>
    <w:p w14:paraId="50C76A03" w14:textId="7A594B20" w:rsidR="001423E8" w:rsidRDefault="0036557A" w:rsidP="00AE0649">
      <w:pPr>
        <w:pStyle w:val="Style1"/>
        <w:tabs>
          <w:tab w:val="clear" w:pos="720"/>
        </w:tabs>
      </w:pPr>
      <w:r>
        <w:t xml:space="preserve">Because the replacement land is different in character to the </w:t>
      </w:r>
      <w:r w:rsidR="00012B0D">
        <w:t xml:space="preserve">release land and the </w:t>
      </w:r>
      <w:r>
        <w:t xml:space="preserve">rest of the village </w:t>
      </w:r>
      <w:r w:rsidR="00012B0D">
        <w:t xml:space="preserve">green, it </w:t>
      </w:r>
      <w:r w:rsidR="007B3BDB">
        <w:t xml:space="preserve">would </w:t>
      </w:r>
      <w:r w:rsidR="00012B0D">
        <w:t xml:space="preserve">offer the opportunity for </w:t>
      </w:r>
      <w:r w:rsidR="007B3BDB">
        <w:t>a greater range of activities to take place on the green.</w:t>
      </w:r>
    </w:p>
    <w:p w14:paraId="2D243A76" w14:textId="114475C2" w:rsidR="00963418" w:rsidRDefault="00963418" w:rsidP="00AE0649">
      <w:pPr>
        <w:pStyle w:val="Style1"/>
        <w:tabs>
          <w:tab w:val="clear" w:pos="720"/>
        </w:tabs>
      </w:pPr>
      <w:r>
        <w:t xml:space="preserve">Overall, the proposed deregistration and exchange will </w:t>
      </w:r>
      <w:r w:rsidR="00FF4ED3">
        <w:t>affect</w:t>
      </w:r>
      <w:r>
        <w:t xml:space="preserve"> the interests of the neighbourhood </w:t>
      </w:r>
      <w:r w:rsidR="004B5A62">
        <w:t xml:space="preserve">by restricting access to the </w:t>
      </w:r>
      <w:r w:rsidR="00CA1C90">
        <w:t>closest part of the village green to some of the defined neighbourhood</w:t>
      </w:r>
      <w:r w:rsidR="00CD1D31">
        <w:t>. It will also reduce the amount of semi-natural</w:t>
      </w:r>
      <w:r w:rsidR="00B2342E">
        <w:t xml:space="preserve"> grassland </w:t>
      </w:r>
      <w:r w:rsidR="00250AB5">
        <w:t>that is accessible</w:t>
      </w:r>
      <w:r w:rsidR="00A23E40">
        <w:t>. On the other hand,</w:t>
      </w:r>
      <w:r w:rsidR="00932760">
        <w:t xml:space="preserve"> the release land is arguably the least attractive part of the village green </w:t>
      </w:r>
      <w:r w:rsidR="000D6B83">
        <w:t xml:space="preserve">for many users </w:t>
      </w:r>
      <w:r w:rsidR="00EB6A79">
        <w:t>and the replacement land</w:t>
      </w:r>
      <w:r w:rsidR="00DD6760">
        <w:t xml:space="preserve"> </w:t>
      </w:r>
      <w:r w:rsidR="00DD4C58">
        <w:t xml:space="preserve">will </w:t>
      </w:r>
      <w:r w:rsidR="00DD6760">
        <w:t>offer the potential for a wider range of activities on the green</w:t>
      </w:r>
      <w:r w:rsidR="00CD1D31">
        <w:t xml:space="preserve"> </w:t>
      </w:r>
      <w:r>
        <w:t xml:space="preserve">and </w:t>
      </w:r>
      <w:r w:rsidR="00AF461B">
        <w:t xml:space="preserve">will make it more accessible for </w:t>
      </w:r>
      <w:r w:rsidR="00F52EB3">
        <w:t>some people not currently resident within the previously defined neighbourhood</w:t>
      </w:r>
      <w:r w:rsidR="00387EF6">
        <w:t>. Also, proposed</w:t>
      </w:r>
      <w:r w:rsidR="00A9266D">
        <w:t xml:space="preserve"> works on the improvement land should enhance the attraction of that part of the green</w:t>
      </w:r>
      <w:r w:rsidR="00191DB7">
        <w:t>.</w:t>
      </w:r>
    </w:p>
    <w:p w14:paraId="20A58DEB" w14:textId="1F228F76" w:rsidR="00191DB7" w:rsidRDefault="00191DB7" w:rsidP="00AE0649">
      <w:pPr>
        <w:pStyle w:val="Style1"/>
        <w:tabs>
          <w:tab w:val="clear" w:pos="720"/>
        </w:tabs>
      </w:pPr>
      <w:r>
        <w:t>On balance</w:t>
      </w:r>
      <w:r w:rsidR="00DD4C58">
        <w:t xml:space="preserve">, </w:t>
      </w:r>
      <w:r w:rsidR="00A11266">
        <w:t>although</w:t>
      </w:r>
      <w:r w:rsidR="00DB3A95">
        <w:t xml:space="preserve"> the strength of local opposition to the application is understandable</w:t>
      </w:r>
      <w:r w:rsidR="007621B9">
        <w:t>, it is my vi</w:t>
      </w:r>
      <w:r w:rsidR="00877706">
        <w:t>e</w:t>
      </w:r>
      <w:r w:rsidR="007621B9">
        <w:t>w that the potential</w:t>
      </w:r>
      <w:r w:rsidR="00877706">
        <w:t xml:space="preserve"> benefits resulting from the proposals</w:t>
      </w:r>
      <w:r w:rsidR="00BF2500">
        <w:t xml:space="preserve"> </w:t>
      </w:r>
      <w:r w:rsidR="005E6A56">
        <w:t>outweigh</w:t>
      </w:r>
      <w:r w:rsidR="0050485C">
        <w:t xml:space="preserve"> </w:t>
      </w:r>
      <w:r w:rsidR="005469E7">
        <w:t>t</w:t>
      </w:r>
      <w:r w:rsidR="0050485C">
        <w:t>he perceived disadvantages</w:t>
      </w:r>
      <w:r w:rsidR="005469E7">
        <w:t xml:space="preserve"> </w:t>
      </w:r>
      <w:proofErr w:type="gramStart"/>
      <w:r w:rsidR="005469E7">
        <w:t>with regard to</w:t>
      </w:r>
      <w:proofErr w:type="gramEnd"/>
      <w:r w:rsidR="005469E7">
        <w:t xml:space="preserve"> the interests of the neighbourhood</w:t>
      </w:r>
      <w:r w:rsidR="0050485C">
        <w:t>.</w:t>
      </w:r>
    </w:p>
    <w:p w14:paraId="61E39370" w14:textId="77777777" w:rsidR="002827DE" w:rsidRDefault="002827DE" w:rsidP="002827DE">
      <w:pPr>
        <w:pStyle w:val="Long3"/>
      </w:pPr>
      <w:r>
        <w:t>The public interest</w:t>
      </w:r>
    </w:p>
    <w:p w14:paraId="729C0FF8" w14:textId="77777777" w:rsidR="002827DE" w:rsidRDefault="002827DE" w:rsidP="002827DE">
      <w:pPr>
        <w:pStyle w:val="Long4"/>
      </w:pPr>
      <w:r>
        <w:t>Nature Conservation</w:t>
      </w:r>
    </w:p>
    <w:p w14:paraId="4FC14577" w14:textId="47020E77" w:rsidR="002827DE" w:rsidRDefault="002D6173" w:rsidP="00EE23C8">
      <w:pPr>
        <w:pStyle w:val="Style1"/>
        <w:tabs>
          <w:tab w:val="clear" w:pos="720"/>
        </w:tabs>
      </w:pPr>
      <w:r>
        <w:t xml:space="preserve">The </w:t>
      </w:r>
      <w:r w:rsidR="009861F1">
        <w:t xml:space="preserve">release land and improvement </w:t>
      </w:r>
      <w:proofErr w:type="gramStart"/>
      <w:r w:rsidR="009861F1">
        <w:t>land</w:t>
      </w:r>
      <w:r w:rsidR="00761909">
        <w:t xml:space="preserve"> </w:t>
      </w:r>
      <w:r w:rsidR="009861F1">
        <w:t>form</w:t>
      </w:r>
      <w:proofErr w:type="gramEnd"/>
      <w:r w:rsidR="009861F1">
        <w:t xml:space="preserve"> part of </w:t>
      </w:r>
      <w:r w:rsidR="005D4981">
        <w:t xml:space="preserve">the non-statutory </w:t>
      </w:r>
      <w:r w:rsidR="009861F1">
        <w:t>Woodcock Hill</w:t>
      </w:r>
      <w:r w:rsidR="008E55BA">
        <w:t xml:space="preserve"> Field</w:t>
      </w:r>
      <w:r w:rsidR="001B7D8C">
        <w:t>s</w:t>
      </w:r>
      <w:r w:rsidR="008E55BA">
        <w:t xml:space="preserve"> Local Wildlife Site (LWS)</w:t>
      </w:r>
      <w:r w:rsidR="007105DA">
        <w:t xml:space="preserve"> and the replacement land in part is within the Elstree Tunnels Grasslands</w:t>
      </w:r>
      <w:r w:rsidR="00CD16DE">
        <w:t xml:space="preserve"> East LWS.</w:t>
      </w:r>
      <w:r w:rsidR="0029709F">
        <w:t xml:space="preserve"> Both sites have been designated because of the grassland habitats they support. However, ecological survey work undertaken on behalf of the applicants suggest</w:t>
      </w:r>
      <w:r w:rsidR="00EB78C4">
        <w:t>s</w:t>
      </w:r>
      <w:r w:rsidR="0029709F">
        <w:t xml:space="preserve"> that neither LWS currently supports grassland habitats of high conservation importance.</w:t>
      </w:r>
      <w:r w:rsidR="00151FF8">
        <w:t xml:space="preserve"> </w:t>
      </w:r>
      <w:r w:rsidR="00973C85">
        <w:t xml:space="preserve">The designation of these sites will not be affected by the application </w:t>
      </w:r>
      <w:proofErr w:type="gramStart"/>
      <w:r w:rsidR="00973C85">
        <w:t>whether or not</w:t>
      </w:r>
      <w:proofErr w:type="gramEnd"/>
      <w:r w:rsidR="00973C85">
        <w:t xml:space="preserve"> it is approved.</w:t>
      </w:r>
    </w:p>
    <w:p w14:paraId="05C93B9D" w14:textId="6763AF0E" w:rsidR="00A771B7" w:rsidRDefault="004B50E0" w:rsidP="00EE23C8">
      <w:pPr>
        <w:pStyle w:val="Style1"/>
        <w:tabs>
          <w:tab w:val="clear" w:pos="720"/>
        </w:tabs>
      </w:pPr>
      <w:r>
        <w:t xml:space="preserve">It was common ground between the parties that </w:t>
      </w:r>
      <w:r w:rsidR="00CA40D7">
        <w:t>the nature conservation value of the release land</w:t>
      </w:r>
      <w:r w:rsidR="00EF4C3C">
        <w:t xml:space="preserve"> has already been degraded to some extent </w:t>
      </w:r>
      <w:r w:rsidR="001B11E8">
        <w:t xml:space="preserve">by the spread of brambles, </w:t>
      </w:r>
      <w:proofErr w:type="gramStart"/>
      <w:r w:rsidR="001B11E8">
        <w:t>nettles</w:t>
      </w:r>
      <w:proofErr w:type="gramEnd"/>
      <w:r w:rsidR="001B11E8">
        <w:t xml:space="preserve"> and scrub</w:t>
      </w:r>
      <w:r w:rsidR="005A065C">
        <w:t xml:space="preserve"> </w:t>
      </w:r>
      <w:r w:rsidR="00EF4C3C">
        <w:t xml:space="preserve">as a result of </w:t>
      </w:r>
      <w:r w:rsidR="00AF793F">
        <w:t>maintenance work having been curtailed since 2018</w:t>
      </w:r>
      <w:r w:rsidR="001B11E8">
        <w:t xml:space="preserve">. </w:t>
      </w:r>
      <w:r w:rsidR="005A065C">
        <w:t>It can be expected that this process will continue</w:t>
      </w:r>
      <w:r w:rsidR="008F3BC3">
        <w:t xml:space="preserve"> unless active maintenance is resumed.</w:t>
      </w:r>
    </w:p>
    <w:p w14:paraId="763F9236" w14:textId="0D6AC5BA" w:rsidR="00E23F3A" w:rsidRDefault="00954BF3" w:rsidP="00EE23C8">
      <w:pPr>
        <w:pStyle w:val="Style1"/>
        <w:tabs>
          <w:tab w:val="clear" w:pos="720"/>
        </w:tabs>
      </w:pPr>
      <w:r>
        <w:t>The applicants have</w:t>
      </w:r>
      <w:r w:rsidR="008A6C14">
        <w:t xml:space="preserve"> indicated that they have no intention of renewing the permission for the local community to carry out maintenance work on the site</w:t>
      </w:r>
      <w:r w:rsidR="008E7883">
        <w:t>. It is suggested on behalf of objectors that</w:t>
      </w:r>
      <w:r w:rsidR="0061017D">
        <w:t xml:space="preserve"> there might not be a need for some such work to be permitted</w:t>
      </w:r>
      <w:r w:rsidR="00E3689E">
        <w:t xml:space="preserve"> as it could be construed as a ‘lawfu</w:t>
      </w:r>
      <w:r w:rsidR="00804883">
        <w:t xml:space="preserve">l sport or pastime’ appropriate to a village green. This suggestion is </w:t>
      </w:r>
      <w:r w:rsidR="003973BA">
        <w:t>disputed</w:t>
      </w:r>
      <w:r w:rsidR="00FE47DD">
        <w:t xml:space="preserve"> by the </w:t>
      </w:r>
      <w:r w:rsidR="002463C6">
        <w:t>applicants,</w:t>
      </w:r>
      <w:r w:rsidR="00FE47DD">
        <w:t xml:space="preserve"> and it appears to be the case that to date </w:t>
      </w:r>
      <w:r w:rsidR="008C4919">
        <w:t>little</w:t>
      </w:r>
      <w:r w:rsidR="00D66E20">
        <w:t xml:space="preserve"> work has been carried out since the withdrawal of permission in 2018.</w:t>
      </w:r>
    </w:p>
    <w:p w14:paraId="4207DC64" w14:textId="34F1B2F0" w:rsidR="004143E2" w:rsidRDefault="0029709F" w:rsidP="004143E2">
      <w:pPr>
        <w:pStyle w:val="Style1"/>
        <w:tabs>
          <w:tab w:val="clear" w:pos="720"/>
        </w:tabs>
      </w:pPr>
      <w:r>
        <w:t xml:space="preserve">A great deal of information and opinion regarding the existing and potential value of the application land for nature conservation was submitted. </w:t>
      </w:r>
      <w:r w:rsidR="004143E2">
        <w:t xml:space="preserve">The applicants submitted an Ecological Appraisal, an Environmental Implementation </w:t>
      </w:r>
      <w:r w:rsidR="004143E2">
        <w:lastRenderedPageBreak/>
        <w:t>Maintenance and Management Plan</w:t>
      </w:r>
      <w:r w:rsidR="009207AC">
        <w:t xml:space="preserve">, an </w:t>
      </w:r>
      <w:proofErr w:type="spellStart"/>
      <w:r w:rsidR="009207AC">
        <w:t>Arboricultural</w:t>
      </w:r>
      <w:proofErr w:type="spellEnd"/>
      <w:r w:rsidR="009207AC">
        <w:t xml:space="preserve"> Impact </w:t>
      </w:r>
      <w:proofErr w:type="gramStart"/>
      <w:r w:rsidR="009207AC">
        <w:t>Assessment</w:t>
      </w:r>
      <w:proofErr w:type="gramEnd"/>
      <w:r w:rsidR="009207AC">
        <w:t xml:space="preserve"> </w:t>
      </w:r>
      <w:r w:rsidR="004143E2">
        <w:t xml:space="preserve">and detailed Landscape Proposals. These </w:t>
      </w:r>
      <w:r w:rsidR="00AA4692">
        <w:t>are said to show</w:t>
      </w:r>
      <w:r w:rsidR="004143E2">
        <w:t xml:space="preserve"> that</w:t>
      </w:r>
      <w:r w:rsidR="00375E93">
        <w:t xml:space="preserve"> the proposals contained in the application</w:t>
      </w:r>
      <w:r w:rsidR="00E34C6E">
        <w:t xml:space="preserve"> will not have </w:t>
      </w:r>
      <w:r w:rsidR="00BB7C0E">
        <w:t xml:space="preserve">an </w:t>
      </w:r>
      <w:r w:rsidR="00E34C6E">
        <w:t>adverse effect</w:t>
      </w:r>
      <w:r w:rsidR="007836F1">
        <w:t xml:space="preserve"> on the designated LWS sites</w:t>
      </w:r>
      <w:r w:rsidR="00BB7C0E">
        <w:t xml:space="preserve"> and that</w:t>
      </w:r>
      <w:r w:rsidR="00CB5621">
        <w:t xml:space="preserve"> the proposed landscape improvement works on the replacement land and the improvement land will</w:t>
      </w:r>
      <w:r w:rsidR="00444E9B">
        <w:t xml:space="preserve"> provide material </w:t>
      </w:r>
      <w:r w:rsidR="001D1408">
        <w:t xml:space="preserve">biodiversity </w:t>
      </w:r>
      <w:r w:rsidR="00444E9B">
        <w:t>benefits in these areas</w:t>
      </w:r>
      <w:r w:rsidR="001D1408">
        <w:t>.</w:t>
      </w:r>
    </w:p>
    <w:p w14:paraId="4E08140B" w14:textId="53494B57" w:rsidR="00A3008C" w:rsidRDefault="00EA0AC9" w:rsidP="004143E2">
      <w:pPr>
        <w:pStyle w:val="Style1"/>
        <w:tabs>
          <w:tab w:val="clear" w:pos="720"/>
        </w:tabs>
      </w:pPr>
      <w:r>
        <w:t>On behalf of objectors</w:t>
      </w:r>
      <w:r w:rsidR="006C4C8A">
        <w:t>,</w:t>
      </w:r>
      <w:r>
        <w:t xml:space="preserve"> it is argued that</w:t>
      </w:r>
      <w:r w:rsidR="00FB7AB8">
        <w:t xml:space="preserve"> </w:t>
      </w:r>
      <w:r w:rsidR="00DE6F0D">
        <w:t xml:space="preserve">the applicants could have done much more to </w:t>
      </w:r>
      <w:r w:rsidR="00C50B5E">
        <w:t xml:space="preserve">protect and enhance the nature conservation value of the release land and </w:t>
      </w:r>
      <w:r w:rsidR="00B47219">
        <w:t xml:space="preserve">to provide a more natural and </w:t>
      </w:r>
      <w:r w:rsidR="00D34B19">
        <w:t xml:space="preserve">biodiverse </w:t>
      </w:r>
      <w:r w:rsidR="0060610E">
        <w:t>environment for the replacement land</w:t>
      </w:r>
      <w:r w:rsidR="000C631A">
        <w:t>.</w:t>
      </w:r>
      <w:r w:rsidR="003B5081">
        <w:t xml:space="preserve"> However</w:t>
      </w:r>
      <w:r w:rsidR="00D61758">
        <w:t xml:space="preserve">, </w:t>
      </w:r>
      <w:r w:rsidR="006E304C">
        <w:t xml:space="preserve">I note that </w:t>
      </w:r>
      <w:r w:rsidR="00D61758">
        <w:t xml:space="preserve">the landscaping proposals put forward include the planting of a </w:t>
      </w:r>
      <w:r w:rsidR="009A2946">
        <w:t>wide range of native trees and shrubs</w:t>
      </w:r>
      <w:r w:rsidR="00E04C01">
        <w:t>, under</w:t>
      </w:r>
      <w:r w:rsidR="00FD6BD1">
        <w:t xml:space="preserve">storey planting within woodland areas and </w:t>
      </w:r>
      <w:r w:rsidR="00204B77">
        <w:t>enhancement of existing grassland habitat</w:t>
      </w:r>
      <w:r w:rsidR="0002442F">
        <w:t>.</w:t>
      </w:r>
    </w:p>
    <w:p w14:paraId="517D0DBB" w14:textId="4EEF6913" w:rsidR="0006243A" w:rsidRDefault="0006243A" w:rsidP="004143E2">
      <w:pPr>
        <w:pStyle w:val="Style1"/>
        <w:tabs>
          <w:tab w:val="clear" w:pos="720"/>
        </w:tabs>
      </w:pPr>
      <w:r>
        <w:t xml:space="preserve">It </w:t>
      </w:r>
      <w:r w:rsidR="006C4C8A">
        <w:t>i</w:t>
      </w:r>
      <w:r>
        <w:t>s also argued by</w:t>
      </w:r>
      <w:r w:rsidR="00755AAB">
        <w:t xml:space="preserve"> objectors that </w:t>
      </w:r>
      <w:r w:rsidR="003F13C0">
        <w:t>the proposals should be assessed using a biodiversity metric</w:t>
      </w:r>
      <w:r w:rsidR="00D7632B">
        <w:t xml:space="preserve"> with a need to demonstrate a 10% uplift</w:t>
      </w:r>
      <w:r w:rsidR="00CE3062">
        <w:t xml:space="preserve"> in biodiversity. </w:t>
      </w:r>
      <w:r w:rsidR="004E3B87">
        <w:t xml:space="preserve">The </w:t>
      </w:r>
      <w:r w:rsidR="00DE00A7">
        <w:t>applicant</w:t>
      </w:r>
      <w:r w:rsidR="00B65877">
        <w:t>s’</w:t>
      </w:r>
      <w:r w:rsidR="004E3B87">
        <w:t xml:space="preserve"> response is that </w:t>
      </w:r>
      <w:r w:rsidR="005F1803">
        <w:t xml:space="preserve">such an approach can be useful in carrying out ecological assessments but is </w:t>
      </w:r>
      <w:r w:rsidR="00715B08">
        <w:t xml:space="preserve">not necessary or appropriate </w:t>
      </w:r>
      <w:proofErr w:type="gramStart"/>
      <w:r w:rsidR="00730AD3">
        <w:t>in order to</w:t>
      </w:r>
      <w:proofErr w:type="gramEnd"/>
      <w:r w:rsidR="00730AD3">
        <w:t xml:space="preserve"> determine the current application. </w:t>
      </w:r>
    </w:p>
    <w:p w14:paraId="57F088F9" w14:textId="688E53E1" w:rsidR="00814480" w:rsidRDefault="0029709F" w:rsidP="00EE23C8">
      <w:pPr>
        <w:pStyle w:val="Style1"/>
        <w:tabs>
          <w:tab w:val="clear" w:pos="720"/>
        </w:tabs>
      </w:pPr>
      <w:r>
        <w:t xml:space="preserve">I do not </w:t>
      </w:r>
      <w:r w:rsidR="00740E6D">
        <w:t xml:space="preserve">consider it necessary </w:t>
      </w:r>
      <w:r>
        <w:t xml:space="preserve">to analyse </w:t>
      </w:r>
      <w:r w:rsidR="00AA78BD">
        <w:t xml:space="preserve">all the available information </w:t>
      </w:r>
      <w:r>
        <w:t>in detail here although I have read and considered it all. In so far as the assessment of the merits of the application is concerned</w:t>
      </w:r>
      <w:r w:rsidR="00814480">
        <w:t xml:space="preserve">, a few critical factors should be borne in mind. </w:t>
      </w:r>
    </w:p>
    <w:p w14:paraId="3251E8E0" w14:textId="2EFD7E98" w:rsidR="00D76EC9" w:rsidRDefault="00814480" w:rsidP="00EE23C8">
      <w:pPr>
        <w:pStyle w:val="Style1"/>
        <w:tabs>
          <w:tab w:val="clear" w:pos="720"/>
        </w:tabs>
      </w:pPr>
      <w:r>
        <w:t xml:space="preserve">The application contains no proposals for development of any sort on the release land and to that extent approval would not result in the loss of any habitat. As already mentioned, its conservation value may continue to degrade to some </w:t>
      </w:r>
      <w:r w:rsidR="00DE00A7">
        <w:t>extent,</w:t>
      </w:r>
      <w:r>
        <w:t xml:space="preserve"> but </w:t>
      </w:r>
      <w:r w:rsidR="00121D1B">
        <w:t>this will occur irrespective of whether the application is approved or not unless maintenance work resumes.</w:t>
      </w:r>
    </w:p>
    <w:p w14:paraId="678530A6" w14:textId="4FEE4F2C" w:rsidR="00121D1B" w:rsidRDefault="00121D1B" w:rsidP="00EE23C8">
      <w:pPr>
        <w:pStyle w:val="Style1"/>
        <w:tabs>
          <w:tab w:val="clear" w:pos="720"/>
        </w:tabs>
      </w:pPr>
      <w:r>
        <w:t>The landscape improvement proposals put forward by the applicants and the proposed funding for future management should result in enhancement of the nature conservation value of the replacement land and the improvement land</w:t>
      </w:r>
      <w:r w:rsidR="003516FC">
        <w:t xml:space="preserve"> relative </w:t>
      </w:r>
      <w:r w:rsidR="000719F8">
        <w:t xml:space="preserve">to </w:t>
      </w:r>
      <w:r w:rsidR="003516FC">
        <w:t xml:space="preserve">the </w:t>
      </w:r>
      <w:r w:rsidR="000719F8">
        <w:t>present condition of these areas.</w:t>
      </w:r>
    </w:p>
    <w:p w14:paraId="777702FF" w14:textId="66B3C411" w:rsidR="00121D1B" w:rsidRDefault="00121D1B" w:rsidP="00EE23C8">
      <w:pPr>
        <w:pStyle w:val="Style1"/>
        <w:tabs>
          <w:tab w:val="clear" w:pos="720"/>
        </w:tabs>
      </w:pPr>
      <w:r>
        <w:t xml:space="preserve">Nature conservation is only one of several factors that should be </w:t>
      </w:r>
      <w:proofErr w:type="gramStart"/>
      <w:r>
        <w:t>taken into account</w:t>
      </w:r>
      <w:proofErr w:type="gramEnd"/>
      <w:r>
        <w:t>. Although the opportunity for the enjoyment and study of nature is an important public benefit of the existence of the village green, it is not one that should exclude provision of opportunities for other lawful sports and pastimes also to be enjoyed.</w:t>
      </w:r>
    </w:p>
    <w:p w14:paraId="1975BF2F" w14:textId="7C2B6C52" w:rsidR="000719F8" w:rsidRDefault="00086FE7" w:rsidP="00EE23C8">
      <w:pPr>
        <w:pStyle w:val="Style1"/>
        <w:tabs>
          <w:tab w:val="clear" w:pos="720"/>
        </w:tabs>
      </w:pPr>
      <w:r>
        <w:t>Overall,</w:t>
      </w:r>
      <w:r w:rsidR="00335B8E">
        <w:t xml:space="preserve"> </w:t>
      </w:r>
      <w:r w:rsidR="00D41CD1">
        <w:t>the proposed de-reg</w:t>
      </w:r>
      <w:r w:rsidR="003F5C17">
        <w:t>istration and exchange of village green land</w:t>
      </w:r>
      <w:r w:rsidR="008C1683">
        <w:t xml:space="preserve"> would appear unlikely to result in any significant adverse effect</w:t>
      </w:r>
      <w:r w:rsidR="004F3A54">
        <w:t xml:space="preserve"> </w:t>
      </w:r>
      <w:proofErr w:type="gramStart"/>
      <w:r w:rsidR="004F3A54">
        <w:t>with regard to</w:t>
      </w:r>
      <w:proofErr w:type="gramEnd"/>
      <w:r w:rsidR="004F3A54">
        <w:t xml:space="preserve"> nature conservation</w:t>
      </w:r>
      <w:r w:rsidR="00E644AD">
        <w:t xml:space="preserve"> and the proposed landscape works </w:t>
      </w:r>
      <w:r w:rsidR="001265C8">
        <w:t>on the replacement land and improvement land</w:t>
      </w:r>
      <w:r w:rsidR="00A817AE">
        <w:t xml:space="preserve"> are likely to enhance t</w:t>
      </w:r>
      <w:r w:rsidR="00495FB3">
        <w:t>he</w:t>
      </w:r>
      <w:r w:rsidR="00A817AE">
        <w:t xml:space="preserve"> nature conservation value of those areas.</w:t>
      </w:r>
    </w:p>
    <w:p w14:paraId="4492D4AD" w14:textId="2CAA2BA4" w:rsidR="00AE36CF" w:rsidRDefault="00AE36CF" w:rsidP="00AE36CF">
      <w:pPr>
        <w:pStyle w:val="Long4"/>
      </w:pPr>
      <w:r>
        <w:t>Landscape</w:t>
      </w:r>
    </w:p>
    <w:p w14:paraId="175904ED" w14:textId="681A83C9" w:rsidR="004D1C03" w:rsidRDefault="00681906" w:rsidP="00681906">
      <w:pPr>
        <w:pStyle w:val="Style1"/>
        <w:tabs>
          <w:tab w:val="clear" w:pos="720"/>
        </w:tabs>
        <w:rPr>
          <w:szCs w:val="22"/>
        </w:rPr>
      </w:pPr>
      <w:r w:rsidRPr="00681906">
        <w:rPr>
          <w:szCs w:val="22"/>
        </w:rPr>
        <w:t xml:space="preserve">None of the land </w:t>
      </w:r>
      <w:r>
        <w:rPr>
          <w:szCs w:val="22"/>
        </w:rPr>
        <w:t xml:space="preserve">affected by the application falls within any designated landscape area. </w:t>
      </w:r>
      <w:r w:rsidR="00AD5E32">
        <w:rPr>
          <w:szCs w:val="22"/>
        </w:rPr>
        <w:t xml:space="preserve">However, </w:t>
      </w:r>
      <w:r w:rsidR="00495FB3">
        <w:rPr>
          <w:szCs w:val="22"/>
        </w:rPr>
        <w:t>the village green</w:t>
      </w:r>
      <w:r w:rsidR="00AD5E32">
        <w:rPr>
          <w:szCs w:val="22"/>
        </w:rPr>
        <w:t xml:space="preserve"> is unusual</w:t>
      </w:r>
      <w:r w:rsidR="00D65AFE">
        <w:rPr>
          <w:szCs w:val="22"/>
        </w:rPr>
        <w:t xml:space="preserve"> in being a relatively undisturbed</w:t>
      </w:r>
      <w:r w:rsidR="00AD5E32">
        <w:rPr>
          <w:szCs w:val="22"/>
        </w:rPr>
        <w:t xml:space="preserve"> natural area so close to </w:t>
      </w:r>
      <w:r w:rsidR="00881823">
        <w:rPr>
          <w:szCs w:val="22"/>
        </w:rPr>
        <w:t>residential development</w:t>
      </w:r>
      <w:r w:rsidR="008D426F">
        <w:rPr>
          <w:szCs w:val="22"/>
        </w:rPr>
        <w:t>. A</w:t>
      </w:r>
      <w:r>
        <w:rPr>
          <w:szCs w:val="22"/>
        </w:rPr>
        <w:t xml:space="preserve">s no development is proposed on the release land in the application, its approval would not result in any significant change to the landscape of that </w:t>
      </w:r>
      <w:r w:rsidR="00DE00A7">
        <w:rPr>
          <w:szCs w:val="22"/>
        </w:rPr>
        <w:t>area,</w:t>
      </w:r>
      <w:r w:rsidR="00176BBA">
        <w:rPr>
          <w:szCs w:val="22"/>
        </w:rPr>
        <w:t xml:space="preserve"> </w:t>
      </w:r>
      <w:r w:rsidR="003D0461">
        <w:rPr>
          <w:szCs w:val="22"/>
        </w:rPr>
        <w:t>although</w:t>
      </w:r>
      <w:r w:rsidR="00176BBA">
        <w:rPr>
          <w:szCs w:val="22"/>
        </w:rPr>
        <w:t xml:space="preserve"> people </w:t>
      </w:r>
      <w:r w:rsidR="00A5511A">
        <w:rPr>
          <w:szCs w:val="22"/>
        </w:rPr>
        <w:t>would no longer be able to enjoy it from within the area</w:t>
      </w:r>
      <w:r w:rsidR="00403415">
        <w:rPr>
          <w:szCs w:val="22"/>
        </w:rPr>
        <w:t xml:space="preserve"> itself</w:t>
      </w:r>
      <w:r>
        <w:rPr>
          <w:szCs w:val="22"/>
        </w:rPr>
        <w:t>.</w:t>
      </w:r>
      <w:r w:rsidR="00946E31">
        <w:rPr>
          <w:szCs w:val="22"/>
        </w:rPr>
        <w:t xml:space="preserve"> </w:t>
      </w:r>
    </w:p>
    <w:p w14:paraId="50A470F2" w14:textId="39E37AE6" w:rsidR="00681906" w:rsidRDefault="00681906" w:rsidP="00681906">
      <w:pPr>
        <w:pStyle w:val="Style1"/>
        <w:tabs>
          <w:tab w:val="clear" w:pos="720"/>
        </w:tabs>
        <w:rPr>
          <w:szCs w:val="22"/>
        </w:rPr>
      </w:pPr>
      <w:r>
        <w:rPr>
          <w:szCs w:val="22"/>
        </w:rPr>
        <w:lastRenderedPageBreak/>
        <w:t>The applicants have submitted detailed proposals</w:t>
      </w:r>
      <w:r w:rsidR="002B0D95">
        <w:rPr>
          <w:szCs w:val="22"/>
        </w:rPr>
        <w:t xml:space="preserve"> </w:t>
      </w:r>
      <w:r w:rsidR="00E30D85">
        <w:rPr>
          <w:szCs w:val="22"/>
        </w:rPr>
        <w:t xml:space="preserve">for the replacement land and improvement land </w:t>
      </w:r>
      <w:r w:rsidR="002B0D95">
        <w:rPr>
          <w:szCs w:val="22"/>
        </w:rPr>
        <w:t>which include the</w:t>
      </w:r>
      <w:r w:rsidR="00B01E32">
        <w:rPr>
          <w:szCs w:val="22"/>
        </w:rPr>
        <w:t xml:space="preserve"> planting of a hedgerow, trees and shrubs</w:t>
      </w:r>
      <w:r w:rsidR="00C061B9">
        <w:rPr>
          <w:szCs w:val="22"/>
        </w:rPr>
        <w:t>,</w:t>
      </w:r>
      <w:r w:rsidR="00FA4AE5">
        <w:rPr>
          <w:szCs w:val="22"/>
        </w:rPr>
        <w:t xml:space="preserve"> the construction of path</w:t>
      </w:r>
      <w:r w:rsidR="00E37E17">
        <w:rPr>
          <w:szCs w:val="22"/>
        </w:rPr>
        <w:t>s of various types</w:t>
      </w:r>
      <w:r w:rsidR="00C22F84">
        <w:rPr>
          <w:szCs w:val="22"/>
        </w:rPr>
        <w:t xml:space="preserve"> and the placing of</w:t>
      </w:r>
      <w:r w:rsidR="00CC2EB9">
        <w:rPr>
          <w:szCs w:val="22"/>
        </w:rPr>
        <w:t xml:space="preserve"> seating areas or picnic tables</w:t>
      </w:r>
      <w:r w:rsidR="005E1B61">
        <w:rPr>
          <w:szCs w:val="22"/>
        </w:rPr>
        <w:t>, play equipment</w:t>
      </w:r>
      <w:r w:rsidR="006E12F0">
        <w:rPr>
          <w:szCs w:val="22"/>
        </w:rPr>
        <w:t xml:space="preserve"> and information boards.</w:t>
      </w:r>
      <w:r w:rsidR="00CC2EB9">
        <w:rPr>
          <w:szCs w:val="22"/>
        </w:rPr>
        <w:t xml:space="preserve"> </w:t>
      </w:r>
      <w:r w:rsidR="00E37E17">
        <w:rPr>
          <w:szCs w:val="22"/>
        </w:rPr>
        <w:t xml:space="preserve"> </w:t>
      </w:r>
    </w:p>
    <w:p w14:paraId="66EE8B57" w14:textId="3EBC383A" w:rsidR="005F18E5" w:rsidRDefault="000B11E9" w:rsidP="00681906">
      <w:pPr>
        <w:pStyle w:val="Style1"/>
        <w:tabs>
          <w:tab w:val="clear" w:pos="720"/>
        </w:tabs>
        <w:rPr>
          <w:szCs w:val="22"/>
        </w:rPr>
      </w:pPr>
      <w:r>
        <w:rPr>
          <w:szCs w:val="22"/>
        </w:rPr>
        <w:t>Objectors</w:t>
      </w:r>
      <w:r w:rsidR="00A56066">
        <w:rPr>
          <w:szCs w:val="22"/>
        </w:rPr>
        <w:t xml:space="preserve"> </w:t>
      </w:r>
      <w:r w:rsidR="002170D1">
        <w:rPr>
          <w:szCs w:val="22"/>
        </w:rPr>
        <w:t xml:space="preserve">argue that </w:t>
      </w:r>
      <w:r w:rsidR="003D0461">
        <w:rPr>
          <w:szCs w:val="22"/>
        </w:rPr>
        <w:t xml:space="preserve">the </w:t>
      </w:r>
      <w:r w:rsidR="00343AF0">
        <w:rPr>
          <w:szCs w:val="22"/>
        </w:rPr>
        <w:t xml:space="preserve">open grassland part of </w:t>
      </w:r>
      <w:r w:rsidR="002170D1">
        <w:rPr>
          <w:szCs w:val="22"/>
        </w:rPr>
        <w:t xml:space="preserve">the replacement land </w:t>
      </w:r>
      <w:r w:rsidR="0006133E">
        <w:rPr>
          <w:szCs w:val="22"/>
        </w:rPr>
        <w:t>is relatively uninteresting compared to the release land</w:t>
      </w:r>
      <w:r w:rsidR="00AC3CD6">
        <w:rPr>
          <w:szCs w:val="22"/>
        </w:rPr>
        <w:t xml:space="preserve"> and that</w:t>
      </w:r>
      <w:r w:rsidR="009248F5">
        <w:rPr>
          <w:szCs w:val="22"/>
        </w:rPr>
        <w:t>,</w:t>
      </w:r>
      <w:r w:rsidR="00AC3CD6">
        <w:rPr>
          <w:szCs w:val="22"/>
        </w:rPr>
        <w:t xml:space="preserve"> even with the extensive landscaping works proposed</w:t>
      </w:r>
      <w:r w:rsidR="009248F5">
        <w:rPr>
          <w:szCs w:val="22"/>
        </w:rPr>
        <w:t xml:space="preserve">, will not achieve </w:t>
      </w:r>
      <w:r w:rsidR="00BD09AE">
        <w:rPr>
          <w:szCs w:val="22"/>
        </w:rPr>
        <w:t>a similar level of attraction.</w:t>
      </w:r>
    </w:p>
    <w:p w14:paraId="1B89A15C" w14:textId="56F3D055" w:rsidR="00657858" w:rsidRDefault="008A5BF3" w:rsidP="00681906">
      <w:pPr>
        <w:pStyle w:val="Style1"/>
        <w:tabs>
          <w:tab w:val="clear" w:pos="720"/>
        </w:tabs>
        <w:rPr>
          <w:szCs w:val="22"/>
        </w:rPr>
      </w:pPr>
      <w:r>
        <w:rPr>
          <w:szCs w:val="22"/>
        </w:rPr>
        <w:t>Clearly</w:t>
      </w:r>
      <w:r w:rsidR="0001710A">
        <w:rPr>
          <w:szCs w:val="22"/>
        </w:rPr>
        <w:t>,</w:t>
      </w:r>
      <w:r>
        <w:rPr>
          <w:szCs w:val="22"/>
        </w:rPr>
        <w:t xml:space="preserve"> the replacement land </w:t>
      </w:r>
      <w:r w:rsidR="000F562E">
        <w:rPr>
          <w:szCs w:val="22"/>
        </w:rPr>
        <w:t>is quite different in character to the release land and the rest of the existing village green</w:t>
      </w:r>
      <w:r w:rsidR="00221907">
        <w:rPr>
          <w:szCs w:val="22"/>
        </w:rPr>
        <w:t xml:space="preserve">. </w:t>
      </w:r>
      <w:r w:rsidR="00D716EA">
        <w:rPr>
          <w:szCs w:val="22"/>
        </w:rPr>
        <w:t xml:space="preserve">Nevertheless, </w:t>
      </w:r>
      <w:r w:rsidR="00D65F53">
        <w:rPr>
          <w:szCs w:val="22"/>
        </w:rPr>
        <w:t>the works proposed should</w:t>
      </w:r>
      <w:r w:rsidR="003B399F">
        <w:rPr>
          <w:szCs w:val="22"/>
        </w:rPr>
        <w:t xml:space="preserve"> enhance its appearance</w:t>
      </w:r>
      <w:r w:rsidR="004F5C2C">
        <w:rPr>
          <w:szCs w:val="22"/>
        </w:rPr>
        <w:t xml:space="preserve"> through the </w:t>
      </w:r>
      <w:r w:rsidR="00E067DD">
        <w:rPr>
          <w:szCs w:val="22"/>
        </w:rPr>
        <w:t>additional planting</w:t>
      </w:r>
      <w:r w:rsidR="00A32A9D">
        <w:rPr>
          <w:szCs w:val="22"/>
        </w:rPr>
        <w:t xml:space="preserve"> which will also</w:t>
      </w:r>
      <w:r w:rsidR="007475C3">
        <w:rPr>
          <w:szCs w:val="22"/>
        </w:rPr>
        <w:t xml:space="preserve"> </w:t>
      </w:r>
      <w:r w:rsidR="00B514BC">
        <w:rPr>
          <w:szCs w:val="22"/>
        </w:rPr>
        <w:t xml:space="preserve">screen it to some extent from Barnet Lane and housing development to the west. The </w:t>
      </w:r>
      <w:r w:rsidR="00D579BE">
        <w:rPr>
          <w:szCs w:val="22"/>
        </w:rPr>
        <w:t xml:space="preserve">landscape value of the </w:t>
      </w:r>
      <w:r w:rsidR="00B514BC">
        <w:rPr>
          <w:szCs w:val="22"/>
        </w:rPr>
        <w:t xml:space="preserve">woodland area </w:t>
      </w:r>
      <w:r w:rsidR="00D579BE">
        <w:rPr>
          <w:szCs w:val="22"/>
        </w:rPr>
        <w:t xml:space="preserve">will be </w:t>
      </w:r>
      <w:r w:rsidR="000D003B">
        <w:rPr>
          <w:szCs w:val="22"/>
        </w:rPr>
        <w:t>undiminished,</w:t>
      </w:r>
      <w:r w:rsidR="00D579BE">
        <w:rPr>
          <w:szCs w:val="22"/>
        </w:rPr>
        <w:t xml:space="preserve"> but </w:t>
      </w:r>
      <w:r w:rsidR="00403415">
        <w:rPr>
          <w:szCs w:val="22"/>
        </w:rPr>
        <w:t xml:space="preserve">the woodland </w:t>
      </w:r>
      <w:r w:rsidR="00D579BE">
        <w:rPr>
          <w:szCs w:val="22"/>
        </w:rPr>
        <w:t xml:space="preserve">will become </w:t>
      </w:r>
      <w:r w:rsidR="00952BA3">
        <w:rPr>
          <w:szCs w:val="22"/>
        </w:rPr>
        <w:t xml:space="preserve">accessible to the public and the proposed planting on the improvement land </w:t>
      </w:r>
      <w:r w:rsidR="00123C7D">
        <w:rPr>
          <w:szCs w:val="22"/>
        </w:rPr>
        <w:t>should reinforce its natural quality.</w:t>
      </w:r>
    </w:p>
    <w:p w14:paraId="5130B93E" w14:textId="39F4E5CD" w:rsidR="00123C7D" w:rsidRDefault="00DC3881" w:rsidP="00681906">
      <w:pPr>
        <w:pStyle w:val="Style1"/>
        <w:tabs>
          <w:tab w:val="clear" w:pos="720"/>
        </w:tabs>
        <w:rPr>
          <w:szCs w:val="22"/>
        </w:rPr>
      </w:pPr>
      <w:r>
        <w:rPr>
          <w:szCs w:val="22"/>
        </w:rPr>
        <w:t xml:space="preserve">The </w:t>
      </w:r>
      <w:r w:rsidR="009B5BFF">
        <w:rPr>
          <w:szCs w:val="22"/>
        </w:rPr>
        <w:t xml:space="preserve">provision </w:t>
      </w:r>
      <w:r>
        <w:rPr>
          <w:szCs w:val="22"/>
        </w:rPr>
        <w:t>of</w:t>
      </w:r>
      <w:r w:rsidR="00353267">
        <w:rPr>
          <w:szCs w:val="22"/>
        </w:rPr>
        <w:t xml:space="preserve"> seating areas,</w:t>
      </w:r>
      <w:r>
        <w:rPr>
          <w:szCs w:val="22"/>
        </w:rPr>
        <w:t xml:space="preserve"> </w:t>
      </w:r>
      <w:r w:rsidR="00DA7103">
        <w:rPr>
          <w:szCs w:val="22"/>
        </w:rPr>
        <w:t>picnic tables and play equipment</w:t>
      </w:r>
      <w:r w:rsidR="001A25AF">
        <w:rPr>
          <w:szCs w:val="22"/>
        </w:rPr>
        <w:t xml:space="preserve"> </w:t>
      </w:r>
      <w:r w:rsidR="009B5BFF">
        <w:rPr>
          <w:szCs w:val="22"/>
        </w:rPr>
        <w:t>will introduce new elements to the village green</w:t>
      </w:r>
      <w:r w:rsidR="00566546">
        <w:rPr>
          <w:szCs w:val="22"/>
        </w:rPr>
        <w:t xml:space="preserve"> but the location of these will not detract from the natural appearance of the existing </w:t>
      </w:r>
      <w:r w:rsidR="003F02AD">
        <w:rPr>
          <w:szCs w:val="22"/>
        </w:rPr>
        <w:t>parts of the green.</w:t>
      </w:r>
    </w:p>
    <w:p w14:paraId="0320C7A9" w14:textId="434D88D0" w:rsidR="003F02AD" w:rsidRPr="00681906" w:rsidRDefault="001A6E2B" w:rsidP="00681906">
      <w:pPr>
        <w:pStyle w:val="Style1"/>
        <w:tabs>
          <w:tab w:val="clear" w:pos="720"/>
        </w:tabs>
        <w:rPr>
          <w:szCs w:val="22"/>
        </w:rPr>
      </w:pPr>
      <w:r>
        <w:rPr>
          <w:szCs w:val="22"/>
        </w:rPr>
        <w:t xml:space="preserve">Overall, </w:t>
      </w:r>
      <w:r w:rsidR="0063714A">
        <w:rPr>
          <w:szCs w:val="22"/>
        </w:rPr>
        <w:t xml:space="preserve">the proposals in the application would result in little </w:t>
      </w:r>
      <w:r w:rsidR="00EF2CC9">
        <w:rPr>
          <w:szCs w:val="22"/>
        </w:rPr>
        <w:t xml:space="preserve">damage to the </w:t>
      </w:r>
      <w:r w:rsidR="00745E4E">
        <w:rPr>
          <w:szCs w:val="22"/>
        </w:rPr>
        <w:t xml:space="preserve">landscape of the </w:t>
      </w:r>
      <w:r w:rsidR="00EF2CC9">
        <w:rPr>
          <w:szCs w:val="22"/>
        </w:rPr>
        <w:t xml:space="preserve">release land </w:t>
      </w:r>
      <w:r w:rsidR="00745E4E">
        <w:rPr>
          <w:szCs w:val="22"/>
        </w:rPr>
        <w:t>and some enhancement of that of the replacement land and improvement land</w:t>
      </w:r>
      <w:r w:rsidR="00075111">
        <w:rPr>
          <w:szCs w:val="22"/>
        </w:rPr>
        <w:t>.</w:t>
      </w:r>
    </w:p>
    <w:p w14:paraId="21EC64F1" w14:textId="77777777" w:rsidR="00AE36CF" w:rsidRDefault="00AE36CF" w:rsidP="00AE36CF">
      <w:pPr>
        <w:pStyle w:val="Long4"/>
      </w:pPr>
      <w:r>
        <w:t>Public Access</w:t>
      </w:r>
    </w:p>
    <w:p w14:paraId="04E933B7" w14:textId="6890CF29" w:rsidR="00EE23C8" w:rsidRDefault="00336CC2" w:rsidP="00EE23C8">
      <w:pPr>
        <w:pStyle w:val="Style1"/>
        <w:tabs>
          <w:tab w:val="clear" w:pos="720"/>
        </w:tabs>
      </w:pPr>
      <w:r>
        <w:t xml:space="preserve">At present the </w:t>
      </w:r>
      <w:r w:rsidR="00BF2053">
        <w:t>existing village green is accessed at 6 points</w:t>
      </w:r>
      <w:r w:rsidR="00BC61F5">
        <w:t xml:space="preserve">, 2 on Vale Avenue, 2 on Barnet Lane and </w:t>
      </w:r>
      <w:r w:rsidR="00846CAA">
        <w:t>1 each on Carrington Avenue and Byron Avenue</w:t>
      </w:r>
      <w:r w:rsidR="002C1778">
        <w:t xml:space="preserve">. If the application is approved, </w:t>
      </w:r>
      <w:r w:rsidR="00DA3522">
        <w:t xml:space="preserve">the existing access </w:t>
      </w:r>
      <w:r w:rsidR="003C21E9">
        <w:t xml:space="preserve">points </w:t>
      </w:r>
      <w:r w:rsidR="00DA3522">
        <w:t xml:space="preserve">from Byron Avenue and </w:t>
      </w:r>
      <w:r w:rsidR="003C21E9">
        <w:t xml:space="preserve">from Vale Avenue, opposite </w:t>
      </w:r>
      <w:r w:rsidR="00147E61">
        <w:t>Tenn</w:t>
      </w:r>
      <w:r w:rsidR="00AA4C8F">
        <w:t>i</w:t>
      </w:r>
      <w:r w:rsidR="00147E61">
        <w:t xml:space="preserve">son Avenue will be lost </w:t>
      </w:r>
      <w:r w:rsidR="0092779F">
        <w:t>but</w:t>
      </w:r>
      <w:r w:rsidR="00AA4C8F">
        <w:t xml:space="preserve"> a new access will be opened on Barnet </w:t>
      </w:r>
      <w:r w:rsidR="0001710A">
        <w:t>Lan</w:t>
      </w:r>
      <w:r w:rsidR="00AA4C8F">
        <w:t>e</w:t>
      </w:r>
      <w:r w:rsidR="0099706C">
        <w:t>, the existing access from Vale Avenue</w:t>
      </w:r>
      <w:r w:rsidR="00D55F65">
        <w:t xml:space="preserve"> close to its junction with Milton Drive will be relocated 12m further south and improved</w:t>
      </w:r>
      <w:r w:rsidR="00530F91">
        <w:t>, and a new access from Byron Avenue</w:t>
      </w:r>
      <w:r w:rsidR="0006510C">
        <w:t xml:space="preserve"> may become available.</w:t>
      </w:r>
      <w:r w:rsidR="000B2E59">
        <w:t xml:space="preserve"> Other access points would be unaffected.</w:t>
      </w:r>
    </w:p>
    <w:p w14:paraId="04ACB158" w14:textId="529BDC99" w:rsidR="00473489" w:rsidRDefault="002B0E6E" w:rsidP="003D6A6A">
      <w:pPr>
        <w:pStyle w:val="Style1"/>
        <w:tabs>
          <w:tab w:val="clear" w:pos="720"/>
        </w:tabs>
      </w:pPr>
      <w:r>
        <w:t xml:space="preserve">The possible new access from Byron Avenue would require the agreement </w:t>
      </w:r>
      <w:r w:rsidR="0028302F">
        <w:t xml:space="preserve">of </w:t>
      </w:r>
      <w:r w:rsidR="00BA14F7">
        <w:t>HBC</w:t>
      </w:r>
      <w:r w:rsidR="00EE1821">
        <w:t>, the owner of land over which the access</w:t>
      </w:r>
      <w:r w:rsidR="00BA14F7">
        <w:t xml:space="preserve"> would run. </w:t>
      </w:r>
      <w:r w:rsidR="00675BFC">
        <w:t>This land is part of a garage</w:t>
      </w:r>
      <w:r w:rsidR="00C45AAF">
        <w:t xml:space="preserve"> </w:t>
      </w:r>
      <w:r w:rsidR="0001710A">
        <w:t>area</w:t>
      </w:r>
      <w:r w:rsidR="00C45AAF">
        <w:t xml:space="preserve"> and its use </w:t>
      </w:r>
      <w:r w:rsidR="002F09C5">
        <w:t xml:space="preserve">for the proposed access would require evaluation of its impact on </w:t>
      </w:r>
      <w:r w:rsidR="00BE65A5">
        <w:t>the existing use of the land and any risks which might arise from its use</w:t>
      </w:r>
      <w:r w:rsidR="009F213C">
        <w:t xml:space="preserve"> which would then be considered by the council</w:t>
      </w:r>
      <w:r w:rsidR="00AD007E">
        <w:t xml:space="preserve"> before any agreement could be reached</w:t>
      </w:r>
      <w:r w:rsidR="00C158A8">
        <w:t>. To date, it is stated on behalf of HBC</w:t>
      </w:r>
      <w:r w:rsidR="000F1E89">
        <w:t xml:space="preserve"> </w:t>
      </w:r>
      <w:r w:rsidR="00F5369D">
        <w:t xml:space="preserve">that it </w:t>
      </w:r>
      <w:r w:rsidR="000F1E89">
        <w:t>has not been formally approached regarding this matter</w:t>
      </w:r>
      <w:r w:rsidR="00440D8C">
        <w:t xml:space="preserve"> and the council opposes the approval of the application.</w:t>
      </w:r>
      <w:r w:rsidR="00DB56A2">
        <w:t xml:space="preserve"> It cannot therefore be assumed that a new access from Byron Avenue will be</w:t>
      </w:r>
      <w:r w:rsidR="00473489">
        <w:t>come available if the application is approved.</w:t>
      </w:r>
      <w:r w:rsidR="00052103">
        <w:t xml:space="preserve"> On the other hand</w:t>
      </w:r>
      <w:r w:rsidR="003E337C">
        <w:t>, the possibility of such an access</w:t>
      </w:r>
      <w:r w:rsidR="003E5175">
        <w:t xml:space="preserve"> has not been ruled out</w:t>
      </w:r>
      <w:r w:rsidR="0034205A">
        <w:t xml:space="preserve"> and the applicants have stated that they will</w:t>
      </w:r>
      <w:r w:rsidR="00960CC1">
        <w:t xml:space="preserve"> carry out all the necessary works on their land</w:t>
      </w:r>
      <w:r w:rsidR="00022C2A">
        <w:t xml:space="preserve"> for this access to be established</w:t>
      </w:r>
      <w:r w:rsidR="003E5175">
        <w:t>.</w:t>
      </w:r>
    </w:p>
    <w:p w14:paraId="58111364" w14:textId="2F98BFA7" w:rsidR="003D6A6A" w:rsidRDefault="00270B5B" w:rsidP="003D6A6A">
      <w:pPr>
        <w:pStyle w:val="Style1"/>
        <w:tabs>
          <w:tab w:val="clear" w:pos="720"/>
        </w:tabs>
      </w:pPr>
      <w:r>
        <w:t xml:space="preserve">Analysis by </w:t>
      </w:r>
      <w:r w:rsidR="00E90FD2">
        <w:t xml:space="preserve">a transport consultant on behalf of the </w:t>
      </w:r>
      <w:r w:rsidR="0092779F">
        <w:t>applicant</w:t>
      </w:r>
      <w:r w:rsidR="001671B0">
        <w:t>s</w:t>
      </w:r>
      <w:r w:rsidR="0092779F">
        <w:t>,</w:t>
      </w:r>
      <w:r w:rsidR="002C4DC4">
        <w:t xml:space="preserve"> </w:t>
      </w:r>
      <w:r w:rsidR="00022C2A">
        <w:t xml:space="preserve">which was </w:t>
      </w:r>
      <w:r w:rsidR="002C4DC4">
        <w:t xml:space="preserve">not challenged by objectors, showed that </w:t>
      </w:r>
      <w:r w:rsidR="000E6071">
        <w:t>23 out of 480 households within the defined neighbourhood</w:t>
      </w:r>
      <w:r w:rsidR="00696799">
        <w:t xml:space="preserve"> would no longer be within 400m</w:t>
      </w:r>
      <w:r w:rsidR="00EA2744">
        <w:t xml:space="preserve"> </w:t>
      </w:r>
      <w:r w:rsidR="0081586E">
        <w:t xml:space="preserve">(5 minutes) </w:t>
      </w:r>
      <w:r w:rsidR="00EA2744">
        <w:t>walk of an access point if the application is approved</w:t>
      </w:r>
      <w:r w:rsidR="00CA2ADD">
        <w:t xml:space="preserve"> and no new access from Byron Avenue </w:t>
      </w:r>
      <w:r w:rsidR="0057151F">
        <w:t xml:space="preserve">made </w:t>
      </w:r>
      <w:r w:rsidR="00CA2ADD">
        <w:t>available.</w:t>
      </w:r>
      <w:r w:rsidR="00D14133">
        <w:t xml:space="preserve"> </w:t>
      </w:r>
      <w:r w:rsidR="00877D78">
        <w:t>All 23 of these househo</w:t>
      </w:r>
      <w:r w:rsidR="00F556D8">
        <w:t>l</w:t>
      </w:r>
      <w:r w:rsidR="00877D78">
        <w:t>ds would still be within 500m</w:t>
      </w:r>
      <w:r w:rsidR="00F556D8">
        <w:t xml:space="preserve"> </w:t>
      </w:r>
      <w:r w:rsidR="00F556D8">
        <w:lastRenderedPageBreak/>
        <w:t xml:space="preserve">of access points. </w:t>
      </w:r>
      <w:r w:rsidR="00D14133">
        <w:t xml:space="preserve">If </w:t>
      </w:r>
      <w:r w:rsidR="00F63892">
        <w:t>all households in the area are considered</w:t>
      </w:r>
      <w:r w:rsidR="004C368A">
        <w:t xml:space="preserve">, </w:t>
      </w:r>
      <w:r w:rsidR="00C60BD9">
        <w:t>8 out of 713</w:t>
      </w:r>
      <w:r w:rsidR="006C0EBD">
        <w:t xml:space="preserve"> would no longer be within 400m bu</w:t>
      </w:r>
      <w:r w:rsidR="001F1903">
        <w:t>t an additional 195 would be within 800m (10 minutes) walk</w:t>
      </w:r>
      <w:r w:rsidR="004706F6">
        <w:t xml:space="preserve"> and a further 282 within 1200m</w:t>
      </w:r>
      <w:r w:rsidR="00684CD4">
        <w:t>.</w:t>
      </w:r>
      <w:r w:rsidR="001D4602">
        <w:t xml:space="preserve"> </w:t>
      </w:r>
    </w:p>
    <w:p w14:paraId="687FF3B4" w14:textId="7C2E7919" w:rsidR="0079591C" w:rsidRDefault="003028C7" w:rsidP="003D6A6A">
      <w:pPr>
        <w:pStyle w:val="Style1"/>
        <w:tabs>
          <w:tab w:val="clear" w:pos="720"/>
        </w:tabs>
      </w:pPr>
      <w:r>
        <w:t>This analysis</w:t>
      </w:r>
      <w:r w:rsidR="00982249">
        <w:t xml:space="preserve"> suggests that approval of the application would have only a marginal </w:t>
      </w:r>
      <w:r w:rsidR="007E0EE0">
        <w:t xml:space="preserve">adverse </w:t>
      </w:r>
      <w:r w:rsidR="00982249">
        <w:t xml:space="preserve">effect on accessibility from the </w:t>
      </w:r>
      <w:r w:rsidR="00071EFE">
        <w:t>defined neighbourhood</w:t>
      </w:r>
      <w:r w:rsidR="0053750C">
        <w:t xml:space="preserve"> but would significantly improve access from a wider area, notably that to the west of the green.</w:t>
      </w:r>
      <w:r w:rsidR="00765087">
        <w:t xml:space="preserve"> I also note that residents from </w:t>
      </w:r>
      <w:r w:rsidR="00961D1B">
        <w:t xml:space="preserve">the west would be able to access the revised green without </w:t>
      </w:r>
      <w:r w:rsidR="00AA6357">
        <w:t xml:space="preserve">having to walk an additional 350m approximately along the </w:t>
      </w:r>
      <w:r w:rsidR="002959EF">
        <w:t xml:space="preserve">steep and relatively narrow </w:t>
      </w:r>
      <w:r w:rsidR="00AA6357">
        <w:t>footway adjacent to the busy Barnet</w:t>
      </w:r>
      <w:r w:rsidR="002959EF">
        <w:t xml:space="preserve"> Lane.</w:t>
      </w:r>
    </w:p>
    <w:p w14:paraId="1DE8BA0E" w14:textId="23BE2FE7" w:rsidR="00613B05" w:rsidRDefault="00613B05" w:rsidP="003D6A6A">
      <w:pPr>
        <w:pStyle w:val="Style1"/>
        <w:tabs>
          <w:tab w:val="clear" w:pos="720"/>
        </w:tabs>
      </w:pPr>
      <w:r>
        <w:t xml:space="preserve">Various new paths are proposed to be established within the </w:t>
      </w:r>
      <w:r w:rsidR="00772B8C">
        <w:t xml:space="preserve">replacement land and improvement land including </w:t>
      </w:r>
      <w:r w:rsidR="003F40EB">
        <w:t xml:space="preserve">an informal surfaced path, bark mulch paths within the woodland area and </w:t>
      </w:r>
      <w:r w:rsidR="00587018">
        <w:t xml:space="preserve">mown paths. These would improve </w:t>
      </w:r>
      <w:r w:rsidR="004B5342">
        <w:t>accessibility within the village green.</w:t>
      </w:r>
    </w:p>
    <w:p w14:paraId="6E78FF6A" w14:textId="53810BE0" w:rsidR="008832B6" w:rsidRPr="00EE23C8" w:rsidRDefault="00685781" w:rsidP="003D6A6A">
      <w:pPr>
        <w:pStyle w:val="Style1"/>
        <w:tabs>
          <w:tab w:val="clear" w:pos="720"/>
        </w:tabs>
      </w:pPr>
      <w:r>
        <w:t>Overall,</w:t>
      </w:r>
      <w:r w:rsidR="00237548">
        <w:t xml:space="preserve"> approval of the application would not in my view have a significant adverse effect</w:t>
      </w:r>
      <w:r w:rsidR="007852CF">
        <w:t xml:space="preserve"> on public accessibility to the village green</w:t>
      </w:r>
      <w:r w:rsidR="004B33B4">
        <w:t xml:space="preserve"> and would bring benefits to some users</w:t>
      </w:r>
      <w:r w:rsidR="007852CF">
        <w:t>.</w:t>
      </w:r>
    </w:p>
    <w:p w14:paraId="0171B5DF" w14:textId="77777777" w:rsidR="00AE36CF" w:rsidRDefault="00AE36CF" w:rsidP="00AE36CF">
      <w:pPr>
        <w:pStyle w:val="Long4"/>
      </w:pPr>
      <w:r>
        <w:t>Archaeological remains and features of historic interest</w:t>
      </w:r>
    </w:p>
    <w:p w14:paraId="025ADCF2" w14:textId="361FAC77" w:rsidR="00EE23C8" w:rsidRDefault="00EE23C8" w:rsidP="00EE23C8">
      <w:pPr>
        <w:pStyle w:val="Style1"/>
        <w:tabs>
          <w:tab w:val="clear" w:pos="720"/>
        </w:tabs>
      </w:pPr>
      <w:r>
        <w:t>Neither the release land nor the replacement land contains any scheduled ancient monuments.</w:t>
      </w:r>
      <w:r w:rsidR="0041672D">
        <w:t xml:space="preserve"> Historic England was consulted regarding the application and has raised no objection.</w:t>
      </w:r>
    </w:p>
    <w:p w14:paraId="78ACD107" w14:textId="39CEFE06" w:rsidR="00AA4239" w:rsidRDefault="007A52D5" w:rsidP="00EE23C8">
      <w:pPr>
        <w:pStyle w:val="Style1"/>
        <w:tabs>
          <w:tab w:val="clear" w:pos="720"/>
        </w:tabs>
      </w:pPr>
      <w:r>
        <w:t>The site of a former Admiralty</w:t>
      </w:r>
      <w:r w:rsidR="00DB72F2">
        <w:t xml:space="preserve"> Telegraph is marked by an information board within the improvement land</w:t>
      </w:r>
      <w:r w:rsidR="00F169E4">
        <w:t xml:space="preserve">. </w:t>
      </w:r>
      <w:r w:rsidR="00F0012B">
        <w:t>Th</w:t>
      </w:r>
      <w:r w:rsidR="008812CE">
        <w:t>e Telegraph was erected at</w:t>
      </w:r>
      <w:r w:rsidR="006A09A6">
        <w:t xml:space="preserve"> the time of the Napoleonic </w:t>
      </w:r>
      <w:r w:rsidR="001671B0">
        <w:t>W</w:t>
      </w:r>
      <w:r w:rsidR="006A09A6">
        <w:t>ars</w:t>
      </w:r>
      <w:r w:rsidR="00E04D68">
        <w:t xml:space="preserve"> as part of a chain</w:t>
      </w:r>
      <w:r w:rsidR="00EE50BC">
        <w:t xml:space="preserve"> enabling messages to be passed </w:t>
      </w:r>
      <w:r w:rsidR="0030384F">
        <w:t>to</w:t>
      </w:r>
      <w:r w:rsidR="00F0482E">
        <w:t xml:space="preserve"> Plymouth</w:t>
      </w:r>
      <w:r w:rsidR="0030384F">
        <w:t>,</w:t>
      </w:r>
      <w:r w:rsidR="00F0482E">
        <w:t xml:space="preserve"> </w:t>
      </w:r>
      <w:proofErr w:type="gramStart"/>
      <w:r w:rsidR="00F0482E">
        <w:t>Portsmouth</w:t>
      </w:r>
      <w:proofErr w:type="gramEnd"/>
      <w:r w:rsidR="00F0482E">
        <w:t xml:space="preserve"> </w:t>
      </w:r>
      <w:r w:rsidR="0030384F">
        <w:t>and Yarmouth by way of the Admiralty in London</w:t>
      </w:r>
      <w:r w:rsidR="00D1402A">
        <w:t>.</w:t>
      </w:r>
      <w:r w:rsidR="00AE3692">
        <w:t xml:space="preserve"> The views to the north and south from </w:t>
      </w:r>
      <w:r w:rsidR="001F0B33">
        <w:t>the site of the Telegraph would not be affected by proposals in the application.</w:t>
      </w:r>
    </w:p>
    <w:p w14:paraId="782828BE" w14:textId="550872F8" w:rsidR="002F5E3E" w:rsidRDefault="008E68CF" w:rsidP="00EE23C8">
      <w:pPr>
        <w:pStyle w:val="Style1"/>
        <w:tabs>
          <w:tab w:val="clear" w:pos="720"/>
        </w:tabs>
      </w:pPr>
      <w:r>
        <w:t>A beacon</w:t>
      </w:r>
      <w:r w:rsidR="00F0482E">
        <w:t xml:space="preserve"> </w:t>
      </w:r>
      <w:r w:rsidR="004B7662">
        <w:t>forming part of a network</w:t>
      </w:r>
      <w:r w:rsidR="004C6479">
        <w:t xml:space="preserve"> lit at the time of the Spanish Armada was situated on Woodcock Hill</w:t>
      </w:r>
      <w:r w:rsidR="001D3030">
        <w:t>.</w:t>
      </w:r>
      <w:r w:rsidR="00E325F1">
        <w:t xml:space="preserve"> A more modern beaco</w:t>
      </w:r>
      <w:r w:rsidR="00BD35A5">
        <w:t>n is now in place on part of the village green unaffected by the application proposals</w:t>
      </w:r>
      <w:r w:rsidR="00583E3B">
        <w:t xml:space="preserve">. This </w:t>
      </w:r>
      <w:r w:rsidR="00FC347A">
        <w:t>h</w:t>
      </w:r>
      <w:r w:rsidR="00583E3B">
        <w:t xml:space="preserve">as been lit on </w:t>
      </w:r>
      <w:proofErr w:type="gramStart"/>
      <w:r w:rsidR="00583E3B">
        <w:t>a number of</w:t>
      </w:r>
      <w:proofErr w:type="gramEnd"/>
      <w:r w:rsidR="00583E3B">
        <w:t xml:space="preserve"> occasions and </w:t>
      </w:r>
      <w:r w:rsidR="008E7D61">
        <w:t>in 1988 a procession from the town to the beacon to commemorate the 400</w:t>
      </w:r>
      <w:r w:rsidR="008E7D61" w:rsidRPr="008E7D61">
        <w:rPr>
          <w:vertAlign w:val="superscript"/>
        </w:rPr>
        <w:t>th</w:t>
      </w:r>
      <w:r w:rsidR="008E7D61">
        <w:t xml:space="preserve"> anniversary of the Armada</w:t>
      </w:r>
      <w:r w:rsidR="009451B8">
        <w:t xml:space="preserve"> </w:t>
      </w:r>
      <w:r w:rsidR="00707B05">
        <w:t>was said to</w:t>
      </w:r>
      <w:r w:rsidR="009451B8">
        <w:t xml:space="preserve"> have crossed the release land.</w:t>
      </w:r>
    </w:p>
    <w:p w14:paraId="2AA006ED" w14:textId="4D6F76DF" w:rsidR="00FC347A" w:rsidRDefault="00FC347A" w:rsidP="00EE23C8">
      <w:pPr>
        <w:pStyle w:val="Style1"/>
        <w:tabs>
          <w:tab w:val="clear" w:pos="720"/>
        </w:tabs>
      </w:pPr>
      <w:r>
        <w:t>There are two 19</w:t>
      </w:r>
      <w:r w:rsidRPr="00FC347A">
        <w:rPr>
          <w:vertAlign w:val="superscript"/>
        </w:rPr>
        <w:t>th</w:t>
      </w:r>
      <w:r>
        <w:t xml:space="preserve"> century air shafts</w:t>
      </w:r>
      <w:r w:rsidR="00B82ACE">
        <w:t xml:space="preserve"> situated </w:t>
      </w:r>
      <w:r w:rsidR="000D6869">
        <w:t>on the replacement land</w:t>
      </w:r>
      <w:r w:rsidR="00BB0974">
        <w:t xml:space="preserve"> from the railway which passes beneath. </w:t>
      </w:r>
      <w:r w:rsidR="00F96822">
        <w:t xml:space="preserve">These are of modest local heritage interest and </w:t>
      </w:r>
      <w:r w:rsidR="005630ED">
        <w:t xml:space="preserve">will remain in place </w:t>
      </w:r>
      <w:proofErr w:type="gramStart"/>
      <w:r w:rsidR="005630ED">
        <w:t>whether or not</w:t>
      </w:r>
      <w:proofErr w:type="gramEnd"/>
      <w:r w:rsidR="005630ED">
        <w:t xml:space="preserve"> the application is approved.</w:t>
      </w:r>
    </w:p>
    <w:p w14:paraId="72DAD47A" w14:textId="01329D92" w:rsidR="0041672D" w:rsidRPr="00EE23C8" w:rsidRDefault="005630ED" w:rsidP="00EE23C8">
      <w:pPr>
        <w:pStyle w:val="Style1"/>
        <w:tabs>
          <w:tab w:val="clear" w:pos="720"/>
        </w:tabs>
      </w:pPr>
      <w:r>
        <w:t>Overall</w:t>
      </w:r>
      <w:r w:rsidR="00164541">
        <w:t xml:space="preserve">, </w:t>
      </w:r>
      <w:r w:rsidR="0041672D">
        <w:t>I have no reason to believe that the proposed exchange will have any adverse effect on archaeological remains or features of historic interest.</w:t>
      </w:r>
    </w:p>
    <w:p w14:paraId="50164A3C" w14:textId="77777777" w:rsidR="00AE36CF" w:rsidRDefault="00AE36CF" w:rsidP="00AE36CF">
      <w:pPr>
        <w:pStyle w:val="Long4"/>
      </w:pPr>
      <w:r>
        <w:t>Conclusions on the public interest</w:t>
      </w:r>
    </w:p>
    <w:p w14:paraId="022ABF56" w14:textId="77777777" w:rsidR="00BD7815" w:rsidRPr="00BD7815" w:rsidRDefault="00BD7815" w:rsidP="00BD7815">
      <w:pPr>
        <w:pStyle w:val="Style1"/>
        <w:tabs>
          <w:tab w:val="clear" w:pos="720"/>
        </w:tabs>
      </w:pPr>
      <w:r>
        <w:t>Overall, the proposed deregistration and exchange will have little adverse effect on the public interest and potentially will bring some benefit.</w:t>
      </w:r>
    </w:p>
    <w:p w14:paraId="3CFAEA0F" w14:textId="18B17A54" w:rsidR="00AE36CF" w:rsidRDefault="00AE36CF" w:rsidP="00AE36CF">
      <w:pPr>
        <w:pStyle w:val="Long3"/>
      </w:pPr>
      <w:r>
        <w:t>Other Matters</w:t>
      </w:r>
    </w:p>
    <w:p w14:paraId="6BAE95D8" w14:textId="41FA2469" w:rsidR="004B33B4" w:rsidRDefault="008A529B" w:rsidP="008A529B">
      <w:pPr>
        <w:pStyle w:val="Style1"/>
        <w:tabs>
          <w:tab w:val="clear" w:pos="720"/>
        </w:tabs>
      </w:pPr>
      <w:r>
        <w:t>The proposed funding to be provided for the maintenance and managem</w:t>
      </w:r>
      <w:r w:rsidR="00AA71EC">
        <w:t xml:space="preserve">ent of improved areas over a </w:t>
      </w:r>
      <w:proofErr w:type="gramStart"/>
      <w:r w:rsidR="00AA71EC">
        <w:t>15 year</w:t>
      </w:r>
      <w:proofErr w:type="gramEnd"/>
      <w:r w:rsidR="00AA71EC">
        <w:t xml:space="preserve"> period</w:t>
      </w:r>
      <w:r w:rsidR="006C365F">
        <w:t xml:space="preserve"> was questioned on behalf of objectors. </w:t>
      </w:r>
      <w:r w:rsidR="009367EE">
        <w:t xml:space="preserve">I </w:t>
      </w:r>
      <w:r w:rsidR="009367EE">
        <w:lastRenderedPageBreak/>
        <w:t>have seen no breakdown of how the figure of £370,000 was arrived at</w:t>
      </w:r>
      <w:r w:rsidR="007749B5">
        <w:t xml:space="preserve"> or how it is intended to be spent. This will presumably be a matter for the propos</w:t>
      </w:r>
      <w:r w:rsidR="00E54F1A">
        <w:t>e</w:t>
      </w:r>
      <w:r w:rsidR="007749B5">
        <w:t>d management com</w:t>
      </w:r>
      <w:r w:rsidR="00E54F1A">
        <w:t>pany to address. However, it is a substantial sum</w:t>
      </w:r>
      <w:r w:rsidR="005369D9">
        <w:t xml:space="preserve"> </w:t>
      </w:r>
      <w:r w:rsidR="00D878C5">
        <w:t>which should be capable of being used</w:t>
      </w:r>
      <w:r w:rsidR="00FC4BB1">
        <w:t xml:space="preserve"> to effectively ensure that</w:t>
      </w:r>
      <w:r w:rsidR="00F43E9B">
        <w:t xml:space="preserve"> landscaping works </w:t>
      </w:r>
      <w:r w:rsidR="00A21846">
        <w:t>are properly managed and new planting well established.</w:t>
      </w:r>
      <w:r w:rsidR="000E67FE">
        <w:t xml:space="preserve"> After 15 years</w:t>
      </w:r>
      <w:r w:rsidR="00537AFE">
        <w:t xml:space="preserve">, alternative funding and/or </w:t>
      </w:r>
      <w:r w:rsidR="009D79CD">
        <w:t xml:space="preserve">other means of ensuring continued maintenance </w:t>
      </w:r>
      <w:r w:rsidR="00FB1DB8">
        <w:t>of the green will be needed</w:t>
      </w:r>
      <w:r w:rsidR="009B29A4">
        <w:t xml:space="preserve">, </w:t>
      </w:r>
      <w:r w:rsidR="009A04B3">
        <w:t xml:space="preserve">but it would not be reasonable to expect the applicants </w:t>
      </w:r>
      <w:r w:rsidR="00793DB3">
        <w:t>to be responsible for this indefinitely.</w:t>
      </w:r>
    </w:p>
    <w:p w14:paraId="3453A989" w14:textId="66138B37" w:rsidR="005120AA" w:rsidRPr="004B33B4" w:rsidRDefault="005F5379" w:rsidP="008A529B">
      <w:pPr>
        <w:pStyle w:val="Style1"/>
        <w:tabs>
          <w:tab w:val="clear" w:pos="720"/>
        </w:tabs>
      </w:pPr>
      <w:r>
        <w:t>One person h</w:t>
      </w:r>
      <w:r w:rsidR="00463FFE">
        <w:t>olds a grazing lic</w:t>
      </w:r>
      <w:r w:rsidR="001C1BB1">
        <w:t>ence on part of the replacement land</w:t>
      </w:r>
      <w:r w:rsidR="00207A62">
        <w:t xml:space="preserve">. This is terminable on one month’s notice and would not therefore </w:t>
      </w:r>
      <w:r w:rsidR="00645DF2">
        <w:t>affect the implementation of proposed works.</w:t>
      </w:r>
    </w:p>
    <w:p w14:paraId="0BD469B3" w14:textId="77777777" w:rsidR="00AE36CF" w:rsidRDefault="00AE36CF" w:rsidP="00AE36CF">
      <w:pPr>
        <w:pStyle w:val="Long2"/>
      </w:pPr>
      <w:r>
        <w:t xml:space="preserve">Conclusion </w:t>
      </w:r>
    </w:p>
    <w:p w14:paraId="6EE79F5D" w14:textId="3D41C549" w:rsidR="002274F9" w:rsidRPr="002274F9" w:rsidRDefault="00F2628B" w:rsidP="002274F9">
      <w:pPr>
        <w:pStyle w:val="Style1"/>
        <w:tabs>
          <w:tab w:val="clear" w:pos="720"/>
        </w:tabs>
      </w:pPr>
      <w:r>
        <w:t>The proposals in the ap</w:t>
      </w:r>
      <w:r w:rsidR="0029471D">
        <w:t>p</w:t>
      </w:r>
      <w:r>
        <w:t>licatio</w:t>
      </w:r>
      <w:r w:rsidR="0029471D">
        <w:t xml:space="preserve">n satisfy all the criteria set out in </w:t>
      </w:r>
      <w:r w:rsidR="00834E62">
        <w:t>Section 16(6) of the 2006 Act</w:t>
      </w:r>
      <w:r w:rsidR="002274F9">
        <w:t>. The application should therefore be granted.</w:t>
      </w:r>
    </w:p>
    <w:p w14:paraId="46D99A7C" w14:textId="77777777" w:rsidR="00BD09CD" w:rsidRDefault="00BD09CD" w:rsidP="006062E5">
      <w:pPr>
        <w:pStyle w:val="Heading6blackfont"/>
      </w:pPr>
    </w:p>
    <w:p w14:paraId="25086FE0" w14:textId="77777777" w:rsidR="00AE36CF" w:rsidRPr="00D23A94" w:rsidRDefault="00AE36CF" w:rsidP="00AE36CF">
      <w:pPr>
        <w:pStyle w:val="Long1"/>
        <w:rPr>
          <w:szCs w:val="22"/>
        </w:rPr>
      </w:pPr>
    </w:p>
    <w:p w14:paraId="4FB89C45" w14:textId="77777777" w:rsidR="00236CAC" w:rsidRDefault="00236CAC" w:rsidP="00236CAC">
      <w:pPr>
        <w:pStyle w:val="Long2"/>
      </w:pPr>
      <w:r>
        <w:br w:type="page"/>
      </w:r>
      <w:r>
        <w:lastRenderedPageBreak/>
        <w:t>Order</w:t>
      </w:r>
    </w:p>
    <w:p w14:paraId="784FF03C" w14:textId="77777777" w:rsidR="00236CAC" w:rsidRPr="00FD66DA" w:rsidRDefault="00236CAC" w:rsidP="00236CAC">
      <w:pPr>
        <w:pStyle w:val="Style2"/>
        <w:numPr>
          <w:ilvl w:val="0"/>
          <w:numId w:val="0"/>
        </w:numPr>
      </w:pPr>
    </w:p>
    <w:p w14:paraId="2DC02097" w14:textId="77777777" w:rsidR="00236CAC" w:rsidRDefault="00236CAC" w:rsidP="00236CAC">
      <w:pPr>
        <w:autoSpaceDE w:val="0"/>
        <w:autoSpaceDN w:val="0"/>
        <w:adjustRightInd w:val="0"/>
        <w:rPr>
          <w:rFonts w:cs="Verdana"/>
          <w:szCs w:val="22"/>
        </w:rPr>
      </w:pPr>
      <w:r>
        <w:rPr>
          <w:rFonts w:cs="Verdana"/>
          <w:szCs w:val="22"/>
        </w:rPr>
        <w:t>On behalf of the Secretary of State for Environment, Food and Rural Affairs and</w:t>
      </w:r>
    </w:p>
    <w:p w14:paraId="3EAEFED2" w14:textId="77777777" w:rsidR="00236CAC" w:rsidRDefault="00236CAC" w:rsidP="00236CAC">
      <w:pPr>
        <w:autoSpaceDE w:val="0"/>
        <w:autoSpaceDN w:val="0"/>
        <w:adjustRightInd w:val="0"/>
        <w:rPr>
          <w:rFonts w:cs="Verdana"/>
          <w:b/>
          <w:bCs/>
          <w:szCs w:val="22"/>
        </w:rPr>
      </w:pPr>
      <w:r>
        <w:rPr>
          <w:rFonts w:cs="Verdana"/>
          <w:szCs w:val="22"/>
        </w:rPr>
        <w:t xml:space="preserve">pursuant to section 17(1) and (2) of the Commons Act 2006, </w:t>
      </w:r>
      <w:r>
        <w:rPr>
          <w:rFonts w:cs="Verdana"/>
          <w:b/>
          <w:bCs/>
          <w:szCs w:val="22"/>
        </w:rPr>
        <w:t>I HEREBY ORDER</w:t>
      </w:r>
    </w:p>
    <w:p w14:paraId="5A72A072" w14:textId="7AD52DD3" w:rsidR="00236CAC" w:rsidRDefault="00F03C8D" w:rsidP="00236CAC">
      <w:pPr>
        <w:autoSpaceDE w:val="0"/>
        <w:autoSpaceDN w:val="0"/>
        <w:adjustRightInd w:val="0"/>
        <w:rPr>
          <w:rFonts w:cs="Verdana"/>
          <w:szCs w:val="22"/>
        </w:rPr>
      </w:pPr>
      <w:r>
        <w:rPr>
          <w:rFonts w:cs="Verdana"/>
          <w:szCs w:val="22"/>
        </w:rPr>
        <w:t xml:space="preserve">Hertfordshire </w:t>
      </w:r>
      <w:r w:rsidR="00236CAC">
        <w:rPr>
          <w:rFonts w:cs="Verdana"/>
          <w:szCs w:val="22"/>
        </w:rPr>
        <w:t>County Council, as commons registration authority for the area in</w:t>
      </w:r>
    </w:p>
    <w:p w14:paraId="7A820D4D" w14:textId="77777777" w:rsidR="00236CAC" w:rsidRDefault="00236CAC" w:rsidP="00236CAC">
      <w:pPr>
        <w:autoSpaceDE w:val="0"/>
        <w:autoSpaceDN w:val="0"/>
        <w:adjustRightInd w:val="0"/>
        <w:rPr>
          <w:rFonts w:cs="Verdana"/>
          <w:szCs w:val="22"/>
        </w:rPr>
      </w:pPr>
      <w:r>
        <w:rPr>
          <w:rFonts w:cs="Verdana"/>
          <w:szCs w:val="22"/>
        </w:rPr>
        <w:t>which the release land and the replacement land are situated:</w:t>
      </w:r>
    </w:p>
    <w:p w14:paraId="6A4545A5" w14:textId="77777777" w:rsidR="00236CAC" w:rsidRDefault="00236CAC" w:rsidP="00236CAC">
      <w:pPr>
        <w:autoSpaceDE w:val="0"/>
        <w:autoSpaceDN w:val="0"/>
        <w:adjustRightInd w:val="0"/>
        <w:rPr>
          <w:rFonts w:cs="Verdana"/>
          <w:szCs w:val="22"/>
        </w:rPr>
      </w:pPr>
    </w:p>
    <w:p w14:paraId="7E8DC2C0" w14:textId="5A99E6C8" w:rsidR="00236CAC" w:rsidRDefault="00236CAC" w:rsidP="00236CAC">
      <w:pPr>
        <w:autoSpaceDE w:val="0"/>
        <w:autoSpaceDN w:val="0"/>
        <w:adjustRightInd w:val="0"/>
        <w:rPr>
          <w:rFonts w:cs="Verdana"/>
          <w:szCs w:val="22"/>
        </w:rPr>
      </w:pPr>
      <w:r>
        <w:rPr>
          <w:rFonts w:cs="Verdana"/>
          <w:szCs w:val="22"/>
        </w:rPr>
        <w:t xml:space="preserve">(a) to remove the release land from its register of </w:t>
      </w:r>
      <w:r w:rsidR="00C61B89">
        <w:rPr>
          <w:rFonts w:cs="Verdana"/>
          <w:szCs w:val="22"/>
        </w:rPr>
        <w:t>village green</w:t>
      </w:r>
      <w:r>
        <w:rPr>
          <w:rFonts w:cs="Verdana"/>
          <w:szCs w:val="22"/>
        </w:rPr>
        <w:t xml:space="preserve"> land, by amending</w:t>
      </w:r>
    </w:p>
    <w:p w14:paraId="1F752A9A" w14:textId="53CCC3DB" w:rsidR="00236CAC" w:rsidRDefault="00236CAC" w:rsidP="00236CAC">
      <w:pPr>
        <w:autoSpaceDE w:val="0"/>
        <w:autoSpaceDN w:val="0"/>
        <w:adjustRightInd w:val="0"/>
        <w:ind w:left="426"/>
        <w:rPr>
          <w:rFonts w:cs="Verdana"/>
          <w:szCs w:val="22"/>
        </w:rPr>
      </w:pPr>
      <w:r>
        <w:rPr>
          <w:rFonts w:cs="Verdana"/>
          <w:szCs w:val="22"/>
        </w:rPr>
        <w:t xml:space="preserve">register unit </w:t>
      </w:r>
      <w:r w:rsidR="00562DA1">
        <w:rPr>
          <w:rFonts w:cs="Verdana"/>
          <w:szCs w:val="22"/>
        </w:rPr>
        <w:t>VG 12</w:t>
      </w:r>
      <w:r>
        <w:rPr>
          <w:rFonts w:cs="Verdana"/>
          <w:szCs w:val="22"/>
        </w:rPr>
        <w:t xml:space="preserve">0 to exclude the release </w:t>
      </w:r>
      <w:proofErr w:type="gramStart"/>
      <w:r>
        <w:rPr>
          <w:rFonts w:cs="Verdana"/>
          <w:szCs w:val="22"/>
        </w:rPr>
        <w:t>land;</w:t>
      </w:r>
      <w:proofErr w:type="gramEnd"/>
      <w:r>
        <w:rPr>
          <w:rFonts w:cs="Verdana"/>
          <w:szCs w:val="22"/>
        </w:rPr>
        <w:t xml:space="preserve"> </w:t>
      </w:r>
    </w:p>
    <w:p w14:paraId="6CF00A51" w14:textId="77777777" w:rsidR="00236CAC" w:rsidRDefault="00236CAC" w:rsidP="00236CAC">
      <w:pPr>
        <w:autoSpaceDE w:val="0"/>
        <w:autoSpaceDN w:val="0"/>
        <w:adjustRightInd w:val="0"/>
        <w:rPr>
          <w:rFonts w:cs="Verdana"/>
          <w:szCs w:val="22"/>
        </w:rPr>
      </w:pPr>
    </w:p>
    <w:p w14:paraId="4FC8C45B" w14:textId="2727FFA9" w:rsidR="00236CAC" w:rsidRDefault="00236CAC" w:rsidP="00236CAC">
      <w:pPr>
        <w:autoSpaceDE w:val="0"/>
        <w:autoSpaceDN w:val="0"/>
        <w:adjustRightInd w:val="0"/>
        <w:rPr>
          <w:rFonts w:cs="Verdana"/>
          <w:szCs w:val="22"/>
        </w:rPr>
      </w:pPr>
      <w:r>
        <w:rPr>
          <w:rFonts w:cs="Verdana"/>
          <w:szCs w:val="22"/>
        </w:rPr>
        <w:t>(b) to register the replacement land as</w:t>
      </w:r>
      <w:r w:rsidR="00562DA1">
        <w:rPr>
          <w:rFonts w:cs="Verdana"/>
          <w:szCs w:val="22"/>
        </w:rPr>
        <w:t xml:space="preserve"> </w:t>
      </w:r>
      <w:r w:rsidR="00344C9C">
        <w:rPr>
          <w:rFonts w:cs="Verdana"/>
          <w:szCs w:val="22"/>
        </w:rPr>
        <w:t>village green</w:t>
      </w:r>
      <w:r>
        <w:rPr>
          <w:rFonts w:cs="Verdana"/>
          <w:szCs w:val="22"/>
        </w:rPr>
        <w:t>, by amending register unit</w:t>
      </w:r>
    </w:p>
    <w:p w14:paraId="53AD6014" w14:textId="319EE7F4" w:rsidR="00236CAC" w:rsidRDefault="00562DA1" w:rsidP="00042EFD">
      <w:pPr>
        <w:autoSpaceDE w:val="0"/>
        <w:autoSpaceDN w:val="0"/>
        <w:adjustRightInd w:val="0"/>
        <w:ind w:firstLine="426"/>
        <w:rPr>
          <w:rFonts w:cs="Verdana"/>
          <w:szCs w:val="22"/>
        </w:rPr>
      </w:pPr>
      <w:r>
        <w:rPr>
          <w:rFonts w:cs="Verdana"/>
          <w:szCs w:val="22"/>
        </w:rPr>
        <w:t>VG 12</w:t>
      </w:r>
      <w:r w:rsidR="00814608">
        <w:rPr>
          <w:rFonts w:cs="Verdana"/>
          <w:szCs w:val="22"/>
        </w:rPr>
        <w:t>0</w:t>
      </w:r>
      <w:r w:rsidR="00236CAC">
        <w:rPr>
          <w:rFonts w:cs="Verdana"/>
          <w:szCs w:val="22"/>
        </w:rPr>
        <w:t xml:space="preserve"> to include the replacement </w:t>
      </w:r>
      <w:proofErr w:type="gramStart"/>
      <w:r w:rsidR="00236CAC">
        <w:rPr>
          <w:rFonts w:cs="Verdana"/>
          <w:szCs w:val="22"/>
        </w:rPr>
        <w:t>land;</w:t>
      </w:r>
      <w:proofErr w:type="gramEnd"/>
    </w:p>
    <w:p w14:paraId="3D4BC159" w14:textId="77777777" w:rsidR="00236CAC" w:rsidRDefault="00236CAC" w:rsidP="00236CAC">
      <w:pPr>
        <w:autoSpaceDE w:val="0"/>
        <w:autoSpaceDN w:val="0"/>
        <w:adjustRightInd w:val="0"/>
        <w:rPr>
          <w:rFonts w:cs="Verdana"/>
          <w:szCs w:val="22"/>
        </w:rPr>
      </w:pPr>
    </w:p>
    <w:p w14:paraId="1E454442" w14:textId="77777777" w:rsidR="00236CAC" w:rsidRDefault="00236CAC" w:rsidP="00236CAC">
      <w:pPr>
        <w:autoSpaceDE w:val="0"/>
        <w:autoSpaceDN w:val="0"/>
        <w:adjustRightInd w:val="0"/>
        <w:ind w:firstLine="426"/>
        <w:rPr>
          <w:rFonts w:cs="Verdana"/>
          <w:szCs w:val="22"/>
        </w:rPr>
      </w:pPr>
    </w:p>
    <w:p w14:paraId="6258520B" w14:textId="77777777" w:rsidR="00236CAC" w:rsidRDefault="00236CAC" w:rsidP="00236CAC">
      <w:pPr>
        <w:autoSpaceDE w:val="0"/>
        <w:autoSpaceDN w:val="0"/>
        <w:adjustRightInd w:val="0"/>
        <w:ind w:firstLine="426"/>
        <w:rPr>
          <w:rFonts w:cs="Verdana"/>
          <w:szCs w:val="22"/>
        </w:rPr>
      </w:pPr>
    </w:p>
    <w:p w14:paraId="7150676E" w14:textId="77777777" w:rsidR="00236CAC" w:rsidRDefault="00236CAC" w:rsidP="00236CAC">
      <w:pPr>
        <w:autoSpaceDE w:val="0"/>
        <w:autoSpaceDN w:val="0"/>
        <w:adjustRightInd w:val="0"/>
        <w:rPr>
          <w:rFonts w:cs="Verdana"/>
          <w:szCs w:val="22"/>
        </w:rPr>
      </w:pPr>
      <w:r>
        <w:rPr>
          <w:rFonts w:cs="Verdana"/>
          <w:b/>
          <w:bCs/>
          <w:szCs w:val="22"/>
        </w:rPr>
        <w:t xml:space="preserve">First Schedule – </w:t>
      </w:r>
      <w:r>
        <w:rPr>
          <w:rFonts w:cs="Verdana"/>
          <w:szCs w:val="22"/>
        </w:rPr>
        <w:t>the release land</w:t>
      </w:r>
    </w:p>
    <w:p w14:paraId="349CD555" w14:textId="77777777" w:rsidR="00236CAC" w:rsidRDefault="00236CAC" w:rsidP="00236CAC">
      <w:pPr>
        <w:autoSpaceDE w:val="0"/>
        <w:autoSpaceDN w:val="0"/>
        <w:adjustRightInd w:val="0"/>
        <w:rPr>
          <w:rFonts w:cs="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536"/>
        <w:gridCol w:w="2466"/>
      </w:tblGrid>
      <w:tr w:rsidR="00236CAC" w:rsidRPr="000A1002" w14:paraId="7973045E" w14:textId="77777777" w:rsidTr="00F16F20">
        <w:tc>
          <w:tcPr>
            <w:tcW w:w="2518" w:type="dxa"/>
            <w:shd w:val="clear" w:color="auto" w:fill="auto"/>
          </w:tcPr>
          <w:p w14:paraId="7FB0E6C8" w14:textId="77777777" w:rsidR="00236CAC" w:rsidRPr="000A1002" w:rsidRDefault="00236CAC" w:rsidP="00F16F20">
            <w:pPr>
              <w:autoSpaceDE w:val="0"/>
              <w:autoSpaceDN w:val="0"/>
              <w:adjustRightInd w:val="0"/>
              <w:rPr>
                <w:rFonts w:cs="Verdana"/>
                <w:b/>
                <w:szCs w:val="22"/>
              </w:rPr>
            </w:pPr>
            <w:r w:rsidRPr="000A1002">
              <w:rPr>
                <w:rFonts w:cs="Verdana"/>
                <w:b/>
                <w:szCs w:val="22"/>
              </w:rPr>
              <w:t>Colour on plan</w:t>
            </w:r>
          </w:p>
        </w:tc>
        <w:tc>
          <w:tcPr>
            <w:tcW w:w="4536" w:type="dxa"/>
            <w:shd w:val="clear" w:color="auto" w:fill="auto"/>
          </w:tcPr>
          <w:p w14:paraId="40927CBE" w14:textId="77777777" w:rsidR="00236CAC" w:rsidRPr="000A1002" w:rsidRDefault="00236CAC" w:rsidP="00F16F20">
            <w:pPr>
              <w:autoSpaceDE w:val="0"/>
              <w:autoSpaceDN w:val="0"/>
              <w:adjustRightInd w:val="0"/>
              <w:rPr>
                <w:rFonts w:cs="Verdana"/>
                <w:b/>
                <w:szCs w:val="22"/>
              </w:rPr>
            </w:pPr>
            <w:r w:rsidRPr="000A1002">
              <w:rPr>
                <w:rFonts w:cs="Verdana"/>
                <w:b/>
                <w:szCs w:val="22"/>
              </w:rPr>
              <w:t xml:space="preserve">Description </w:t>
            </w:r>
          </w:p>
        </w:tc>
        <w:tc>
          <w:tcPr>
            <w:tcW w:w="2466" w:type="dxa"/>
            <w:shd w:val="clear" w:color="auto" w:fill="auto"/>
          </w:tcPr>
          <w:p w14:paraId="4EC8690D" w14:textId="77777777" w:rsidR="00236CAC" w:rsidRPr="000A1002" w:rsidRDefault="00236CAC" w:rsidP="00F16F20">
            <w:pPr>
              <w:autoSpaceDE w:val="0"/>
              <w:autoSpaceDN w:val="0"/>
              <w:adjustRightInd w:val="0"/>
              <w:rPr>
                <w:rFonts w:cs="Verdana"/>
                <w:b/>
                <w:szCs w:val="22"/>
              </w:rPr>
            </w:pPr>
            <w:r w:rsidRPr="000A1002">
              <w:rPr>
                <w:rFonts w:cs="Verdana"/>
                <w:b/>
                <w:szCs w:val="22"/>
              </w:rPr>
              <w:t>Extent</w:t>
            </w:r>
          </w:p>
        </w:tc>
      </w:tr>
      <w:tr w:rsidR="00236CAC" w:rsidRPr="000A1002" w14:paraId="6E5608C4" w14:textId="77777777" w:rsidTr="00F16F20">
        <w:tc>
          <w:tcPr>
            <w:tcW w:w="2518" w:type="dxa"/>
            <w:shd w:val="clear" w:color="auto" w:fill="auto"/>
          </w:tcPr>
          <w:p w14:paraId="4C7B7286" w14:textId="12A2A3E9" w:rsidR="00236CAC" w:rsidRPr="000A1002" w:rsidRDefault="008D338A" w:rsidP="00F16F20">
            <w:pPr>
              <w:autoSpaceDE w:val="0"/>
              <w:autoSpaceDN w:val="0"/>
              <w:adjustRightInd w:val="0"/>
              <w:rPr>
                <w:rFonts w:cs="Verdana"/>
                <w:szCs w:val="22"/>
              </w:rPr>
            </w:pPr>
            <w:r>
              <w:rPr>
                <w:rFonts w:cs="Verdana"/>
                <w:szCs w:val="22"/>
              </w:rPr>
              <w:t>Shaded pink</w:t>
            </w:r>
          </w:p>
        </w:tc>
        <w:tc>
          <w:tcPr>
            <w:tcW w:w="4536" w:type="dxa"/>
            <w:shd w:val="clear" w:color="auto" w:fill="auto"/>
          </w:tcPr>
          <w:p w14:paraId="36E55992" w14:textId="6CE11F73" w:rsidR="00236CAC" w:rsidRPr="000A1002" w:rsidRDefault="00236CAC" w:rsidP="00236CAC">
            <w:pPr>
              <w:autoSpaceDE w:val="0"/>
              <w:autoSpaceDN w:val="0"/>
              <w:adjustRightInd w:val="0"/>
              <w:rPr>
                <w:rFonts w:cs="Verdana"/>
                <w:szCs w:val="22"/>
              </w:rPr>
            </w:pPr>
            <w:r>
              <w:t>Land</w:t>
            </w:r>
            <w:r w:rsidR="00937256">
              <w:t xml:space="preserve"> at </w:t>
            </w:r>
            <w:r w:rsidR="00042EFD">
              <w:t xml:space="preserve">Woodcock Hill Village </w:t>
            </w:r>
            <w:r w:rsidR="007D5B95">
              <w:t>G</w:t>
            </w:r>
            <w:r w:rsidR="00042EFD">
              <w:t>reen</w:t>
            </w:r>
          </w:p>
        </w:tc>
        <w:tc>
          <w:tcPr>
            <w:tcW w:w="2466" w:type="dxa"/>
            <w:shd w:val="clear" w:color="auto" w:fill="auto"/>
          </w:tcPr>
          <w:p w14:paraId="17A9F62E" w14:textId="7FF75216" w:rsidR="00236CAC" w:rsidRPr="000A1002" w:rsidRDefault="0085515E" w:rsidP="00F16F20">
            <w:pPr>
              <w:autoSpaceDE w:val="0"/>
              <w:autoSpaceDN w:val="0"/>
              <w:adjustRightInd w:val="0"/>
              <w:rPr>
                <w:rFonts w:cs="Verdana"/>
                <w:szCs w:val="22"/>
                <w:vertAlign w:val="superscript"/>
              </w:rPr>
            </w:pPr>
            <w:r>
              <w:t>33,000</w:t>
            </w:r>
            <w:r w:rsidR="00236CAC">
              <w:t>m</w:t>
            </w:r>
            <w:r w:rsidR="00236CAC" w:rsidRPr="000A1002">
              <w:rPr>
                <w:vertAlign w:val="superscript"/>
              </w:rPr>
              <w:t>2</w:t>
            </w:r>
          </w:p>
        </w:tc>
      </w:tr>
    </w:tbl>
    <w:p w14:paraId="759B4109" w14:textId="77777777" w:rsidR="00236CAC" w:rsidRDefault="00236CAC" w:rsidP="00236CAC">
      <w:pPr>
        <w:autoSpaceDE w:val="0"/>
        <w:autoSpaceDN w:val="0"/>
        <w:adjustRightInd w:val="0"/>
        <w:rPr>
          <w:rFonts w:cs="Verdana"/>
          <w:szCs w:val="22"/>
        </w:rPr>
      </w:pPr>
    </w:p>
    <w:p w14:paraId="601ADD98" w14:textId="77777777" w:rsidR="00236CAC" w:rsidRDefault="00236CAC" w:rsidP="00236CAC">
      <w:pPr>
        <w:autoSpaceDE w:val="0"/>
        <w:autoSpaceDN w:val="0"/>
        <w:adjustRightInd w:val="0"/>
        <w:rPr>
          <w:rFonts w:cs="Verdana"/>
          <w:szCs w:val="22"/>
        </w:rPr>
      </w:pPr>
    </w:p>
    <w:p w14:paraId="01B3FCA5" w14:textId="77777777" w:rsidR="00236CAC" w:rsidRDefault="00236CAC" w:rsidP="00236CAC">
      <w:pPr>
        <w:autoSpaceDE w:val="0"/>
        <w:autoSpaceDN w:val="0"/>
        <w:adjustRightInd w:val="0"/>
        <w:rPr>
          <w:rFonts w:cs="Verdana"/>
          <w:szCs w:val="22"/>
        </w:rPr>
      </w:pPr>
      <w:r>
        <w:rPr>
          <w:rFonts w:cs="Verdana"/>
          <w:b/>
          <w:bCs/>
          <w:szCs w:val="22"/>
        </w:rPr>
        <w:t xml:space="preserve">Second Schedule – </w:t>
      </w:r>
      <w:r>
        <w:rPr>
          <w:rFonts w:cs="Verdana"/>
          <w:szCs w:val="22"/>
        </w:rPr>
        <w:t>the replacement land</w:t>
      </w:r>
    </w:p>
    <w:p w14:paraId="70EFF30C" w14:textId="77777777" w:rsidR="00236CAC" w:rsidRDefault="00236CAC" w:rsidP="00236CAC">
      <w:pPr>
        <w:autoSpaceDE w:val="0"/>
        <w:autoSpaceDN w:val="0"/>
        <w:adjustRightInd w:val="0"/>
        <w:rPr>
          <w:rFonts w:cs="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536"/>
        <w:gridCol w:w="2466"/>
      </w:tblGrid>
      <w:tr w:rsidR="00236CAC" w:rsidRPr="000A1002" w14:paraId="5782761F" w14:textId="77777777" w:rsidTr="00F16F20">
        <w:tc>
          <w:tcPr>
            <w:tcW w:w="2518" w:type="dxa"/>
            <w:shd w:val="clear" w:color="auto" w:fill="auto"/>
          </w:tcPr>
          <w:p w14:paraId="404BFA8A" w14:textId="77777777" w:rsidR="00236CAC" w:rsidRPr="000A1002" w:rsidRDefault="00236CAC" w:rsidP="00F16F20">
            <w:pPr>
              <w:autoSpaceDE w:val="0"/>
              <w:autoSpaceDN w:val="0"/>
              <w:adjustRightInd w:val="0"/>
              <w:rPr>
                <w:rFonts w:cs="Verdana"/>
                <w:b/>
                <w:szCs w:val="22"/>
              </w:rPr>
            </w:pPr>
            <w:r w:rsidRPr="000A1002">
              <w:rPr>
                <w:rFonts w:cs="Verdana"/>
                <w:b/>
                <w:szCs w:val="22"/>
              </w:rPr>
              <w:t>Colour on plan</w:t>
            </w:r>
          </w:p>
        </w:tc>
        <w:tc>
          <w:tcPr>
            <w:tcW w:w="4536" w:type="dxa"/>
            <w:shd w:val="clear" w:color="auto" w:fill="auto"/>
          </w:tcPr>
          <w:p w14:paraId="3DD74F2F" w14:textId="77777777" w:rsidR="00236CAC" w:rsidRPr="000A1002" w:rsidRDefault="00236CAC" w:rsidP="00F16F20">
            <w:pPr>
              <w:autoSpaceDE w:val="0"/>
              <w:autoSpaceDN w:val="0"/>
              <w:adjustRightInd w:val="0"/>
              <w:rPr>
                <w:rFonts w:cs="Verdana"/>
                <w:b/>
                <w:szCs w:val="22"/>
              </w:rPr>
            </w:pPr>
            <w:r w:rsidRPr="000A1002">
              <w:rPr>
                <w:rFonts w:cs="Verdana"/>
                <w:b/>
                <w:szCs w:val="22"/>
              </w:rPr>
              <w:t xml:space="preserve">Description </w:t>
            </w:r>
          </w:p>
        </w:tc>
        <w:tc>
          <w:tcPr>
            <w:tcW w:w="2466" w:type="dxa"/>
            <w:shd w:val="clear" w:color="auto" w:fill="auto"/>
          </w:tcPr>
          <w:p w14:paraId="080589C1" w14:textId="77777777" w:rsidR="00236CAC" w:rsidRPr="000A1002" w:rsidRDefault="00236CAC" w:rsidP="00F16F20">
            <w:pPr>
              <w:autoSpaceDE w:val="0"/>
              <w:autoSpaceDN w:val="0"/>
              <w:adjustRightInd w:val="0"/>
              <w:rPr>
                <w:rFonts w:cs="Verdana"/>
                <w:b/>
                <w:szCs w:val="22"/>
              </w:rPr>
            </w:pPr>
            <w:r w:rsidRPr="000A1002">
              <w:rPr>
                <w:rFonts w:cs="Verdana"/>
                <w:b/>
                <w:szCs w:val="22"/>
              </w:rPr>
              <w:t>Extent</w:t>
            </w:r>
          </w:p>
        </w:tc>
      </w:tr>
      <w:tr w:rsidR="00236CAC" w:rsidRPr="000A1002" w14:paraId="1DA60B53" w14:textId="77777777" w:rsidTr="00F16F20">
        <w:tc>
          <w:tcPr>
            <w:tcW w:w="2518" w:type="dxa"/>
            <w:shd w:val="clear" w:color="auto" w:fill="auto"/>
          </w:tcPr>
          <w:p w14:paraId="42FA6844" w14:textId="790BF157" w:rsidR="00236CAC" w:rsidRPr="000A1002" w:rsidRDefault="0085515E" w:rsidP="00F16F20">
            <w:pPr>
              <w:autoSpaceDE w:val="0"/>
              <w:autoSpaceDN w:val="0"/>
              <w:adjustRightInd w:val="0"/>
              <w:rPr>
                <w:rFonts w:cs="Verdana"/>
                <w:szCs w:val="22"/>
              </w:rPr>
            </w:pPr>
            <w:r>
              <w:rPr>
                <w:rFonts w:cs="Verdana"/>
                <w:szCs w:val="22"/>
              </w:rPr>
              <w:t>Shaded</w:t>
            </w:r>
            <w:r w:rsidR="00937256">
              <w:rPr>
                <w:rFonts w:cs="Verdana"/>
                <w:szCs w:val="22"/>
              </w:rPr>
              <w:t xml:space="preserve"> </w:t>
            </w:r>
            <w:r w:rsidR="00236CAC" w:rsidRPr="000A1002">
              <w:rPr>
                <w:rFonts w:cs="Verdana"/>
                <w:szCs w:val="22"/>
              </w:rPr>
              <w:t>green</w:t>
            </w:r>
          </w:p>
        </w:tc>
        <w:tc>
          <w:tcPr>
            <w:tcW w:w="4536" w:type="dxa"/>
            <w:shd w:val="clear" w:color="auto" w:fill="auto"/>
          </w:tcPr>
          <w:p w14:paraId="1B7ECCDA" w14:textId="6F155217" w:rsidR="00236CAC" w:rsidRPr="000A1002" w:rsidRDefault="00236CAC" w:rsidP="00236CAC">
            <w:pPr>
              <w:autoSpaceDE w:val="0"/>
              <w:autoSpaceDN w:val="0"/>
              <w:adjustRightInd w:val="0"/>
              <w:rPr>
                <w:rFonts w:cs="Verdana"/>
                <w:szCs w:val="22"/>
              </w:rPr>
            </w:pPr>
            <w:r>
              <w:t>Land</w:t>
            </w:r>
            <w:r w:rsidR="00937256">
              <w:t xml:space="preserve"> </w:t>
            </w:r>
            <w:r w:rsidR="00B7381E">
              <w:t>a</w:t>
            </w:r>
            <w:r w:rsidR="007D5B95">
              <w:t>djacent to Woodcock Hill Village Green</w:t>
            </w:r>
            <w:r>
              <w:t>.</w:t>
            </w:r>
          </w:p>
        </w:tc>
        <w:tc>
          <w:tcPr>
            <w:tcW w:w="2466" w:type="dxa"/>
            <w:shd w:val="clear" w:color="auto" w:fill="auto"/>
          </w:tcPr>
          <w:p w14:paraId="6A8579FF" w14:textId="7D57868B" w:rsidR="00236CAC" w:rsidRPr="000A1002" w:rsidRDefault="0085515E" w:rsidP="00F16F20">
            <w:pPr>
              <w:autoSpaceDE w:val="0"/>
              <w:autoSpaceDN w:val="0"/>
              <w:adjustRightInd w:val="0"/>
              <w:rPr>
                <w:rFonts w:cs="Verdana"/>
                <w:szCs w:val="22"/>
                <w:vertAlign w:val="superscript"/>
              </w:rPr>
            </w:pPr>
            <w:r>
              <w:t>36,000</w:t>
            </w:r>
            <w:r w:rsidR="00236CAC">
              <w:t>m</w:t>
            </w:r>
            <w:r w:rsidR="00236CAC" w:rsidRPr="000A1002">
              <w:rPr>
                <w:vertAlign w:val="superscript"/>
              </w:rPr>
              <w:t>2</w:t>
            </w:r>
          </w:p>
        </w:tc>
      </w:tr>
    </w:tbl>
    <w:p w14:paraId="060D20E9" w14:textId="77777777" w:rsidR="00236CAC" w:rsidRPr="00695CF7" w:rsidRDefault="00236CAC" w:rsidP="00236CAC">
      <w:pPr>
        <w:pStyle w:val="Style1"/>
        <w:numPr>
          <w:ilvl w:val="0"/>
          <w:numId w:val="0"/>
        </w:numPr>
        <w:ind w:left="432" w:hanging="432"/>
      </w:pPr>
    </w:p>
    <w:p w14:paraId="40B42F23" w14:textId="77777777" w:rsidR="00236CAC" w:rsidRDefault="00236CAC" w:rsidP="00236CAC">
      <w:pPr>
        <w:pStyle w:val="Heading6blackfont"/>
      </w:pPr>
    </w:p>
    <w:p w14:paraId="5B8116CC" w14:textId="77777777" w:rsidR="00236CAC" w:rsidRPr="00706C08" w:rsidRDefault="00236CAC" w:rsidP="00236CAC">
      <w:pPr>
        <w:tabs>
          <w:tab w:val="left" w:pos="425"/>
        </w:tabs>
        <w:spacing w:before="180"/>
        <w:rPr>
          <w:rFonts w:ascii="Monotype Corsiva" w:hAnsi="Monotype Corsiva"/>
          <w:sz w:val="32"/>
          <w:szCs w:val="32"/>
        </w:rPr>
      </w:pPr>
      <w:r w:rsidRPr="002674BA">
        <w:rPr>
          <w:rFonts w:ascii="Monotype Corsiva" w:hAnsi="Monotype Corsiva"/>
          <w:sz w:val="32"/>
          <w:szCs w:val="32"/>
        </w:rPr>
        <w:t>Barney Grimshaw</w:t>
      </w:r>
    </w:p>
    <w:p w14:paraId="02547C16" w14:textId="77777777" w:rsidR="00236CAC" w:rsidRDefault="00236CAC" w:rsidP="00236CAC">
      <w:pPr>
        <w:pStyle w:val="Long1"/>
      </w:pPr>
      <w:r>
        <w:t>INSPECTOR</w:t>
      </w:r>
    </w:p>
    <w:p w14:paraId="7E2901A6" w14:textId="724D6B0F" w:rsidR="00AE36CF" w:rsidRPr="00AE36CF" w:rsidRDefault="0028585D" w:rsidP="00AE36CF">
      <w:pPr>
        <w:pStyle w:val="Style1"/>
        <w:numPr>
          <w:ilvl w:val="0"/>
          <w:numId w:val="0"/>
        </w:numPr>
      </w:pPr>
      <w:r>
        <w:br w:type="page"/>
      </w:r>
      <w:r w:rsidR="00182952">
        <w:lastRenderedPageBreak/>
        <w:pict w14:anchorId="028B69F1">
          <v:shape id="_x0000_i1026" type="#_x0000_t75" style="width:499.5pt;height:646.5pt">
            <v:imagedata r:id="rId9" o:title=""/>
          </v:shape>
        </w:pict>
      </w:r>
    </w:p>
    <w:sectPr w:rsidR="00AE36CF" w:rsidRPr="00AE36CF"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F577" w14:textId="77777777" w:rsidR="00107083" w:rsidRDefault="00107083" w:rsidP="00F62916">
      <w:r>
        <w:separator/>
      </w:r>
    </w:p>
  </w:endnote>
  <w:endnote w:type="continuationSeparator" w:id="0">
    <w:p w14:paraId="21A116DF" w14:textId="77777777" w:rsidR="00107083" w:rsidRDefault="0010708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054C"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EE218"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CE4" w14:textId="77777777" w:rsidR="003E54CC" w:rsidRDefault="00182952">
    <w:pPr>
      <w:pStyle w:val="Noindent"/>
      <w:spacing w:before="120"/>
      <w:jc w:val="center"/>
      <w:rPr>
        <w:rStyle w:val="PageNumber"/>
      </w:rPr>
    </w:pPr>
    <w:r>
      <w:rPr>
        <w:noProof/>
        <w:sz w:val="18"/>
      </w:rPr>
      <w:pict w14:anchorId="392BEC87">
        <v:line id="_x0000_s2065" style="position:absolute;left:0;text-align:left;z-index:251658752" from="-.2pt,12.55pt" to="467.8pt,12.55pt"/>
      </w:pict>
    </w:r>
  </w:p>
  <w:p w14:paraId="4CF1EF4F"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55A7">
      <w:rPr>
        <w:rStyle w:val="PageNumber"/>
        <w:noProof/>
      </w:rPr>
      <w:t>5</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026D" w14:textId="77777777" w:rsidR="003E54CC" w:rsidRDefault="00182952" w:rsidP="006062E5">
    <w:pPr>
      <w:pStyle w:val="Footer"/>
      <w:pBdr>
        <w:bottom w:val="none" w:sz="0" w:space="0" w:color="000000"/>
      </w:pBdr>
      <w:ind w:right="-52"/>
    </w:pPr>
    <w:r>
      <w:rPr>
        <w:noProof/>
      </w:rPr>
      <w:pict w14:anchorId="651DBE39">
        <v:line id="_x0000_s2059" style="position:absolute;z-index:251656704" from="-.2pt,9.55pt" to="467.8pt,9.55pt" strokeweight=".5pt"/>
      </w:pict>
    </w:r>
  </w:p>
  <w:p w14:paraId="6E6CB7E9"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E5DB" w14:textId="77777777" w:rsidR="00107083" w:rsidRDefault="00107083" w:rsidP="00F62916">
      <w:r>
        <w:separator/>
      </w:r>
    </w:p>
  </w:footnote>
  <w:footnote w:type="continuationSeparator" w:id="0">
    <w:p w14:paraId="2730322F" w14:textId="77777777" w:rsidR="00107083" w:rsidRDefault="00107083" w:rsidP="00F62916">
      <w:r>
        <w:continuationSeparator/>
      </w:r>
    </w:p>
  </w:footnote>
  <w:footnote w:id="1">
    <w:p w14:paraId="41177FFA" w14:textId="77777777" w:rsidR="00E050A6" w:rsidRDefault="00E050A6" w:rsidP="00E050A6">
      <w:pPr>
        <w:pStyle w:val="FootnoteText"/>
      </w:pPr>
      <w:r>
        <w:rPr>
          <w:rStyle w:val="FootnoteReference"/>
        </w:rPr>
        <w:footnoteRef/>
      </w:r>
      <w:r>
        <w:t xml:space="preserve"> Section 16(8)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footnote>
  <w:footnote w:id="2">
    <w:p w14:paraId="3D95698B" w14:textId="5D377D91" w:rsidR="00E050A6" w:rsidRDefault="00E050A6" w:rsidP="00E050A6">
      <w:pPr>
        <w:pStyle w:val="FootnoteText"/>
      </w:pPr>
      <w:r>
        <w:rPr>
          <w:rStyle w:val="FootnoteReference"/>
        </w:rPr>
        <w:footnoteRef/>
      </w:r>
      <w:r>
        <w:t xml:space="preserve"> Common Land Consents Policy Guidance, </w:t>
      </w:r>
      <w:r w:rsidR="004E2761">
        <w:t xml:space="preserve">November </w:t>
      </w:r>
      <w:r w:rsidR="004E2761">
        <w:t xml:space="preserve">2015 </w:t>
      </w:r>
      <w:r>
        <w:t>, Defra.</w:t>
      </w:r>
    </w:p>
  </w:footnote>
  <w:footnote w:id="3">
    <w:p w14:paraId="27FEDD87" w14:textId="77777777" w:rsidR="00D90C68" w:rsidRDefault="00D90C68" w:rsidP="00D90C68">
      <w:pPr>
        <w:pStyle w:val="FootnoteText"/>
      </w:pPr>
      <w:r>
        <w:rPr>
          <w:rStyle w:val="FootnoteReference"/>
        </w:rPr>
        <w:footnoteRef/>
      </w:r>
      <w:r>
        <w:t xml:space="preserve"> The Explanatory Memorandum to the Deregistration and Exchange of Common Land and Greens (Procedure)(</w:t>
      </w:r>
      <w:smartTag w:uri="urn:schemas-microsoft-com:office:smarttags" w:element="place">
        <w:smartTag w:uri="urn:schemas-microsoft-com:office:smarttags" w:element="country-region">
          <w:r>
            <w:t>England</w:t>
          </w:r>
        </w:smartTag>
      </w:smartTag>
      <w:r>
        <w:t>) Regulations 2007, SI2007 No.2589.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6038F7A9" w14:textId="77777777">
      <w:tc>
        <w:tcPr>
          <w:tcW w:w="9520" w:type="dxa"/>
        </w:tcPr>
        <w:p w14:paraId="01D19475" w14:textId="45B0F87F" w:rsidR="003E54CC" w:rsidRDefault="001636FE">
          <w:pPr>
            <w:pStyle w:val="Footer"/>
          </w:pPr>
          <w:r>
            <w:t>Application ref: COM/32</w:t>
          </w:r>
          <w:r w:rsidR="0027410A">
            <w:t>62817</w:t>
          </w:r>
        </w:p>
      </w:tc>
    </w:tr>
  </w:tbl>
  <w:p w14:paraId="04820038" w14:textId="77777777" w:rsidR="003E54CC" w:rsidRDefault="00182952" w:rsidP="00087477">
    <w:pPr>
      <w:pStyle w:val="Footer"/>
      <w:spacing w:after="180"/>
    </w:pPr>
    <w:r>
      <w:rPr>
        <w:noProof/>
      </w:rPr>
      <w:pict w14:anchorId="689F0FBE">
        <v:line id="_x0000_s2062" style="position:absolute;z-index:251657728;mso-position-horizontal-relative:text;mso-position-vertical-relative:text" from="0,9pt" to="468pt,9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FF0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260ADD"/>
    <w:multiLevelType w:val="hybridMultilevel"/>
    <w:tmpl w:val="2D464BDC"/>
    <w:lvl w:ilvl="0" w:tplc="BFE2F078">
      <w:start w:val="1"/>
      <w:numFmt w:val="lowerLetter"/>
      <w:lvlText w:val="(%1)"/>
      <w:lvlJc w:val="left"/>
      <w:pPr>
        <w:tabs>
          <w:tab w:val="num" w:pos="2292"/>
        </w:tabs>
        <w:ind w:left="2292" w:hanging="720"/>
      </w:pPr>
      <w:rPr>
        <w:rFonts w:ascii="Verdana" w:eastAsia="Times New Roman" w:hAnsi="Verdana" w:cs="Times New Roman" w:hint="default"/>
      </w:rPr>
    </w:lvl>
    <w:lvl w:ilvl="1" w:tplc="743E0CC8">
      <w:start w:val="19"/>
      <w:numFmt w:val="decimal"/>
      <w:lvlText w:val="%2."/>
      <w:lvlJc w:val="left"/>
      <w:pPr>
        <w:tabs>
          <w:tab w:val="num" w:pos="1249"/>
        </w:tabs>
        <w:ind w:left="1249" w:hanging="397"/>
      </w:pPr>
      <w:rPr>
        <w:rFonts w:ascii="Verdana" w:hAnsi="Verdana" w:cs="Times New Roman" w:hint="default"/>
        <w:b w:val="0"/>
        <w:i w:val="0"/>
        <w:shadow w:val="0"/>
        <w:emboss w:val="0"/>
        <w:imprint w:val="0"/>
        <w:color w:val="auto"/>
        <w:sz w:val="22"/>
        <w:szCs w:val="22"/>
      </w:rPr>
    </w:lvl>
    <w:lvl w:ilvl="2" w:tplc="9AEE4124">
      <w:start w:val="10"/>
      <w:numFmt w:val="decimal"/>
      <w:lvlText w:val="%3."/>
      <w:lvlJc w:val="left"/>
      <w:pPr>
        <w:tabs>
          <w:tab w:val="num" w:pos="1249"/>
        </w:tabs>
        <w:ind w:left="1249" w:hanging="397"/>
      </w:pPr>
      <w:rPr>
        <w:rFonts w:ascii="Verdana" w:hAnsi="Verdana" w:cs="Times New Roman" w:hint="default"/>
        <w:b w:val="0"/>
        <w:i w:val="0"/>
        <w:shadow w:val="0"/>
        <w:emboss w:val="0"/>
        <w:imprint w:val="0"/>
        <w:color w:val="auto"/>
        <w:sz w:val="22"/>
        <w:szCs w:val="22"/>
      </w:rPr>
    </w:lvl>
    <w:lvl w:ilvl="3" w:tplc="0809000F" w:tentative="1">
      <w:start w:val="1"/>
      <w:numFmt w:val="decimal"/>
      <w:lvlText w:val="%4."/>
      <w:lvlJc w:val="left"/>
      <w:pPr>
        <w:tabs>
          <w:tab w:val="num" w:pos="4092"/>
        </w:tabs>
        <w:ind w:left="4092" w:hanging="360"/>
      </w:pPr>
      <w:rPr>
        <w:rFonts w:cs="Times New Roman"/>
      </w:rPr>
    </w:lvl>
    <w:lvl w:ilvl="4" w:tplc="08090019" w:tentative="1">
      <w:start w:val="1"/>
      <w:numFmt w:val="lowerLetter"/>
      <w:lvlText w:val="%5."/>
      <w:lvlJc w:val="left"/>
      <w:pPr>
        <w:tabs>
          <w:tab w:val="num" w:pos="4812"/>
        </w:tabs>
        <w:ind w:left="4812" w:hanging="360"/>
      </w:pPr>
      <w:rPr>
        <w:rFonts w:cs="Times New Roman"/>
      </w:rPr>
    </w:lvl>
    <w:lvl w:ilvl="5" w:tplc="0809001B" w:tentative="1">
      <w:start w:val="1"/>
      <w:numFmt w:val="lowerRoman"/>
      <w:lvlText w:val="%6."/>
      <w:lvlJc w:val="right"/>
      <w:pPr>
        <w:tabs>
          <w:tab w:val="num" w:pos="5532"/>
        </w:tabs>
        <w:ind w:left="5532" w:hanging="180"/>
      </w:pPr>
      <w:rPr>
        <w:rFonts w:cs="Times New Roman"/>
      </w:rPr>
    </w:lvl>
    <w:lvl w:ilvl="6" w:tplc="0809000F" w:tentative="1">
      <w:start w:val="1"/>
      <w:numFmt w:val="decimal"/>
      <w:lvlText w:val="%7."/>
      <w:lvlJc w:val="left"/>
      <w:pPr>
        <w:tabs>
          <w:tab w:val="num" w:pos="6252"/>
        </w:tabs>
        <w:ind w:left="6252" w:hanging="360"/>
      </w:pPr>
      <w:rPr>
        <w:rFonts w:cs="Times New Roman"/>
      </w:rPr>
    </w:lvl>
    <w:lvl w:ilvl="7" w:tplc="08090019" w:tentative="1">
      <w:start w:val="1"/>
      <w:numFmt w:val="lowerLetter"/>
      <w:lvlText w:val="%8."/>
      <w:lvlJc w:val="left"/>
      <w:pPr>
        <w:tabs>
          <w:tab w:val="num" w:pos="6972"/>
        </w:tabs>
        <w:ind w:left="6972" w:hanging="360"/>
      </w:pPr>
      <w:rPr>
        <w:rFonts w:cs="Times New Roman"/>
      </w:rPr>
    </w:lvl>
    <w:lvl w:ilvl="8" w:tplc="0809001B" w:tentative="1">
      <w:start w:val="1"/>
      <w:numFmt w:val="lowerRoman"/>
      <w:lvlText w:val="%9."/>
      <w:lvlJc w:val="right"/>
      <w:pPr>
        <w:tabs>
          <w:tab w:val="num" w:pos="7692"/>
        </w:tabs>
        <w:ind w:left="7692" w:hanging="180"/>
      </w:pPr>
      <w:rPr>
        <w:rFonts w:cs="Times New Roman"/>
      </w:r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2"/>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062E5"/>
    <w:rsid w:val="0000201E"/>
    <w:rsid w:val="0000335F"/>
    <w:rsid w:val="0000627F"/>
    <w:rsid w:val="0000683C"/>
    <w:rsid w:val="00011DA0"/>
    <w:rsid w:val="00012B0D"/>
    <w:rsid w:val="00015099"/>
    <w:rsid w:val="0001710A"/>
    <w:rsid w:val="00022C2A"/>
    <w:rsid w:val="0002442F"/>
    <w:rsid w:val="000255F3"/>
    <w:rsid w:val="00037E69"/>
    <w:rsid w:val="00042EFD"/>
    <w:rsid w:val="00045B46"/>
    <w:rsid w:val="00045C21"/>
    <w:rsid w:val="00046145"/>
    <w:rsid w:val="0004625F"/>
    <w:rsid w:val="00052103"/>
    <w:rsid w:val="00053135"/>
    <w:rsid w:val="0006133E"/>
    <w:rsid w:val="0006243A"/>
    <w:rsid w:val="000635DF"/>
    <w:rsid w:val="0006510C"/>
    <w:rsid w:val="00065C03"/>
    <w:rsid w:val="00067AFA"/>
    <w:rsid w:val="0007142F"/>
    <w:rsid w:val="000719F8"/>
    <w:rsid w:val="00071EFE"/>
    <w:rsid w:val="00075111"/>
    <w:rsid w:val="000761C1"/>
    <w:rsid w:val="00077358"/>
    <w:rsid w:val="00086FE7"/>
    <w:rsid w:val="00087477"/>
    <w:rsid w:val="00087DEC"/>
    <w:rsid w:val="00091283"/>
    <w:rsid w:val="000A03BE"/>
    <w:rsid w:val="000A4AEB"/>
    <w:rsid w:val="000A64AE"/>
    <w:rsid w:val="000B11E9"/>
    <w:rsid w:val="000B2E59"/>
    <w:rsid w:val="000C05D6"/>
    <w:rsid w:val="000C3F13"/>
    <w:rsid w:val="000C631A"/>
    <w:rsid w:val="000C698E"/>
    <w:rsid w:val="000D003B"/>
    <w:rsid w:val="000D0673"/>
    <w:rsid w:val="000D6869"/>
    <w:rsid w:val="000D6B83"/>
    <w:rsid w:val="000E6071"/>
    <w:rsid w:val="000E67FE"/>
    <w:rsid w:val="000E723B"/>
    <w:rsid w:val="000E7B5D"/>
    <w:rsid w:val="000F16F4"/>
    <w:rsid w:val="000F1E89"/>
    <w:rsid w:val="000F3231"/>
    <w:rsid w:val="000F562E"/>
    <w:rsid w:val="000F66A5"/>
    <w:rsid w:val="001000CB"/>
    <w:rsid w:val="00101DD9"/>
    <w:rsid w:val="00104D93"/>
    <w:rsid w:val="00107083"/>
    <w:rsid w:val="00110A02"/>
    <w:rsid w:val="00112FFA"/>
    <w:rsid w:val="001163CF"/>
    <w:rsid w:val="00121D1B"/>
    <w:rsid w:val="00123C7D"/>
    <w:rsid w:val="001265C8"/>
    <w:rsid w:val="001423E8"/>
    <w:rsid w:val="00142613"/>
    <w:rsid w:val="00144F36"/>
    <w:rsid w:val="00147E61"/>
    <w:rsid w:val="00151FF8"/>
    <w:rsid w:val="00152C92"/>
    <w:rsid w:val="00162E36"/>
    <w:rsid w:val="001636FE"/>
    <w:rsid w:val="00164541"/>
    <w:rsid w:val="001665BE"/>
    <w:rsid w:val="001671B0"/>
    <w:rsid w:val="00171FEE"/>
    <w:rsid w:val="00176BBA"/>
    <w:rsid w:val="001771BF"/>
    <w:rsid w:val="00182952"/>
    <w:rsid w:val="00191DB7"/>
    <w:rsid w:val="00197B5B"/>
    <w:rsid w:val="001A25AF"/>
    <w:rsid w:val="001A52DB"/>
    <w:rsid w:val="001A6E2B"/>
    <w:rsid w:val="001A6E46"/>
    <w:rsid w:val="001B11E8"/>
    <w:rsid w:val="001B450D"/>
    <w:rsid w:val="001B4E03"/>
    <w:rsid w:val="001B6CBD"/>
    <w:rsid w:val="001B7D8C"/>
    <w:rsid w:val="001C1369"/>
    <w:rsid w:val="001C1BB1"/>
    <w:rsid w:val="001D1408"/>
    <w:rsid w:val="001D3030"/>
    <w:rsid w:val="001D3B5D"/>
    <w:rsid w:val="001D4602"/>
    <w:rsid w:val="001D6DA2"/>
    <w:rsid w:val="001E4D73"/>
    <w:rsid w:val="001F0B33"/>
    <w:rsid w:val="001F1903"/>
    <w:rsid w:val="001F5990"/>
    <w:rsid w:val="00204B77"/>
    <w:rsid w:val="00207816"/>
    <w:rsid w:val="00207A62"/>
    <w:rsid w:val="00212C8F"/>
    <w:rsid w:val="002170D1"/>
    <w:rsid w:val="00221840"/>
    <w:rsid w:val="00221907"/>
    <w:rsid w:val="002274F9"/>
    <w:rsid w:val="00234A42"/>
    <w:rsid w:val="00236CAC"/>
    <w:rsid w:val="00237548"/>
    <w:rsid w:val="00242A5E"/>
    <w:rsid w:val="002463C6"/>
    <w:rsid w:val="0025053A"/>
    <w:rsid w:val="00250AB5"/>
    <w:rsid w:val="00270B5B"/>
    <w:rsid w:val="0027410A"/>
    <w:rsid w:val="00274174"/>
    <w:rsid w:val="00277CFE"/>
    <w:rsid w:val="00280E61"/>
    <w:rsid w:val="002819AB"/>
    <w:rsid w:val="002827DE"/>
    <w:rsid w:val="0028302F"/>
    <w:rsid w:val="0028585D"/>
    <w:rsid w:val="00286946"/>
    <w:rsid w:val="00287CEE"/>
    <w:rsid w:val="00291AA7"/>
    <w:rsid w:val="00291F28"/>
    <w:rsid w:val="0029255A"/>
    <w:rsid w:val="00293B05"/>
    <w:rsid w:val="002940B8"/>
    <w:rsid w:val="0029471D"/>
    <w:rsid w:val="002959EF"/>
    <w:rsid w:val="0029709F"/>
    <w:rsid w:val="002A4D05"/>
    <w:rsid w:val="002A4D31"/>
    <w:rsid w:val="002A66CE"/>
    <w:rsid w:val="002B0D95"/>
    <w:rsid w:val="002B0E6E"/>
    <w:rsid w:val="002B5A3A"/>
    <w:rsid w:val="002C068A"/>
    <w:rsid w:val="002C1778"/>
    <w:rsid w:val="002C2DB5"/>
    <w:rsid w:val="002C4DC4"/>
    <w:rsid w:val="002D198C"/>
    <w:rsid w:val="002D6173"/>
    <w:rsid w:val="002D70B3"/>
    <w:rsid w:val="002E6565"/>
    <w:rsid w:val="002F09C5"/>
    <w:rsid w:val="002F5E3E"/>
    <w:rsid w:val="003028C7"/>
    <w:rsid w:val="00303181"/>
    <w:rsid w:val="0030384F"/>
    <w:rsid w:val="0030500E"/>
    <w:rsid w:val="00305083"/>
    <w:rsid w:val="00305EE4"/>
    <w:rsid w:val="003068E1"/>
    <w:rsid w:val="0031349E"/>
    <w:rsid w:val="0031442F"/>
    <w:rsid w:val="00314F20"/>
    <w:rsid w:val="00316679"/>
    <w:rsid w:val="003206FD"/>
    <w:rsid w:val="003207E3"/>
    <w:rsid w:val="003224BE"/>
    <w:rsid w:val="00335B8E"/>
    <w:rsid w:val="00336CC2"/>
    <w:rsid w:val="0034205A"/>
    <w:rsid w:val="00343A1F"/>
    <w:rsid w:val="00343AF0"/>
    <w:rsid w:val="00344294"/>
    <w:rsid w:val="00344C9C"/>
    <w:rsid w:val="00344CD1"/>
    <w:rsid w:val="003516FC"/>
    <w:rsid w:val="00353267"/>
    <w:rsid w:val="003539AE"/>
    <w:rsid w:val="0035545B"/>
    <w:rsid w:val="00360664"/>
    <w:rsid w:val="00361890"/>
    <w:rsid w:val="00361A4B"/>
    <w:rsid w:val="00364E17"/>
    <w:rsid w:val="0036557A"/>
    <w:rsid w:val="00365EA3"/>
    <w:rsid w:val="00367602"/>
    <w:rsid w:val="00370386"/>
    <w:rsid w:val="00375E93"/>
    <w:rsid w:val="0038188C"/>
    <w:rsid w:val="003869FF"/>
    <w:rsid w:val="00387EF6"/>
    <w:rsid w:val="003923D3"/>
    <w:rsid w:val="00393DB9"/>
    <w:rsid w:val="003941CF"/>
    <w:rsid w:val="003973BA"/>
    <w:rsid w:val="003A3035"/>
    <w:rsid w:val="003B2FE6"/>
    <w:rsid w:val="003B399F"/>
    <w:rsid w:val="003B5081"/>
    <w:rsid w:val="003B6FF8"/>
    <w:rsid w:val="003C0BE1"/>
    <w:rsid w:val="003C21E9"/>
    <w:rsid w:val="003C4DC3"/>
    <w:rsid w:val="003C6644"/>
    <w:rsid w:val="003D0461"/>
    <w:rsid w:val="003D6A6A"/>
    <w:rsid w:val="003E2CE5"/>
    <w:rsid w:val="003E337C"/>
    <w:rsid w:val="003E5175"/>
    <w:rsid w:val="003E54CC"/>
    <w:rsid w:val="003E6AC0"/>
    <w:rsid w:val="003E73DA"/>
    <w:rsid w:val="003F02AD"/>
    <w:rsid w:val="003F13C0"/>
    <w:rsid w:val="003F3533"/>
    <w:rsid w:val="003F40EB"/>
    <w:rsid w:val="003F5123"/>
    <w:rsid w:val="003F5C17"/>
    <w:rsid w:val="00402B91"/>
    <w:rsid w:val="00403415"/>
    <w:rsid w:val="00403773"/>
    <w:rsid w:val="004065FA"/>
    <w:rsid w:val="00410AC2"/>
    <w:rsid w:val="004125CA"/>
    <w:rsid w:val="004127F6"/>
    <w:rsid w:val="004143E2"/>
    <w:rsid w:val="004155A7"/>
    <w:rsid w:val="004156F0"/>
    <w:rsid w:val="0041672D"/>
    <w:rsid w:val="0043268E"/>
    <w:rsid w:val="00436D0D"/>
    <w:rsid w:val="00440D8C"/>
    <w:rsid w:val="00444E9B"/>
    <w:rsid w:val="004474DE"/>
    <w:rsid w:val="004510CD"/>
    <w:rsid w:val="00451EE4"/>
    <w:rsid w:val="00453E15"/>
    <w:rsid w:val="0045447D"/>
    <w:rsid w:val="00460257"/>
    <w:rsid w:val="00460F91"/>
    <w:rsid w:val="00463FFE"/>
    <w:rsid w:val="004706F6"/>
    <w:rsid w:val="00473489"/>
    <w:rsid w:val="004756EF"/>
    <w:rsid w:val="0047718B"/>
    <w:rsid w:val="004773FF"/>
    <w:rsid w:val="0048041A"/>
    <w:rsid w:val="004937A1"/>
    <w:rsid w:val="00494A90"/>
    <w:rsid w:val="00495719"/>
    <w:rsid w:val="00495FB3"/>
    <w:rsid w:val="004976CF"/>
    <w:rsid w:val="004A18F7"/>
    <w:rsid w:val="004A2EB8"/>
    <w:rsid w:val="004A5F08"/>
    <w:rsid w:val="004B33B4"/>
    <w:rsid w:val="004B382B"/>
    <w:rsid w:val="004B50E0"/>
    <w:rsid w:val="004B5342"/>
    <w:rsid w:val="004B5A62"/>
    <w:rsid w:val="004B7662"/>
    <w:rsid w:val="004C07CB"/>
    <w:rsid w:val="004C368A"/>
    <w:rsid w:val="004C6479"/>
    <w:rsid w:val="004D1C03"/>
    <w:rsid w:val="004E2761"/>
    <w:rsid w:val="004E3B87"/>
    <w:rsid w:val="004E50E3"/>
    <w:rsid w:val="004E6091"/>
    <w:rsid w:val="004F3A54"/>
    <w:rsid w:val="004F5C2C"/>
    <w:rsid w:val="004F68D8"/>
    <w:rsid w:val="00500236"/>
    <w:rsid w:val="0050485C"/>
    <w:rsid w:val="00506851"/>
    <w:rsid w:val="00506E0F"/>
    <w:rsid w:val="005120AA"/>
    <w:rsid w:val="0052347F"/>
    <w:rsid w:val="00527382"/>
    <w:rsid w:val="00530F91"/>
    <w:rsid w:val="00536235"/>
    <w:rsid w:val="005369D9"/>
    <w:rsid w:val="0053750C"/>
    <w:rsid w:val="00537AFE"/>
    <w:rsid w:val="00541734"/>
    <w:rsid w:val="00542B4C"/>
    <w:rsid w:val="005469E7"/>
    <w:rsid w:val="00550FEF"/>
    <w:rsid w:val="005609E4"/>
    <w:rsid w:val="005615CF"/>
    <w:rsid w:val="00561E69"/>
    <w:rsid w:val="00562DA1"/>
    <w:rsid w:val="005630ED"/>
    <w:rsid w:val="00565CB9"/>
    <w:rsid w:val="0056634F"/>
    <w:rsid w:val="00566528"/>
    <w:rsid w:val="00566546"/>
    <w:rsid w:val="0057151F"/>
    <w:rsid w:val="005718AF"/>
    <w:rsid w:val="00571FD4"/>
    <w:rsid w:val="00572879"/>
    <w:rsid w:val="00583E3B"/>
    <w:rsid w:val="00587018"/>
    <w:rsid w:val="005A065C"/>
    <w:rsid w:val="005A3A64"/>
    <w:rsid w:val="005B5AE8"/>
    <w:rsid w:val="005C2F14"/>
    <w:rsid w:val="005C325A"/>
    <w:rsid w:val="005C5FEC"/>
    <w:rsid w:val="005D4981"/>
    <w:rsid w:val="005D5D30"/>
    <w:rsid w:val="005D739E"/>
    <w:rsid w:val="005E18C5"/>
    <w:rsid w:val="005E1B61"/>
    <w:rsid w:val="005E34E1"/>
    <w:rsid w:val="005E34FF"/>
    <w:rsid w:val="005E3542"/>
    <w:rsid w:val="005E52F9"/>
    <w:rsid w:val="005E5EFF"/>
    <w:rsid w:val="005E6A56"/>
    <w:rsid w:val="005F1261"/>
    <w:rsid w:val="005F15A3"/>
    <w:rsid w:val="005F1803"/>
    <w:rsid w:val="005F18E5"/>
    <w:rsid w:val="005F521D"/>
    <w:rsid w:val="005F5379"/>
    <w:rsid w:val="00602315"/>
    <w:rsid w:val="0060610E"/>
    <w:rsid w:val="006062E5"/>
    <w:rsid w:val="0061017D"/>
    <w:rsid w:val="00613B05"/>
    <w:rsid w:val="00614E46"/>
    <w:rsid w:val="00615462"/>
    <w:rsid w:val="006173D0"/>
    <w:rsid w:val="006240B8"/>
    <w:rsid w:val="006319E6"/>
    <w:rsid w:val="0063373D"/>
    <w:rsid w:val="0063714A"/>
    <w:rsid w:val="00645DF2"/>
    <w:rsid w:val="00650B81"/>
    <w:rsid w:val="00655DCA"/>
    <w:rsid w:val="0065719B"/>
    <w:rsid w:val="00657858"/>
    <w:rsid w:val="0066322F"/>
    <w:rsid w:val="00675BFC"/>
    <w:rsid w:val="00681906"/>
    <w:rsid w:val="00681E86"/>
    <w:rsid w:val="00682431"/>
    <w:rsid w:val="00682BD2"/>
    <w:rsid w:val="00683417"/>
    <w:rsid w:val="00684CD4"/>
    <w:rsid w:val="00685781"/>
    <w:rsid w:val="006875FC"/>
    <w:rsid w:val="00691E24"/>
    <w:rsid w:val="0069559D"/>
    <w:rsid w:val="00696368"/>
    <w:rsid w:val="00696799"/>
    <w:rsid w:val="006A09A6"/>
    <w:rsid w:val="006A7B8B"/>
    <w:rsid w:val="006B0044"/>
    <w:rsid w:val="006B2A8F"/>
    <w:rsid w:val="006C0EBD"/>
    <w:rsid w:val="006C365F"/>
    <w:rsid w:val="006C4C8A"/>
    <w:rsid w:val="006D2842"/>
    <w:rsid w:val="006E12F0"/>
    <w:rsid w:val="006E304C"/>
    <w:rsid w:val="006F1DC5"/>
    <w:rsid w:val="006F34CC"/>
    <w:rsid w:val="006F6496"/>
    <w:rsid w:val="00707B05"/>
    <w:rsid w:val="007105DA"/>
    <w:rsid w:val="00715B08"/>
    <w:rsid w:val="007248D2"/>
    <w:rsid w:val="00730AD3"/>
    <w:rsid w:val="007351FD"/>
    <w:rsid w:val="00740E6D"/>
    <w:rsid w:val="0074215A"/>
    <w:rsid w:val="00745E4E"/>
    <w:rsid w:val="007475C3"/>
    <w:rsid w:val="00755AAB"/>
    <w:rsid w:val="00755FDC"/>
    <w:rsid w:val="00761909"/>
    <w:rsid w:val="007621B9"/>
    <w:rsid w:val="00765087"/>
    <w:rsid w:val="00767821"/>
    <w:rsid w:val="00772B8C"/>
    <w:rsid w:val="007749B5"/>
    <w:rsid w:val="007836F1"/>
    <w:rsid w:val="00784D8B"/>
    <w:rsid w:val="007852CF"/>
    <w:rsid w:val="00785862"/>
    <w:rsid w:val="0078637B"/>
    <w:rsid w:val="007939F5"/>
    <w:rsid w:val="00793DB3"/>
    <w:rsid w:val="0079591C"/>
    <w:rsid w:val="007A0537"/>
    <w:rsid w:val="007A52D5"/>
    <w:rsid w:val="007A708A"/>
    <w:rsid w:val="007B0030"/>
    <w:rsid w:val="007B3858"/>
    <w:rsid w:val="007B3BDB"/>
    <w:rsid w:val="007B61B3"/>
    <w:rsid w:val="007B64A8"/>
    <w:rsid w:val="007B6CFF"/>
    <w:rsid w:val="007C1DBC"/>
    <w:rsid w:val="007C630B"/>
    <w:rsid w:val="007C6AF9"/>
    <w:rsid w:val="007D5B95"/>
    <w:rsid w:val="007D65B4"/>
    <w:rsid w:val="007E0EE0"/>
    <w:rsid w:val="007E2D83"/>
    <w:rsid w:val="007E4632"/>
    <w:rsid w:val="007F1352"/>
    <w:rsid w:val="007F2B45"/>
    <w:rsid w:val="007F59EB"/>
    <w:rsid w:val="007F5E79"/>
    <w:rsid w:val="00804883"/>
    <w:rsid w:val="008060D6"/>
    <w:rsid w:val="00814480"/>
    <w:rsid w:val="00814608"/>
    <w:rsid w:val="0081513F"/>
    <w:rsid w:val="0081586E"/>
    <w:rsid w:val="00816489"/>
    <w:rsid w:val="00817911"/>
    <w:rsid w:val="00820648"/>
    <w:rsid w:val="00820E5A"/>
    <w:rsid w:val="00821EA0"/>
    <w:rsid w:val="00824079"/>
    <w:rsid w:val="00824AB7"/>
    <w:rsid w:val="00827937"/>
    <w:rsid w:val="00832422"/>
    <w:rsid w:val="00834368"/>
    <w:rsid w:val="008346B6"/>
    <w:rsid w:val="00834906"/>
    <w:rsid w:val="00834E62"/>
    <w:rsid w:val="00835183"/>
    <w:rsid w:val="008411A4"/>
    <w:rsid w:val="00845A62"/>
    <w:rsid w:val="00846588"/>
    <w:rsid w:val="00846CAA"/>
    <w:rsid w:val="0085515E"/>
    <w:rsid w:val="00855996"/>
    <w:rsid w:val="00861E69"/>
    <w:rsid w:val="00863DC6"/>
    <w:rsid w:val="0087010E"/>
    <w:rsid w:val="008719EA"/>
    <w:rsid w:val="00877706"/>
    <w:rsid w:val="00877D78"/>
    <w:rsid w:val="008812CE"/>
    <w:rsid w:val="00881823"/>
    <w:rsid w:val="008832B6"/>
    <w:rsid w:val="0088381B"/>
    <w:rsid w:val="00886645"/>
    <w:rsid w:val="008A03E3"/>
    <w:rsid w:val="008A44C4"/>
    <w:rsid w:val="008A4F2A"/>
    <w:rsid w:val="008A529B"/>
    <w:rsid w:val="008A5BF3"/>
    <w:rsid w:val="008A6C14"/>
    <w:rsid w:val="008B3BEF"/>
    <w:rsid w:val="008C1683"/>
    <w:rsid w:val="008C1D89"/>
    <w:rsid w:val="008C4919"/>
    <w:rsid w:val="008C5D56"/>
    <w:rsid w:val="008C6B5E"/>
    <w:rsid w:val="008C6FA3"/>
    <w:rsid w:val="008D338A"/>
    <w:rsid w:val="008D426F"/>
    <w:rsid w:val="008D5994"/>
    <w:rsid w:val="008D619C"/>
    <w:rsid w:val="008E359C"/>
    <w:rsid w:val="008E55BA"/>
    <w:rsid w:val="008E68CF"/>
    <w:rsid w:val="008E7883"/>
    <w:rsid w:val="008E7D61"/>
    <w:rsid w:val="008F3BC3"/>
    <w:rsid w:val="008F4D25"/>
    <w:rsid w:val="00907015"/>
    <w:rsid w:val="00910A0F"/>
    <w:rsid w:val="009124CE"/>
    <w:rsid w:val="00912954"/>
    <w:rsid w:val="009205D0"/>
    <w:rsid w:val="009207AC"/>
    <w:rsid w:val="00921F34"/>
    <w:rsid w:val="0092304C"/>
    <w:rsid w:val="00923F06"/>
    <w:rsid w:val="009248F5"/>
    <w:rsid w:val="0092779F"/>
    <w:rsid w:val="0093044E"/>
    <w:rsid w:val="009311B3"/>
    <w:rsid w:val="0093225A"/>
    <w:rsid w:val="00932760"/>
    <w:rsid w:val="00932C51"/>
    <w:rsid w:val="009367EE"/>
    <w:rsid w:val="00937256"/>
    <w:rsid w:val="00944264"/>
    <w:rsid w:val="009451B8"/>
    <w:rsid w:val="00946E31"/>
    <w:rsid w:val="00952BA3"/>
    <w:rsid w:val="0095421D"/>
    <w:rsid w:val="00954BF3"/>
    <w:rsid w:val="00955315"/>
    <w:rsid w:val="009559F5"/>
    <w:rsid w:val="00956013"/>
    <w:rsid w:val="00960B10"/>
    <w:rsid w:val="00960CC1"/>
    <w:rsid w:val="00961285"/>
    <w:rsid w:val="00961D1B"/>
    <w:rsid w:val="00963418"/>
    <w:rsid w:val="00973C85"/>
    <w:rsid w:val="009747F1"/>
    <w:rsid w:val="00982249"/>
    <w:rsid w:val="009841DA"/>
    <w:rsid w:val="009861F1"/>
    <w:rsid w:val="0099262A"/>
    <w:rsid w:val="009945F7"/>
    <w:rsid w:val="00996CB4"/>
    <w:rsid w:val="0099706C"/>
    <w:rsid w:val="009A04B3"/>
    <w:rsid w:val="009A07C7"/>
    <w:rsid w:val="009A2946"/>
    <w:rsid w:val="009A7726"/>
    <w:rsid w:val="009B29A4"/>
    <w:rsid w:val="009B3075"/>
    <w:rsid w:val="009B5BFF"/>
    <w:rsid w:val="009B72ED"/>
    <w:rsid w:val="009B7BD4"/>
    <w:rsid w:val="009C33AA"/>
    <w:rsid w:val="009D253F"/>
    <w:rsid w:val="009D79CD"/>
    <w:rsid w:val="009E1447"/>
    <w:rsid w:val="009F213C"/>
    <w:rsid w:val="00A00FCD"/>
    <w:rsid w:val="00A07074"/>
    <w:rsid w:val="00A101CD"/>
    <w:rsid w:val="00A1082C"/>
    <w:rsid w:val="00A11266"/>
    <w:rsid w:val="00A140B3"/>
    <w:rsid w:val="00A21846"/>
    <w:rsid w:val="00A23E40"/>
    <w:rsid w:val="00A27914"/>
    <w:rsid w:val="00A3008C"/>
    <w:rsid w:val="00A313E5"/>
    <w:rsid w:val="00A32A5A"/>
    <w:rsid w:val="00A32A9D"/>
    <w:rsid w:val="00A46B70"/>
    <w:rsid w:val="00A5511A"/>
    <w:rsid w:val="00A559CB"/>
    <w:rsid w:val="00A56066"/>
    <w:rsid w:val="00A573C9"/>
    <w:rsid w:val="00A60DB3"/>
    <w:rsid w:val="00A63B06"/>
    <w:rsid w:val="00A73799"/>
    <w:rsid w:val="00A771B7"/>
    <w:rsid w:val="00A77394"/>
    <w:rsid w:val="00A817AE"/>
    <w:rsid w:val="00A81BA7"/>
    <w:rsid w:val="00A83329"/>
    <w:rsid w:val="00A866A5"/>
    <w:rsid w:val="00A86CAF"/>
    <w:rsid w:val="00A90F3A"/>
    <w:rsid w:val="00A9266D"/>
    <w:rsid w:val="00AA4239"/>
    <w:rsid w:val="00AA4692"/>
    <w:rsid w:val="00AA4C8F"/>
    <w:rsid w:val="00AA6357"/>
    <w:rsid w:val="00AA71EC"/>
    <w:rsid w:val="00AA78BD"/>
    <w:rsid w:val="00AB7672"/>
    <w:rsid w:val="00AC0D76"/>
    <w:rsid w:val="00AC3CD6"/>
    <w:rsid w:val="00AC45B7"/>
    <w:rsid w:val="00AD007E"/>
    <w:rsid w:val="00AD0E39"/>
    <w:rsid w:val="00AD1491"/>
    <w:rsid w:val="00AD2F56"/>
    <w:rsid w:val="00AD3E30"/>
    <w:rsid w:val="00AD5E32"/>
    <w:rsid w:val="00AE0649"/>
    <w:rsid w:val="00AE1773"/>
    <w:rsid w:val="00AE2FAA"/>
    <w:rsid w:val="00AE3692"/>
    <w:rsid w:val="00AE36CF"/>
    <w:rsid w:val="00AE437D"/>
    <w:rsid w:val="00AE5E66"/>
    <w:rsid w:val="00AE5F6D"/>
    <w:rsid w:val="00AF263A"/>
    <w:rsid w:val="00AF461B"/>
    <w:rsid w:val="00AF793F"/>
    <w:rsid w:val="00B01E32"/>
    <w:rsid w:val="00B037FB"/>
    <w:rsid w:val="00B049F2"/>
    <w:rsid w:val="00B04BF8"/>
    <w:rsid w:val="00B21D9A"/>
    <w:rsid w:val="00B22028"/>
    <w:rsid w:val="00B22F20"/>
    <w:rsid w:val="00B2342E"/>
    <w:rsid w:val="00B25BC5"/>
    <w:rsid w:val="00B277E6"/>
    <w:rsid w:val="00B32324"/>
    <w:rsid w:val="00B345C9"/>
    <w:rsid w:val="00B46B02"/>
    <w:rsid w:val="00B47219"/>
    <w:rsid w:val="00B514BC"/>
    <w:rsid w:val="00B55DA5"/>
    <w:rsid w:val="00B56990"/>
    <w:rsid w:val="00B6053D"/>
    <w:rsid w:val="00B61A59"/>
    <w:rsid w:val="00B65877"/>
    <w:rsid w:val="00B7381E"/>
    <w:rsid w:val="00B75CD5"/>
    <w:rsid w:val="00B82ACE"/>
    <w:rsid w:val="00B86FE0"/>
    <w:rsid w:val="00B86FF0"/>
    <w:rsid w:val="00B9003E"/>
    <w:rsid w:val="00BA134A"/>
    <w:rsid w:val="00BA140C"/>
    <w:rsid w:val="00BA14F7"/>
    <w:rsid w:val="00BB0974"/>
    <w:rsid w:val="00BB7C0E"/>
    <w:rsid w:val="00BC61F5"/>
    <w:rsid w:val="00BD05F9"/>
    <w:rsid w:val="00BD09AE"/>
    <w:rsid w:val="00BD09CD"/>
    <w:rsid w:val="00BD0AB9"/>
    <w:rsid w:val="00BD35A5"/>
    <w:rsid w:val="00BD571B"/>
    <w:rsid w:val="00BD7815"/>
    <w:rsid w:val="00BD7E5C"/>
    <w:rsid w:val="00BE65A5"/>
    <w:rsid w:val="00BF2053"/>
    <w:rsid w:val="00BF2500"/>
    <w:rsid w:val="00BF34D7"/>
    <w:rsid w:val="00BF70D6"/>
    <w:rsid w:val="00C00047"/>
    <w:rsid w:val="00C00E8A"/>
    <w:rsid w:val="00C061B9"/>
    <w:rsid w:val="00C11BD0"/>
    <w:rsid w:val="00C12066"/>
    <w:rsid w:val="00C158A8"/>
    <w:rsid w:val="00C22F84"/>
    <w:rsid w:val="00C25A82"/>
    <w:rsid w:val="00C274BD"/>
    <w:rsid w:val="00C2797D"/>
    <w:rsid w:val="00C40EA6"/>
    <w:rsid w:val="00C41793"/>
    <w:rsid w:val="00C45AAF"/>
    <w:rsid w:val="00C50B5E"/>
    <w:rsid w:val="00C57B84"/>
    <w:rsid w:val="00C60BD9"/>
    <w:rsid w:val="00C61B89"/>
    <w:rsid w:val="00C713D6"/>
    <w:rsid w:val="00C7183B"/>
    <w:rsid w:val="00C8343C"/>
    <w:rsid w:val="00C857CB"/>
    <w:rsid w:val="00C87067"/>
    <w:rsid w:val="00C8740F"/>
    <w:rsid w:val="00C914FB"/>
    <w:rsid w:val="00CA05F2"/>
    <w:rsid w:val="00CA1C90"/>
    <w:rsid w:val="00CA2ADD"/>
    <w:rsid w:val="00CA40D7"/>
    <w:rsid w:val="00CB5621"/>
    <w:rsid w:val="00CB6D2E"/>
    <w:rsid w:val="00CC2EB9"/>
    <w:rsid w:val="00CD16DE"/>
    <w:rsid w:val="00CD1D31"/>
    <w:rsid w:val="00CD42F8"/>
    <w:rsid w:val="00CE1859"/>
    <w:rsid w:val="00CE1B2E"/>
    <w:rsid w:val="00CE21C0"/>
    <w:rsid w:val="00CE3062"/>
    <w:rsid w:val="00CE35ED"/>
    <w:rsid w:val="00CF0916"/>
    <w:rsid w:val="00CF1512"/>
    <w:rsid w:val="00CF6844"/>
    <w:rsid w:val="00D00132"/>
    <w:rsid w:val="00D04603"/>
    <w:rsid w:val="00D06EE9"/>
    <w:rsid w:val="00D125BE"/>
    <w:rsid w:val="00D1402A"/>
    <w:rsid w:val="00D14133"/>
    <w:rsid w:val="00D166B1"/>
    <w:rsid w:val="00D2635B"/>
    <w:rsid w:val="00D30B62"/>
    <w:rsid w:val="00D34B19"/>
    <w:rsid w:val="00D354A3"/>
    <w:rsid w:val="00D41CD1"/>
    <w:rsid w:val="00D423EB"/>
    <w:rsid w:val="00D46370"/>
    <w:rsid w:val="00D555DA"/>
    <w:rsid w:val="00D55F65"/>
    <w:rsid w:val="00D56344"/>
    <w:rsid w:val="00D579BE"/>
    <w:rsid w:val="00D579D7"/>
    <w:rsid w:val="00D61758"/>
    <w:rsid w:val="00D65AFE"/>
    <w:rsid w:val="00D65F53"/>
    <w:rsid w:val="00D66E20"/>
    <w:rsid w:val="00D71036"/>
    <w:rsid w:val="00D716EA"/>
    <w:rsid w:val="00D7632B"/>
    <w:rsid w:val="00D76EC9"/>
    <w:rsid w:val="00D76F19"/>
    <w:rsid w:val="00D81D24"/>
    <w:rsid w:val="00D878C5"/>
    <w:rsid w:val="00D90C68"/>
    <w:rsid w:val="00D943BF"/>
    <w:rsid w:val="00DA3522"/>
    <w:rsid w:val="00DA7103"/>
    <w:rsid w:val="00DA74B2"/>
    <w:rsid w:val="00DB3A95"/>
    <w:rsid w:val="00DB56A2"/>
    <w:rsid w:val="00DB5950"/>
    <w:rsid w:val="00DB6298"/>
    <w:rsid w:val="00DB72F2"/>
    <w:rsid w:val="00DB7937"/>
    <w:rsid w:val="00DC3881"/>
    <w:rsid w:val="00DC73A7"/>
    <w:rsid w:val="00DD3929"/>
    <w:rsid w:val="00DD4062"/>
    <w:rsid w:val="00DD4BA4"/>
    <w:rsid w:val="00DD4C58"/>
    <w:rsid w:val="00DD6760"/>
    <w:rsid w:val="00DD6FC4"/>
    <w:rsid w:val="00DE00A7"/>
    <w:rsid w:val="00DE10EE"/>
    <w:rsid w:val="00DE1490"/>
    <w:rsid w:val="00DE22A7"/>
    <w:rsid w:val="00DE6F0D"/>
    <w:rsid w:val="00E01354"/>
    <w:rsid w:val="00E04C01"/>
    <w:rsid w:val="00E04D68"/>
    <w:rsid w:val="00E050A6"/>
    <w:rsid w:val="00E067DD"/>
    <w:rsid w:val="00E11244"/>
    <w:rsid w:val="00E16CAE"/>
    <w:rsid w:val="00E23F3A"/>
    <w:rsid w:val="00E27EAA"/>
    <w:rsid w:val="00E30D85"/>
    <w:rsid w:val="00E311FF"/>
    <w:rsid w:val="00E31917"/>
    <w:rsid w:val="00E32187"/>
    <w:rsid w:val="00E325F1"/>
    <w:rsid w:val="00E338E1"/>
    <w:rsid w:val="00E34C6E"/>
    <w:rsid w:val="00E35D2D"/>
    <w:rsid w:val="00E3689E"/>
    <w:rsid w:val="00E37E17"/>
    <w:rsid w:val="00E41A29"/>
    <w:rsid w:val="00E43F0A"/>
    <w:rsid w:val="00E46EEE"/>
    <w:rsid w:val="00E515DB"/>
    <w:rsid w:val="00E54F1A"/>
    <w:rsid w:val="00E54F7C"/>
    <w:rsid w:val="00E56D15"/>
    <w:rsid w:val="00E644AD"/>
    <w:rsid w:val="00E674DD"/>
    <w:rsid w:val="00E67B22"/>
    <w:rsid w:val="00E81323"/>
    <w:rsid w:val="00E90FD2"/>
    <w:rsid w:val="00E95776"/>
    <w:rsid w:val="00E95809"/>
    <w:rsid w:val="00EA0AC9"/>
    <w:rsid w:val="00EA24BC"/>
    <w:rsid w:val="00EA2744"/>
    <w:rsid w:val="00EA406E"/>
    <w:rsid w:val="00EA43AC"/>
    <w:rsid w:val="00EA4A7B"/>
    <w:rsid w:val="00EA52D3"/>
    <w:rsid w:val="00EB2329"/>
    <w:rsid w:val="00EB6A79"/>
    <w:rsid w:val="00EB78C4"/>
    <w:rsid w:val="00EC1CA1"/>
    <w:rsid w:val="00EC3746"/>
    <w:rsid w:val="00EC6E7D"/>
    <w:rsid w:val="00ED02F6"/>
    <w:rsid w:val="00ED3727"/>
    <w:rsid w:val="00ED3FF4"/>
    <w:rsid w:val="00EE1821"/>
    <w:rsid w:val="00EE1C1A"/>
    <w:rsid w:val="00EE23C8"/>
    <w:rsid w:val="00EE3EAA"/>
    <w:rsid w:val="00EE50BC"/>
    <w:rsid w:val="00EE550A"/>
    <w:rsid w:val="00EE7D47"/>
    <w:rsid w:val="00EF1E98"/>
    <w:rsid w:val="00EF2CC9"/>
    <w:rsid w:val="00EF4C3C"/>
    <w:rsid w:val="00EF5820"/>
    <w:rsid w:val="00EF6698"/>
    <w:rsid w:val="00F0012B"/>
    <w:rsid w:val="00F0141F"/>
    <w:rsid w:val="00F03C8D"/>
    <w:rsid w:val="00F0482E"/>
    <w:rsid w:val="00F066AC"/>
    <w:rsid w:val="00F1495B"/>
    <w:rsid w:val="00F169E4"/>
    <w:rsid w:val="00F16F20"/>
    <w:rsid w:val="00F254FB"/>
    <w:rsid w:val="00F2628B"/>
    <w:rsid w:val="00F27CCE"/>
    <w:rsid w:val="00F301C3"/>
    <w:rsid w:val="00F36708"/>
    <w:rsid w:val="00F3704A"/>
    <w:rsid w:val="00F37EDB"/>
    <w:rsid w:val="00F43E9B"/>
    <w:rsid w:val="00F52EB3"/>
    <w:rsid w:val="00F5369D"/>
    <w:rsid w:val="00F556D8"/>
    <w:rsid w:val="00F62916"/>
    <w:rsid w:val="00F63127"/>
    <w:rsid w:val="00F63892"/>
    <w:rsid w:val="00F63D9A"/>
    <w:rsid w:val="00F67C6D"/>
    <w:rsid w:val="00F7694B"/>
    <w:rsid w:val="00F83F4F"/>
    <w:rsid w:val="00F9195C"/>
    <w:rsid w:val="00F96822"/>
    <w:rsid w:val="00F97153"/>
    <w:rsid w:val="00FA02D2"/>
    <w:rsid w:val="00FA075A"/>
    <w:rsid w:val="00FA4AE5"/>
    <w:rsid w:val="00FA78CF"/>
    <w:rsid w:val="00FA7CBB"/>
    <w:rsid w:val="00FB09D8"/>
    <w:rsid w:val="00FB1DB8"/>
    <w:rsid w:val="00FB743C"/>
    <w:rsid w:val="00FB7AB8"/>
    <w:rsid w:val="00FC2126"/>
    <w:rsid w:val="00FC347A"/>
    <w:rsid w:val="00FC4BB1"/>
    <w:rsid w:val="00FD307B"/>
    <w:rsid w:val="00FD3BA0"/>
    <w:rsid w:val="00FD6BD1"/>
    <w:rsid w:val="00FE060B"/>
    <w:rsid w:val="00FE223F"/>
    <w:rsid w:val="00FE3685"/>
    <w:rsid w:val="00FE47DD"/>
    <w:rsid w:val="00FE545C"/>
    <w:rsid w:val="00FE68E4"/>
    <w:rsid w:val="00FE6A8C"/>
    <w:rsid w:val="00FF1A0C"/>
    <w:rsid w:val="00FF34A3"/>
    <w:rsid w:val="00FF4ED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6"/>
    <o:shapelayout v:ext="edit">
      <o:idmap v:ext="edit" data="1"/>
    </o:shapelayout>
  </w:shapeDefaults>
  <w:decimalSymbol w:val="."/>
  <w:listSeparator w:val=","/>
  <w14:docId w14:val="2BAF27EF"/>
  <w15:chartTrackingRefBased/>
  <w15:docId w15:val="{FABE5907-6952-45A8-804E-69066EF8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Heading6Char">
    <w:name w:val="Heading 6 Char"/>
    <w:link w:val="Heading6"/>
    <w:rsid w:val="00E050A6"/>
    <w:rPr>
      <w:rFonts w:ascii="Verdana" w:hAnsi="Verdana"/>
      <w:b/>
      <w:color w:val="000000"/>
      <w:sz w:val="22"/>
      <w:szCs w:val="22"/>
      <w:lang w:val="en-GB" w:eastAsia="en-GB" w:bidi="ar-SA"/>
    </w:rPr>
  </w:style>
  <w:style w:type="character" w:customStyle="1" w:styleId="FootnoteTextChar">
    <w:name w:val="Footnote Text Char"/>
    <w:link w:val="FootnoteText"/>
    <w:semiHidden/>
    <w:locked/>
    <w:rsid w:val="00E050A6"/>
    <w:rPr>
      <w:rFonts w:ascii="Verdana" w:hAnsi="Verdana"/>
      <w:sz w:val="16"/>
      <w:lang w:val="en-GB" w:eastAsia="en-GB" w:bidi="ar-SA"/>
    </w:rPr>
  </w:style>
  <w:style w:type="character" w:styleId="FootnoteReference">
    <w:name w:val="footnote reference"/>
    <w:semiHidden/>
    <w:rsid w:val="00E050A6"/>
    <w:rPr>
      <w:rFonts w:cs="Times New Roman"/>
      <w:vertAlign w:val="superscript"/>
    </w:rPr>
  </w:style>
  <w:style w:type="character" w:customStyle="1" w:styleId="Style1Char">
    <w:name w:val="Style1 Char"/>
    <w:link w:val="Style1"/>
    <w:rsid w:val="00E050A6"/>
    <w:rPr>
      <w:rFonts w:ascii="Verdana" w:hAnsi="Verdana"/>
      <w:color w:val="000000"/>
      <w:kern w:val="28"/>
      <w:sz w:val="22"/>
    </w:rPr>
  </w:style>
  <w:style w:type="paragraph" w:styleId="BalloonText">
    <w:name w:val="Balloon Text"/>
    <w:basedOn w:val="Normal"/>
    <w:link w:val="BalloonTextChar"/>
    <w:rsid w:val="001163CF"/>
    <w:rPr>
      <w:rFonts w:ascii="Segoe UI" w:hAnsi="Segoe UI" w:cs="Segoe UI"/>
      <w:sz w:val="18"/>
      <w:szCs w:val="18"/>
    </w:rPr>
  </w:style>
  <w:style w:type="character" w:customStyle="1" w:styleId="BalloonTextChar">
    <w:name w:val="Balloon Text Char"/>
    <w:link w:val="BalloonText"/>
    <w:rsid w:val="001163CF"/>
    <w:rPr>
      <w:rFonts w:ascii="Segoe UI" w:hAnsi="Segoe UI" w:cs="Segoe UI"/>
      <w:sz w:val="18"/>
      <w:szCs w:val="18"/>
    </w:rPr>
  </w:style>
  <w:style w:type="character" w:styleId="CommentReference">
    <w:name w:val="annotation reference"/>
    <w:rsid w:val="004E2761"/>
    <w:rPr>
      <w:sz w:val="16"/>
      <w:szCs w:val="16"/>
    </w:rPr>
  </w:style>
  <w:style w:type="paragraph" w:styleId="CommentText">
    <w:name w:val="annotation text"/>
    <w:basedOn w:val="Normal"/>
    <w:link w:val="CommentTextChar"/>
    <w:rsid w:val="004E2761"/>
    <w:rPr>
      <w:sz w:val="20"/>
    </w:rPr>
  </w:style>
  <w:style w:type="character" w:customStyle="1" w:styleId="CommentTextChar">
    <w:name w:val="Comment Text Char"/>
    <w:link w:val="CommentText"/>
    <w:rsid w:val="004E2761"/>
    <w:rPr>
      <w:rFonts w:ascii="Verdana" w:hAnsi="Verdana"/>
    </w:rPr>
  </w:style>
  <w:style w:type="paragraph" w:styleId="CommentSubject">
    <w:name w:val="annotation subject"/>
    <w:basedOn w:val="CommentText"/>
    <w:next w:val="CommentText"/>
    <w:link w:val="CommentSubjectChar"/>
    <w:rsid w:val="004E2761"/>
    <w:rPr>
      <w:b/>
      <w:bCs/>
    </w:rPr>
  </w:style>
  <w:style w:type="character" w:customStyle="1" w:styleId="CommentSubjectChar">
    <w:name w:val="Comment Subject Char"/>
    <w:link w:val="CommentSubject"/>
    <w:rsid w:val="004E276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AA5CFEF4-0018-40E7-9711-63121D45A0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11</Pages>
  <Words>3746</Words>
  <Characters>21357</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Edwards, Michael</cp:lastModifiedBy>
  <cp:revision>2</cp:revision>
  <cp:lastPrinted>2022-05-20T09:31:00Z</cp:lastPrinted>
  <dcterms:created xsi:type="dcterms:W3CDTF">2022-05-24T14:15:00Z</dcterms:created>
  <dcterms:modified xsi:type="dcterms:W3CDTF">2022-05-24T14:15:00Z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9e8f4e6a-1df8-4328-afdd-aedca53918e1</vt:lpwstr>
  </property>
  <property fmtid="{D5CDD505-2E9C-101B-9397-08002B2CF9AE}" pid="9" name="bjSaver">
    <vt:lpwstr>RI5c9/ORO0M3Jj9fwTumn5FfqTQxtfxg</vt:lpwstr>
  </property>
  <property fmtid="{D5CDD505-2E9C-101B-9397-08002B2CF9AE}" pid="10" name="bjDocumentSecurityLabel">
    <vt:lpwstr>No Marking</vt:lpwstr>
  </property>
</Properties>
</file>