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D1F1" w14:textId="74F71A43" w:rsidR="00BD09CD" w:rsidRDefault="00812914">
      <w:r>
        <w:rPr>
          <w:noProof/>
        </w:rPr>
        <w:drawing>
          <wp:inline distT="0" distB="0" distL="0" distR="0" wp14:anchorId="6E996DA2" wp14:editId="3F0D1BFA">
            <wp:extent cx="3422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1F73DE66" w14:textId="77777777" w:rsidR="0004625F" w:rsidRDefault="0004625F" w:rsidP="00B32324">
      <w:pPr>
        <w:spacing w:after="60"/>
      </w:pPr>
    </w:p>
    <w:p w14:paraId="3B27AC59"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6471C154" w14:textId="77777777" w:rsidTr="004D6820">
        <w:trPr>
          <w:cantSplit/>
          <w:trHeight w:val="659"/>
        </w:trPr>
        <w:tc>
          <w:tcPr>
            <w:tcW w:w="9356" w:type="dxa"/>
            <w:shd w:val="clear" w:color="auto" w:fill="auto"/>
          </w:tcPr>
          <w:p w14:paraId="7C0B9C22" w14:textId="77777777" w:rsidR="0004625F" w:rsidRPr="004D6820" w:rsidRDefault="004D6820"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492D89CE" w14:textId="77777777" w:rsidTr="004D6820">
        <w:trPr>
          <w:cantSplit/>
          <w:trHeight w:val="425"/>
        </w:trPr>
        <w:tc>
          <w:tcPr>
            <w:tcW w:w="9356" w:type="dxa"/>
            <w:shd w:val="clear" w:color="auto" w:fill="auto"/>
            <w:vAlign w:val="center"/>
          </w:tcPr>
          <w:p w14:paraId="1762ED12" w14:textId="13521C71" w:rsidR="0004625F" w:rsidRPr="004D6820" w:rsidRDefault="004D6820" w:rsidP="002F64A3">
            <w:pPr>
              <w:spacing w:before="60"/>
              <w:ind w:left="-108" w:right="34"/>
              <w:rPr>
                <w:color w:val="000000"/>
                <w:szCs w:val="22"/>
              </w:rPr>
            </w:pPr>
            <w:r>
              <w:rPr>
                <w:color w:val="000000"/>
                <w:szCs w:val="22"/>
              </w:rPr>
              <w:t xml:space="preserve">Inquiry </w:t>
            </w:r>
            <w:r w:rsidR="00804888">
              <w:rPr>
                <w:color w:val="000000"/>
                <w:szCs w:val="22"/>
              </w:rPr>
              <w:t>opene</w:t>
            </w:r>
            <w:r>
              <w:rPr>
                <w:color w:val="000000"/>
                <w:szCs w:val="22"/>
              </w:rPr>
              <w:t xml:space="preserve">d on </w:t>
            </w:r>
            <w:r w:rsidR="00E01052">
              <w:rPr>
                <w:color w:val="000000"/>
                <w:szCs w:val="22"/>
              </w:rPr>
              <w:t>30 November 2021</w:t>
            </w:r>
          </w:p>
        </w:tc>
      </w:tr>
      <w:tr w:rsidR="0004625F" w:rsidRPr="00361890" w14:paraId="40EACB45" w14:textId="77777777" w:rsidTr="004D6820">
        <w:trPr>
          <w:cantSplit/>
          <w:trHeight w:val="374"/>
        </w:trPr>
        <w:tc>
          <w:tcPr>
            <w:tcW w:w="9356" w:type="dxa"/>
            <w:shd w:val="clear" w:color="auto" w:fill="auto"/>
          </w:tcPr>
          <w:p w14:paraId="730C7B80" w14:textId="77777777" w:rsidR="0004625F" w:rsidRPr="004D6820" w:rsidRDefault="004D6820" w:rsidP="004D6820">
            <w:pPr>
              <w:spacing w:before="180"/>
              <w:ind w:left="-108" w:right="34"/>
              <w:rPr>
                <w:b/>
                <w:color w:val="000000"/>
                <w:sz w:val="16"/>
                <w:szCs w:val="22"/>
              </w:rPr>
            </w:pPr>
            <w:r>
              <w:rPr>
                <w:b/>
                <w:color w:val="000000"/>
                <w:szCs w:val="22"/>
              </w:rPr>
              <w:t xml:space="preserve">by Barney </w:t>
            </w:r>
            <w:proofErr w:type="gramStart"/>
            <w:r>
              <w:rPr>
                <w:b/>
                <w:color w:val="000000"/>
                <w:szCs w:val="22"/>
              </w:rPr>
              <w:t>Grimshaw  BA</w:t>
            </w:r>
            <w:proofErr w:type="gramEnd"/>
            <w:r>
              <w:rPr>
                <w:b/>
                <w:color w:val="000000"/>
                <w:szCs w:val="22"/>
              </w:rPr>
              <w:t xml:space="preserve"> DPA MRTPI(</w:t>
            </w:r>
            <w:proofErr w:type="spellStart"/>
            <w:r>
              <w:rPr>
                <w:b/>
                <w:color w:val="000000"/>
                <w:szCs w:val="22"/>
              </w:rPr>
              <w:t>Rtd</w:t>
            </w:r>
            <w:proofErr w:type="spellEnd"/>
            <w:r>
              <w:rPr>
                <w:b/>
                <w:color w:val="000000"/>
                <w:szCs w:val="22"/>
              </w:rPr>
              <w:t>)</w:t>
            </w:r>
          </w:p>
        </w:tc>
      </w:tr>
      <w:tr w:rsidR="0004625F" w:rsidRPr="00361890" w14:paraId="298FA1F9" w14:textId="77777777" w:rsidTr="004D6820">
        <w:trPr>
          <w:cantSplit/>
          <w:trHeight w:val="357"/>
        </w:trPr>
        <w:tc>
          <w:tcPr>
            <w:tcW w:w="9356" w:type="dxa"/>
            <w:shd w:val="clear" w:color="auto" w:fill="auto"/>
          </w:tcPr>
          <w:p w14:paraId="0A84F3F5" w14:textId="77777777" w:rsidR="0004625F" w:rsidRPr="004D6820" w:rsidRDefault="004D6820"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34841615" w14:textId="77777777" w:rsidTr="004D6820">
        <w:trPr>
          <w:cantSplit/>
          <w:trHeight w:val="335"/>
        </w:trPr>
        <w:tc>
          <w:tcPr>
            <w:tcW w:w="9356" w:type="dxa"/>
            <w:shd w:val="clear" w:color="auto" w:fill="auto"/>
          </w:tcPr>
          <w:p w14:paraId="06458821" w14:textId="18197858"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3F529C">
              <w:rPr>
                <w:b/>
                <w:color w:val="000000"/>
                <w:sz w:val="16"/>
                <w:szCs w:val="16"/>
              </w:rPr>
              <w:t xml:space="preserve"> 16 December 2021</w:t>
            </w:r>
          </w:p>
        </w:tc>
      </w:tr>
    </w:tbl>
    <w:p w14:paraId="4A4FF108" w14:textId="77777777" w:rsidR="004D6820" w:rsidRDefault="004D6820"/>
    <w:tbl>
      <w:tblPr>
        <w:tblW w:w="0" w:type="auto"/>
        <w:tblLayout w:type="fixed"/>
        <w:tblLook w:val="0000" w:firstRow="0" w:lastRow="0" w:firstColumn="0" w:lastColumn="0" w:noHBand="0" w:noVBand="0"/>
      </w:tblPr>
      <w:tblGrid>
        <w:gridCol w:w="9520"/>
      </w:tblGrid>
      <w:tr w:rsidR="004D6820" w14:paraId="2FA37E3E" w14:textId="77777777" w:rsidTr="004D6820">
        <w:tc>
          <w:tcPr>
            <w:tcW w:w="9520" w:type="dxa"/>
            <w:shd w:val="clear" w:color="auto" w:fill="auto"/>
          </w:tcPr>
          <w:p w14:paraId="77DE8BBB" w14:textId="0C2EADED" w:rsidR="004D6820" w:rsidRPr="004D6820" w:rsidRDefault="004D6820" w:rsidP="004D6820">
            <w:pPr>
              <w:spacing w:after="60"/>
              <w:rPr>
                <w:b/>
                <w:color w:val="000000"/>
              </w:rPr>
            </w:pPr>
            <w:r>
              <w:rPr>
                <w:b/>
                <w:color w:val="000000"/>
              </w:rPr>
              <w:t xml:space="preserve">Order Ref: </w:t>
            </w:r>
            <w:r w:rsidR="001726A5">
              <w:rPr>
                <w:b/>
                <w:color w:val="000000"/>
              </w:rPr>
              <w:t>ROW</w:t>
            </w:r>
            <w:r>
              <w:rPr>
                <w:b/>
                <w:color w:val="000000"/>
              </w:rPr>
              <w:t>/</w:t>
            </w:r>
            <w:r w:rsidR="00243C92">
              <w:rPr>
                <w:b/>
                <w:color w:val="000000"/>
              </w:rPr>
              <w:t>3245937</w:t>
            </w:r>
          </w:p>
        </w:tc>
      </w:tr>
      <w:tr w:rsidR="004D6820" w14:paraId="5954BE48" w14:textId="77777777" w:rsidTr="004D6820">
        <w:tc>
          <w:tcPr>
            <w:tcW w:w="9520" w:type="dxa"/>
            <w:shd w:val="clear" w:color="auto" w:fill="auto"/>
          </w:tcPr>
          <w:p w14:paraId="2E2EED5C" w14:textId="7BECCD5D" w:rsidR="004D6820" w:rsidRDefault="004D6820" w:rsidP="004D6820">
            <w:pPr>
              <w:pStyle w:val="TBullet"/>
            </w:pPr>
            <w:r>
              <w:t>This Order is made under Sect</w:t>
            </w:r>
            <w:r w:rsidR="00EE49AD">
              <w:t>ion 53(2)</w:t>
            </w:r>
            <w:r>
              <w:t xml:space="preserve">(b) of the Wildlife and Countryside Act 1981 (the 1981 Act) and is known as </w:t>
            </w:r>
            <w:r w:rsidR="00216F14">
              <w:t>The Wiltshire</w:t>
            </w:r>
            <w:r w:rsidR="00F2108E">
              <w:t xml:space="preserve"> Council (Parish of Ashton Keynes) Path no</w:t>
            </w:r>
            <w:r w:rsidR="00B77EC7">
              <w:t>.</w:t>
            </w:r>
            <w:r w:rsidR="00F2108E">
              <w:t>41 Definitive Map and Statement</w:t>
            </w:r>
            <w:r w:rsidR="00BF031D">
              <w:t xml:space="preserve"> Modification Order 2018</w:t>
            </w:r>
            <w:r>
              <w:t>.</w:t>
            </w:r>
          </w:p>
        </w:tc>
      </w:tr>
      <w:tr w:rsidR="004D6820" w14:paraId="6EC3FF86" w14:textId="77777777" w:rsidTr="004D6820">
        <w:tc>
          <w:tcPr>
            <w:tcW w:w="9520" w:type="dxa"/>
            <w:shd w:val="clear" w:color="auto" w:fill="auto"/>
          </w:tcPr>
          <w:p w14:paraId="2314C486" w14:textId="78AD18BD" w:rsidR="004D6820" w:rsidRDefault="004D6820" w:rsidP="000E13A7">
            <w:pPr>
              <w:pStyle w:val="TBullet"/>
            </w:pPr>
            <w:r>
              <w:t xml:space="preserve">The Order is dated </w:t>
            </w:r>
            <w:r w:rsidR="000D6568">
              <w:t>7 September 2018</w:t>
            </w:r>
            <w:r>
              <w:t xml:space="preserve"> and proposes to modify the Definitive Map and Statement for the area </w:t>
            </w:r>
            <w:r w:rsidR="00A1212F">
              <w:t xml:space="preserve">by </w:t>
            </w:r>
            <w:r w:rsidR="000D6568">
              <w:t xml:space="preserve">adding a </w:t>
            </w:r>
            <w:r w:rsidR="004F3BF4">
              <w:t xml:space="preserve">footpath running between Fridays Ham Lane at </w:t>
            </w:r>
            <w:proofErr w:type="spellStart"/>
            <w:r w:rsidR="004F3BF4">
              <w:t>Rixon</w:t>
            </w:r>
            <w:proofErr w:type="spellEnd"/>
            <w:r w:rsidR="004F3BF4">
              <w:t xml:space="preserve"> Gate and </w:t>
            </w:r>
            <w:r w:rsidR="009E3BCC">
              <w:t>Path no.19 Ashton Keynes</w:t>
            </w:r>
            <w:r w:rsidR="003A7E6A">
              <w:t>,</w:t>
            </w:r>
            <w:r w:rsidR="00A1212F">
              <w:t xml:space="preserve"> as shown </w:t>
            </w:r>
            <w:r w:rsidR="000E13A7">
              <w:t>o</w:t>
            </w:r>
            <w:r w:rsidR="00A1212F">
              <w:t xml:space="preserve">n the Order </w:t>
            </w:r>
            <w:proofErr w:type="gramStart"/>
            <w:r w:rsidR="00A1212F">
              <w:t>Map</w:t>
            </w:r>
            <w:proofErr w:type="gramEnd"/>
            <w:r>
              <w:t xml:space="preserve"> and described in the Order Schedule.</w:t>
            </w:r>
          </w:p>
        </w:tc>
      </w:tr>
      <w:tr w:rsidR="004D6820" w14:paraId="4B17AD6F" w14:textId="77777777" w:rsidTr="004D6820">
        <w:tc>
          <w:tcPr>
            <w:tcW w:w="9520" w:type="dxa"/>
            <w:shd w:val="clear" w:color="auto" w:fill="auto"/>
          </w:tcPr>
          <w:p w14:paraId="702EB661" w14:textId="48210556" w:rsidR="004D6820" w:rsidRDefault="004D6820" w:rsidP="004D6820">
            <w:pPr>
              <w:pStyle w:val="TBullet"/>
            </w:pPr>
            <w:r>
              <w:t>There w</w:t>
            </w:r>
            <w:r w:rsidR="003A7E6A">
              <w:t>as 1</w:t>
            </w:r>
            <w:r>
              <w:t xml:space="preserve"> objection outstanding at the commencement of the inquiry.</w:t>
            </w:r>
          </w:p>
        </w:tc>
      </w:tr>
      <w:tr w:rsidR="004D6820" w14:paraId="5A5868B8" w14:textId="77777777" w:rsidTr="004D6820">
        <w:tc>
          <w:tcPr>
            <w:tcW w:w="9520" w:type="dxa"/>
            <w:shd w:val="clear" w:color="auto" w:fill="auto"/>
          </w:tcPr>
          <w:p w14:paraId="03F8A317" w14:textId="77777777" w:rsidR="009C6A62" w:rsidRDefault="009C6A62" w:rsidP="004D6820">
            <w:pPr>
              <w:spacing w:before="60"/>
              <w:rPr>
                <w:b/>
                <w:color w:val="000000"/>
              </w:rPr>
            </w:pPr>
          </w:p>
          <w:p w14:paraId="66656173" w14:textId="1867E55F" w:rsidR="004D6820" w:rsidRPr="004D6820" w:rsidRDefault="004D6820" w:rsidP="004D6820">
            <w:pPr>
              <w:spacing w:before="60"/>
              <w:rPr>
                <w:b/>
                <w:color w:val="000000"/>
              </w:rPr>
            </w:pPr>
            <w:r>
              <w:rPr>
                <w:b/>
                <w:color w:val="000000"/>
              </w:rPr>
              <w:t>Summary of Decision:</w:t>
            </w:r>
            <w:r w:rsidR="00546949">
              <w:rPr>
                <w:b/>
                <w:color w:val="000000"/>
              </w:rPr>
              <w:t xml:space="preserve"> The Order is confirmed</w:t>
            </w:r>
            <w:r w:rsidR="004A14EE">
              <w:rPr>
                <w:b/>
                <w:color w:val="000000"/>
              </w:rPr>
              <w:t>.</w:t>
            </w:r>
          </w:p>
        </w:tc>
      </w:tr>
      <w:tr w:rsidR="004D6820" w14:paraId="473216AD" w14:textId="77777777" w:rsidTr="004D6820">
        <w:tc>
          <w:tcPr>
            <w:tcW w:w="9520" w:type="dxa"/>
            <w:tcBorders>
              <w:bottom w:val="single" w:sz="6" w:space="0" w:color="000000"/>
            </w:tcBorders>
            <w:shd w:val="clear" w:color="auto" w:fill="auto"/>
          </w:tcPr>
          <w:p w14:paraId="0CB642EC" w14:textId="77777777" w:rsidR="004D6820" w:rsidRPr="004D6820" w:rsidRDefault="004D6820" w:rsidP="004D6820">
            <w:pPr>
              <w:spacing w:before="60"/>
              <w:rPr>
                <w:b/>
                <w:color w:val="000000"/>
                <w:sz w:val="2"/>
              </w:rPr>
            </w:pPr>
            <w:bookmarkStart w:id="1" w:name="bmkReturn"/>
            <w:bookmarkEnd w:id="1"/>
          </w:p>
        </w:tc>
      </w:tr>
    </w:tbl>
    <w:p w14:paraId="679CB480" w14:textId="77777777" w:rsidR="0004625F" w:rsidRDefault="0004625F"/>
    <w:p w14:paraId="01C5818C" w14:textId="77777777" w:rsidR="004D6820" w:rsidRDefault="004D6820" w:rsidP="004D6820">
      <w:pPr>
        <w:pStyle w:val="Heading6blackfont"/>
      </w:pPr>
      <w:r>
        <w:t>Procedural Matters</w:t>
      </w:r>
    </w:p>
    <w:p w14:paraId="110792AE" w14:textId="62889879" w:rsidR="00A61F56" w:rsidRDefault="00A61F56" w:rsidP="00A61F56">
      <w:pPr>
        <w:pStyle w:val="Style1"/>
      </w:pPr>
      <w:r>
        <w:t xml:space="preserve">I held a </w:t>
      </w:r>
      <w:r w:rsidR="00831043">
        <w:t xml:space="preserve">virtual </w:t>
      </w:r>
      <w:r>
        <w:t xml:space="preserve">public inquiry into this Order on </w:t>
      </w:r>
      <w:r w:rsidR="00375C0B">
        <w:t xml:space="preserve">30 November </w:t>
      </w:r>
      <w:r w:rsidR="00804888">
        <w:t>and 1 December</w:t>
      </w:r>
      <w:r w:rsidR="000D55CD">
        <w:t xml:space="preserve"> 2021</w:t>
      </w:r>
      <w:r>
        <w:t xml:space="preserve">. I made an unaccompanied site inspection </w:t>
      </w:r>
      <w:proofErr w:type="gramStart"/>
      <w:r>
        <w:t xml:space="preserve">on  </w:t>
      </w:r>
      <w:r w:rsidR="00831043">
        <w:t>26</w:t>
      </w:r>
      <w:proofErr w:type="gramEnd"/>
      <w:r w:rsidR="00831043">
        <w:t xml:space="preserve"> November 2021</w:t>
      </w:r>
      <w:r>
        <w:t xml:space="preserve"> when I was able to walk the whole of the Order route. It was agreed by all parties at the inquiry that a further accompanied visit was not necessary</w:t>
      </w:r>
    </w:p>
    <w:p w14:paraId="6A92E73D" w14:textId="40837906" w:rsidR="00A61F56" w:rsidRPr="00A61F56" w:rsidRDefault="00A61F56" w:rsidP="00A61F56">
      <w:pPr>
        <w:pStyle w:val="Style1"/>
      </w:pPr>
      <w:r>
        <w:t>In writing this decision I have found it convenient to refer to points marked on the Order</w:t>
      </w:r>
      <w:r w:rsidR="00831043">
        <w:t xml:space="preserve"> Map</w:t>
      </w:r>
      <w:r>
        <w:t>. I therefore attach a copy of this map.</w:t>
      </w:r>
    </w:p>
    <w:p w14:paraId="20BE11B0" w14:textId="77777777" w:rsidR="004D6820" w:rsidRDefault="004D6820" w:rsidP="004D6820">
      <w:pPr>
        <w:pStyle w:val="Heading6blackfont"/>
      </w:pPr>
      <w:r>
        <w:t>The Main Issues</w:t>
      </w:r>
    </w:p>
    <w:p w14:paraId="36B95073" w14:textId="77777777" w:rsidR="00A61F56" w:rsidRDefault="00A61F56" w:rsidP="00A61F56">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7E501880" w14:textId="1BDF173E" w:rsidR="00A61F56" w:rsidRDefault="00453C95" w:rsidP="00A61F56">
      <w:pPr>
        <w:pStyle w:val="Style1"/>
        <w:jc w:val="both"/>
      </w:pPr>
      <w:r>
        <w:t>Much</w:t>
      </w:r>
      <w:r w:rsidR="00A61F56">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61C8E6B3" w14:textId="77777777" w:rsidR="00A61F56" w:rsidRPr="00A61F56" w:rsidRDefault="00A61F56" w:rsidP="00A61F56">
      <w:pPr>
        <w:pStyle w:val="Style1"/>
      </w:pPr>
      <w:r>
        <w:t>Common law also requires me to consider whether the use of the path and the actions of the landowners have been of such a nature that the dedication of the path by the landowners can be inferred.</w:t>
      </w:r>
    </w:p>
    <w:p w14:paraId="73475922" w14:textId="1B360019" w:rsidR="004D6820" w:rsidRDefault="004D6820" w:rsidP="004D6820">
      <w:pPr>
        <w:pStyle w:val="Heading6blackfont"/>
      </w:pPr>
      <w:r>
        <w:lastRenderedPageBreak/>
        <w:t>Reasons</w:t>
      </w:r>
    </w:p>
    <w:p w14:paraId="01AE8DC3" w14:textId="4E245A7E" w:rsidR="00C161E8" w:rsidRDefault="008B7054" w:rsidP="00C161E8">
      <w:pPr>
        <w:pStyle w:val="Style1"/>
      </w:pPr>
      <w:r>
        <w:t xml:space="preserve">This Order concerns a claimed footpath </w:t>
      </w:r>
      <w:r w:rsidR="00445C63">
        <w:t xml:space="preserve">in an area that has been affected by mineral working and </w:t>
      </w:r>
      <w:r w:rsidR="00292CE3">
        <w:t xml:space="preserve">has consequently </w:t>
      </w:r>
      <w:r w:rsidR="00CC3BA5">
        <w:t>altered significantly</w:t>
      </w:r>
      <w:r w:rsidR="00891278">
        <w:t xml:space="preserve"> over time</w:t>
      </w:r>
      <w:r w:rsidR="00552DBC">
        <w:t>. The Order was applied for</w:t>
      </w:r>
      <w:r w:rsidR="005F2CC1">
        <w:t xml:space="preserve"> by Ashton Keynes Parish Council (AKPC)</w:t>
      </w:r>
      <w:r w:rsidR="00875382">
        <w:t>,</w:t>
      </w:r>
      <w:r w:rsidR="005F2CC1">
        <w:t xml:space="preserve"> </w:t>
      </w:r>
      <w:proofErr w:type="gramStart"/>
      <w:r w:rsidR="005F2CC1">
        <w:t>on the basis of</w:t>
      </w:r>
      <w:proofErr w:type="gramEnd"/>
      <w:r w:rsidR="005F2CC1">
        <w:t xml:space="preserve"> </w:t>
      </w:r>
      <w:r w:rsidR="003266B1">
        <w:t xml:space="preserve">presumed </w:t>
      </w:r>
      <w:r w:rsidR="005F2CC1">
        <w:t>statutory dedication in accordance with the provisions of the 1980 Act</w:t>
      </w:r>
      <w:r w:rsidR="009C6B83">
        <w:t xml:space="preserve"> but, after investigation, the Order was made by Wiltshire Council, the Order Making Authority</w:t>
      </w:r>
      <w:r w:rsidR="003266B1">
        <w:t xml:space="preserve"> (OMA), on the basis of inferred dedication at common law</w:t>
      </w:r>
      <w:r w:rsidR="00875382">
        <w:t>.</w:t>
      </w:r>
      <w:r w:rsidR="004A554A">
        <w:t xml:space="preserve"> </w:t>
      </w:r>
      <w:r w:rsidR="00EE0579">
        <w:t>I have considered both these possibilities.</w:t>
      </w:r>
    </w:p>
    <w:p w14:paraId="63B07ACC" w14:textId="189DBA6F" w:rsidR="00EE0579" w:rsidRDefault="00EE0579" w:rsidP="00EE0579">
      <w:pPr>
        <w:pStyle w:val="Style1"/>
        <w:numPr>
          <w:ilvl w:val="0"/>
          <w:numId w:val="0"/>
        </w:numPr>
        <w:rPr>
          <w:b/>
          <w:bCs/>
          <w:i/>
          <w:iCs/>
        </w:rPr>
      </w:pPr>
      <w:r>
        <w:rPr>
          <w:b/>
          <w:bCs/>
          <w:i/>
          <w:iCs/>
        </w:rPr>
        <w:t>Statutory Dedication</w:t>
      </w:r>
    </w:p>
    <w:p w14:paraId="18F7C586" w14:textId="77777777" w:rsidR="0045731E" w:rsidRDefault="00DE11AC" w:rsidP="00152284">
      <w:pPr>
        <w:pStyle w:val="Style1"/>
      </w:pPr>
      <w:r>
        <w:t>The claimed path was</w:t>
      </w:r>
      <w:r w:rsidR="00152284">
        <w:t xml:space="preserve"> obstructed by fencing and a locked gate in 2016</w:t>
      </w:r>
      <w:r w:rsidR="00932661">
        <w:t xml:space="preserve"> and</w:t>
      </w:r>
      <w:r w:rsidR="001558DE">
        <w:t>,</w:t>
      </w:r>
      <w:r w:rsidR="00932661">
        <w:t xml:space="preserve"> at around the same time</w:t>
      </w:r>
      <w:r w:rsidR="001558DE">
        <w:t>, the landowner made a deposit under section 31(6) of the 1980 Act</w:t>
      </w:r>
      <w:r w:rsidR="00A863A7">
        <w:t xml:space="preserve"> which indicated that he did not accept the existence of </w:t>
      </w:r>
      <w:r w:rsidR="004F7EB7">
        <w:t>a public right of way over the claimed path.</w:t>
      </w:r>
    </w:p>
    <w:p w14:paraId="66E02E3C" w14:textId="77777777" w:rsidR="00702041" w:rsidRDefault="007F1456" w:rsidP="00152284">
      <w:pPr>
        <w:pStyle w:val="Style1"/>
      </w:pPr>
      <w:r>
        <w:t>The landowner</w:t>
      </w:r>
      <w:r w:rsidR="00EB6AAD">
        <w:t xml:space="preserve"> states that the </w:t>
      </w:r>
      <w:r w:rsidR="002031E9">
        <w:t xml:space="preserve">route was unusable </w:t>
      </w:r>
      <w:proofErr w:type="gramStart"/>
      <w:r w:rsidR="002031E9">
        <w:t>as a result of</w:t>
      </w:r>
      <w:proofErr w:type="gramEnd"/>
      <w:r w:rsidR="002031E9">
        <w:t xml:space="preserve"> overgrowth when he acquired the land in 2015 and that he </w:t>
      </w:r>
      <w:r w:rsidR="00783C71">
        <w:t xml:space="preserve">wired up the route by the end of May 2015. </w:t>
      </w:r>
      <w:r w:rsidR="00F653CC">
        <w:t>However, evidence of path users is that the route remained in use until 2016</w:t>
      </w:r>
      <w:r w:rsidR="00702041">
        <w:t>.</w:t>
      </w:r>
    </w:p>
    <w:p w14:paraId="76060266" w14:textId="060937D3" w:rsidR="00773CB7" w:rsidRDefault="00702041" w:rsidP="00152284">
      <w:pPr>
        <w:pStyle w:val="Style1"/>
      </w:pPr>
      <w:r>
        <w:t>Accordingly, the</w:t>
      </w:r>
      <w:r w:rsidR="00C63B7B">
        <w:rPr>
          <w:szCs w:val="22"/>
        </w:rPr>
        <w:t xml:space="preserve"> relevant </w:t>
      </w:r>
      <w:proofErr w:type="gramStart"/>
      <w:r w:rsidR="00C63B7B">
        <w:rPr>
          <w:szCs w:val="22"/>
        </w:rPr>
        <w:t>20 year</w:t>
      </w:r>
      <w:proofErr w:type="gramEnd"/>
      <w:r w:rsidR="00C63B7B">
        <w:rPr>
          <w:szCs w:val="22"/>
        </w:rPr>
        <w:t xml:space="preserve"> period of public use during which a presumption that the route has been dedicated as a public right of way in accordance with the provisions of the 1980 Act runs from 19</w:t>
      </w:r>
      <w:r w:rsidR="00B61115">
        <w:rPr>
          <w:szCs w:val="22"/>
        </w:rPr>
        <w:t>95/96</w:t>
      </w:r>
      <w:r w:rsidR="00C63B7B">
        <w:rPr>
          <w:szCs w:val="22"/>
        </w:rPr>
        <w:t xml:space="preserve"> to 20</w:t>
      </w:r>
      <w:r w:rsidR="00B61115">
        <w:rPr>
          <w:szCs w:val="22"/>
        </w:rPr>
        <w:t>15/16</w:t>
      </w:r>
      <w:r w:rsidR="00C63B7B">
        <w:rPr>
          <w:szCs w:val="22"/>
        </w:rPr>
        <w:t xml:space="preserve"> in this case.</w:t>
      </w:r>
      <w:r w:rsidR="00A863A7">
        <w:t xml:space="preserve"> </w:t>
      </w:r>
      <w:r w:rsidR="00932661">
        <w:t xml:space="preserve"> </w:t>
      </w:r>
    </w:p>
    <w:p w14:paraId="2AAF4723" w14:textId="3D331848" w:rsidR="00B61115" w:rsidRDefault="00B61115" w:rsidP="00152284">
      <w:pPr>
        <w:pStyle w:val="Style1"/>
      </w:pPr>
      <w:r>
        <w:t>Thirty</w:t>
      </w:r>
      <w:r w:rsidR="00F31DD9">
        <w:t xml:space="preserve">-four User Evidence Forms (UEFs) were submitted in support of </w:t>
      </w:r>
      <w:r w:rsidR="00B60C52">
        <w:t xml:space="preserve">the Order, describing use of the claimed path from </w:t>
      </w:r>
      <w:r w:rsidR="002A3528">
        <w:t>1973 to 2016</w:t>
      </w:r>
      <w:r w:rsidR="00AF2AD4">
        <w:t xml:space="preserve">. However, </w:t>
      </w:r>
      <w:r w:rsidR="00801C96">
        <w:t>the Order route</w:t>
      </w:r>
      <w:r w:rsidR="000A3ADA">
        <w:t xml:space="preserve"> was not defined on the ground until 2004 when fencing</w:t>
      </w:r>
      <w:r w:rsidR="005E51E6">
        <w:t>, kissing gates and signage was installed. Prior to that</w:t>
      </w:r>
      <w:r w:rsidR="00735721">
        <w:t>, although user evidence indicates that a</w:t>
      </w:r>
      <w:r w:rsidR="00C85705">
        <w:t xml:space="preserve"> </w:t>
      </w:r>
      <w:r w:rsidR="00735721">
        <w:t>route was used</w:t>
      </w:r>
      <w:r w:rsidR="00C85705">
        <w:t xml:space="preserve">, it is not clear that this was the same as the Order route. </w:t>
      </w:r>
      <w:r w:rsidR="00211D03">
        <w:t>A</w:t>
      </w:r>
      <w:r w:rsidR="000164B0">
        <w:t>lso, as already mentioned the land has been significantly affected by mineral working operations</w:t>
      </w:r>
      <w:r w:rsidR="0099745F">
        <w:t>. A footpath to the south</w:t>
      </w:r>
      <w:r w:rsidR="0004785F">
        <w:t xml:space="preserve"> of the claimed route </w:t>
      </w:r>
      <w:r w:rsidR="00E4193A">
        <w:t>(Footpath 20)</w:t>
      </w:r>
      <w:r w:rsidR="005178EB">
        <w:t xml:space="preserve"> </w:t>
      </w:r>
      <w:r w:rsidR="0004785F">
        <w:t>was stopped up in 1996</w:t>
      </w:r>
      <w:r w:rsidR="00532A4D">
        <w:t xml:space="preserve"> and it is possible that some</w:t>
      </w:r>
      <w:r w:rsidR="000843B3">
        <w:t xml:space="preserve"> claimed use before then was of this route rather than the Order route. </w:t>
      </w:r>
      <w:r w:rsidR="005909F4">
        <w:t xml:space="preserve">It is also suggested that after 1996 use </w:t>
      </w:r>
      <w:r w:rsidR="006A1B41">
        <w:t xml:space="preserve">of any route in the vicinity may have been interrupted </w:t>
      </w:r>
      <w:proofErr w:type="gramStart"/>
      <w:r w:rsidR="006A1B41">
        <w:t>as</w:t>
      </w:r>
      <w:r w:rsidR="006D6B47">
        <w:t xml:space="preserve"> </w:t>
      </w:r>
      <w:r w:rsidR="006A1B41">
        <w:t>a result of</w:t>
      </w:r>
      <w:proofErr w:type="gramEnd"/>
      <w:r w:rsidR="006A1B41">
        <w:t xml:space="preserve"> mineral workings taking place</w:t>
      </w:r>
      <w:r w:rsidR="00E05FD6">
        <w:t xml:space="preserve"> and an aerial photograph</w:t>
      </w:r>
      <w:r w:rsidR="008E42B1">
        <w:t xml:space="preserve"> taken in June 1999 would appear to confirm this.</w:t>
      </w:r>
    </w:p>
    <w:p w14:paraId="4A362895" w14:textId="50E52142" w:rsidR="006D6B47" w:rsidRPr="00773CB7" w:rsidRDefault="00295B84" w:rsidP="00152284">
      <w:pPr>
        <w:pStyle w:val="Style1"/>
      </w:pPr>
      <w:r>
        <w:t>On balance, I concur with the view of the OMA</w:t>
      </w:r>
      <w:r w:rsidR="009F2E6A">
        <w:t xml:space="preserve"> that evidence of usage prior to 2004</w:t>
      </w:r>
      <w:r w:rsidR="00E27AF0">
        <w:t xml:space="preserve"> cannot be relied upon as relating to the current Order route</w:t>
      </w:r>
      <w:r w:rsidR="001C62C1">
        <w:t>. Accordingly, it is not possible to</w:t>
      </w:r>
      <w:r w:rsidR="009A64DC">
        <w:t xml:space="preserve"> identify a continuous period of 20 years </w:t>
      </w:r>
      <w:r w:rsidR="00B8232C">
        <w:t>public use of the Order route as required by the 1980 Act.</w:t>
      </w:r>
      <w:r w:rsidR="008041D2">
        <w:t xml:space="preserve"> The </w:t>
      </w:r>
      <w:r w:rsidR="00493AA0">
        <w:t>confirmation</w:t>
      </w:r>
      <w:r w:rsidR="008041D2">
        <w:t xml:space="preserve"> of the Order </w:t>
      </w:r>
      <w:r w:rsidR="00F34701">
        <w:t xml:space="preserve">will </w:t>
      </w:r>
      <w:r w:rsidR="006B1284">
        <w:t>therefore depend on whether the available evidence shows that</w:t>
      </w:r>
      <w:r w:rsidR="00493AA0">
        <w:t xml:space="preserve"> the dedication of the Order route can be inferred at common law.</w:t>
      </w:r>
    </w:p>
    <w:p w14:paraId="7DA6CDEE" w14:textId="77777777" w:rsidR="00FD6008" w:rsidRPr="00FD6008" w:rsidRDefault="00FD6008" w:rsidP="00FD6008">
      <w:pPr>
        <w:pStyle w:val="Style1"/>
        <w:numPr>
          <w:ilvl w:val="0"/>
          <w:numId w:val="0"/>
        </w:numPr>
        <w:rPr>
          <w:b/>
          <w:bCs/>
          <w:i/>
          <w:iCs/>
        </w:rPr>
      </w:pPr>
      <w:r w:rsidRPr="00FD6008">
        <w:rPr>
          <w:b/>
          <w:bCs/>
          <w:i/>
          <w:iCs/>
        </w:rPr>
        <w:t>Common Law</w:t>
      </w:r>
    </w:p>
    <w:p w14:paraId="5344FCA9" w14:textId="77777777" w:rsidR="00773CB7" w:rsidRDefault="00FD6008" w:rsidP="00FD6008">
      <w:pPr>
        <w:pStyle w:val="Style1"/>
        <w:tabs>
          <w:tab w:val="clear" w:pos="720"/>
        </w:tabs>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where the public have accepted it.</w:t>
      </w:r>
    </w:p>
    <w:p w14:paraId="2021B558" w14:textId="5E7861C6" w:rsidR="00FD5A20" w:rsidRDefault="00FD6008" w:rsidP="00FD6008">
      <w:pPr>
        <w:pStyle w:val="Style1"/>
        <w:tabs>
          <w:tab w:val="clear" w:pos="720"/>
        </w:tabs>
      </w:pPr>
      <w:r>
        <w:t>In this case,</w:t>
      </w:r>
      <w:r w:rsidR="008F032F">
        <w:t xml:space="preserve"> the then landowner</w:t>
      </w:r>
      <w:r w:rsidR="00D36BE9">
        <w:t xml:space="preserve">, </w:t>
      </w:r>
      <w:r w:rsidR="008F032F">
        <w:t>Aggregate Industries (AI)</w:t>
      </w:r>
      <w:r w:rsidR="00D36BE9">
        <w:t>,</w:t>
      </w:r>
      <w:r w:rsidR="00876D43">
        <w:t xml:space="preserve"> stated in a</w:t>
      </w:r>
      <w:r w:rsidR="009B3C53">
        <w:t xml:space="preserve"> </w:t>
      </w:r>
      <w:r w:rsidR="00E069E3">
        <w:t>letter</w:t>
      </w:r>
      <w:r w:rsidR="009B3C53">
        <w:t>, dated 18 February 2004</w:t>
      </w:r>
      <w:r w:rsidR="002A0E6A">
        <w:t>, from the Estate Surveyo</w:t>
      </w:r>
      <w:r w:rsidR="00F64159">
        <w:t>r</w:t>
      </w:r>
      <w:r w:rsidR="002A0E6A">
        <w:t xml:space="preserve"> of AI to the </w:t>
      </w:r>
      <w:r w:rsidR="002A3BE7">
        <w:t>C</w:t>
      </w:r>
      <w:r w:rsidR="002A0E6A">
        <w:t xml:space="preserve">ounty </w:t>
      </w:r>
      <w:r w:rsidR="002A3BE7">
        <w:t>C</w:t>
      </w:r>
      <w:r w:rsidR="002A0E6A">
        <w:t xml:space="preserve">ouncil </w:t>
      </w:r>
      <w:r w:rsidR="002A0E6A">
        <w:lastRenderedPageBreak/>
        <w:t>Rights of Way Officer</w:t>
      </w:r>
      <w:r w:rsidR="00C77AD0">
        <w:t xml:space="preserve">, that it had diverted </w:t>
      </w:r>
      <w:r w:rsidR="00271C9C">
        <w:t>Footpath 20 while sand and gravel extraction was being carried out</w:t>
      </w:r>
      <w:r w:rsidR="00493623">
        <w:t xml:space="preserve">. </w:t>
      </w:r>
      <w:r w:rsidR="00D25568">
        <w:t>T</w:t>
      </w:r>
      <w:r w:rsidR="002D1DC7">
        <w:t xml:space="preserve">he </w:t>
      </w:r>
      <w:r w:rsidR="005178EB">
        <w:t xml:space="preserve">letter referred to the </w:t>
      </w:r>
      <w:r w:rsidR="002D1DC7">
        <w:t xml:space="preserve">diversion </w:t>
      </w:r>
      <w:r w:rsidR="00726C47">
        <w:t>having be</w:t>
      </w:r>
      <w:r w:rsidR="005048C6">
        <w:t>en</w:t>
      </w:r>
      <w:r w:rsidR="002D1DC7">
        <w:t xml:space="preserve"> a temporary measure until a new path could be </w:t>
      </w:r>
      <w:r w:rsidR="0008260D">
        <w:t xml:space="preserve">established around the </w:t>
      </w:r>
      <w:r w:rsidR="009D757E">
        <w:t>northern and western margins of the newly created lake.</w:t>
      </w:r>
      <w:r w:rsidR="00A107D0">
        <w:t xml:space="preserve"> </w:t>
      </w:r>
      <w:r w:rsidR="00D25568">
        <w:t xml:space="preserve">It then stated that </w:t>
      </w:r>
      <w:r w:rsidR="00CC7E33">
        <w:t xml:space="preserve">the new </w:t>
      </w:r>
      <w:r w:rsidR="00A107D0">
        <w:t xml:space="preserve">footpath </w:t>
      </w:r>
      <w:r w:rsidR="00F64159">
        <w:t xml:space="preserve">had been </w:t>
      </w:r>
      <w:r w:rsidR="00792A0F">
        <w:t xml:space="preserve">installed </w:t>
      </w:r>
      <w:r w:rsidR="00F64159">
        <w:t>and continue</w:t>
      </w:r>
      <w:r w:rsidR="004C57FD">
        <w:t>d</w:t>
      </w:r>
      <w:r w:rsidR="00A42679">
        <w:t xml:space="preserve"> </w:t>
      </w:r>
      <w:r w:rsidR="00A42679">
        <w:rPr>
          <w:i/>
          <w:iCs/>
        </w:rPr>
        <w:t>“I understand from historical correspondence</w:t>
      </w:r>
      <w:r w:rsidR="008704F0">
        <w:rPr>
          <w:i/>
          <w:iCs/>
        </w:rPr>
        <w:t xml:space="preserve"> held on our files that we now need to formally adopt the new route, replacing the temporar</w:t>
      </w:r>
      <w:r w:rsidR="00AE2EDB">
        <w:rPr>
          <w:i/>
          <w:iCs/>
        </w:rPr>
        <w:t xml:space="preserve">y diversion route. Could you please advise how this may be dealt </w:t>
      </w:r>
      <w:proofErr w:type="gramStart"/>
      <w:r w:rsidR="00AE2EDB">
        <w:rPr>
          <w:i/>
          <w:iCs/>
        </w:rPr>
        <w:t>with</w:t>
      </w:r>
      <w:r w:rsidR="008B53D9">
        <w:rPr>
          <w:i/>
          <w:iCs/>
        </w:rPr>
        <w:t>…”</w:t>
      </w:r>
      <w:r w:rsidR="00E213F5">
        <w:t>.</w:t>
      </w:r>
      <w:proofErr w:type="gramEnd"/>
      <w:r w:rsidR="00E213F5">
        <w:t xml:space="preserve"> </w:t>
      </w:r>
      <w:r w:rsidR="00AB6ABF">
        <w:t xml:space="preserve">The new footpath would appear to be the path now claimed and, </w:t>
      </w:r>
      <w:r w:rsidR="00B9233D">
        <w:t>o</w:t>
      </w:r>
      <w:r w:rsidR="00E213F5">
        <w:t>n the face of it</w:t>
      </w:r>
      <w:r w:rsidR="00B9233D">
        <w:t>,</w:t>
      </w:r>
      <w:r w:rsidR="00E213F5">
        <w:t xml:space="preserve"> this </w:t>
      </w:r>
      <w:r w:rsidR="00B9233D">
        <w:t xml:space="preserve">seems </w:t>
      </w:r>
      <w:r w:rsidR="00E213F5">
        <w:t>to be a clear statement of the intent of the landowner to dedicate th</w:t>
      </w:r>
      <w:r w:rsidR="00B9233D">
        <w:t>is</w:t>
      </w:r>
      <w:r w:rsidR="00E213F5">
        <w:t xml:space="preserve"> route as a public footpath.</w:t>
      </w:r>
    </w:p>
    <w:p w14:paraId="39519E5D" w14:textId="796B1F4D" w:rsidR="000F6AC2" w:rsidRDefault="00DA6E00" w:rsidP="00FD6008">
      <w:pPr>
        <w:pStyle w:val="Style1"/>
        <w:tabs>
          <w:tab w:val="clear" w:pos="720"/>
        </w:tabs>
      </w:pPr>
      <w:r>
        <w:t>A plan attached to the letter</w:t>
      </w:r>
      <w:r w:rsidR="00D22C98">
        <w:t xml:space="preserve"> showed the current Order route annotated</w:t>
      </w:r>
      <w:r w:rsidR="00F23915">
        <w:t xml:space="preserve"> </w:t>
      </w:r>
      <w:r w:rsidR="00F23915">
        <w:rPr>
          <w:i/>
          <w:iCs/>
        </w:rPr>
        <w:t xml:space="preserve">‘New Footpath 20’ </w:t>
      </w:r>
      <w:r w:rsidR="003D13A4">
        <w:t xml:space="preserve">and another route annotated </w:t>
      </w:r>
      <w:r w:rsidR="003D13A4">
        <w:rPr>
          <w:i/>
          <w:iCs/>
        </w:rPr>
        <w:t>‘20(Temporary Route)’</w:t>
      </w:r>
      <w:r w:rsidR="001238D4">
        <w:t>.</w:t>
      </w:r>
      <w:r w:rsidR="006C2128">
        <w:t xml:space="preserve"> However, this latter route </w:t>
      </w:r>
      <w:r w:rsidR="00C14AE8">
        <w:t xml:space="preserve">does not appear to coincide with the route that Footpath 20 was in fact diverted to in </w:t>
      </w:r>
      <w:r w:rsidR="00E167EE">
        <w:t xml:space="preserve">1996 which runs closer to the </w:t>
      </w:r>
      <w:r w:rsidR="004D15F0">
        <w:t xml:space="preserve">south-eastern </w:t>
      </w:r>
      <w:r w:rsidR="00E167EE">
        <w:t>edge of the new lak</w:t>
      </w:r>
      <w:r w:rsidR="004D15F0">
        <w:t>e. In addition</w:t>
      </w:r>
      <w:r w:rsidR="008C15A9">
        <w:t>,</w:t>
      </w:r>
      <w:r w:rsidR="004D15F0">
        <w:t xml:space="preserve"> Footpath 20 </w:t>
      </w:r>
      <w:r w:rsidR="00A5536C">
        <w:t xml:space="preserve">was diverted by formal orders </w:t>
      </w:r>
      <w:r w:rsidR="00DF07C1">
        <w:t>rather than on</w:t>
      </w:r>
      <w:r w:rsidR="004D15F0">
        <w:t xml:space="preserve"> a temporary basis.</w:t>
      </w:r>
    </w:p>
    <w:p w14:paraId="1D9CC097" w14:textId="5E0B6EFD" w:rsidR="00FF6FB6" w:rsidRDefault="00FF6FB6" w:rsidP="00FD6008">
      <w:pPr>
        <w:pStyle w:val="Style1"/>
        <w:tabs>
          <w:tab w:val="clear" w:pos="720"/>
        </w:tabs>
      </w:pPr>
      <w:r>
        <w:t>Nevertheless, it seems clear that in 2004 the then landowner set out the Order route with the intention that it would be a public footpath and it was subsequently signed and waymarked as such. There is no substantive evidence of any action subsequently taken by AI as landowner to indicate that the path was not a public footpath or to object to it being signed as such.</w:t>
      </w:r>
    </w:p>
    <w:p w14:paraId="316D6D21" w14:textId="6A84D041" w:rsidR="00281021" w:rsidRDefault="00706E8F" w:rsidP="00FD6008">
      <w:pPr>
        <w:pStyle w:val="Style1"/>
        <w:tabs>
          <w:tab w:val="clear" w:pos="720"/>
        </w:tabs>
      </w:pPr>
      <w:r>
        <w:t>N</w:t>
      </w:r>
      <w:r w:rsidR="00BF06CD">
        <w:t xml:space="preserve">o further action regarding the formal adoption of the </w:t>
      </w:r>
      <w:r w:rsidR="00E3449C">
        <w:t xml:space="preserve">new </w:t>
      </w:r>
      <w:r w:rsidR="00BF06CD">
        <w:t xml:space="preserve">path </w:t>
      </w:r>
      <w:r w:rsidR="00E3449C">
        <w:t xml:space="preserve">on the Order route </w:t>
      </w:r>
      <w:r w:rsidR="00BF06CD">
        <w:t>appears to have been taken</w:t>
      </w:r>
      <w:r w:rsidR="00F86999">
        <w:t xml:space="preserve"> either by AI or the County Council.</w:t>
      </w:r>
      <w:r w:rsidR="00F04F0D">
        <w:t xml:space="preserve"> </w:t>
      </w:r>
      <w:r w:rsidR="009452A0">
        <w:t>However</w:t>
      </w:r>
      <w:r w:rsidR="00D36F26">
        <w:t xml:space="preserve">, </w:t>
      </w:r>
      <w:r w:rsidR="007C6C78">
        <w:t xml:space="preserve">user evidence indicates that </w:t>
      </w:r>
      <w:r w:rsidR="006C53B5">
        <w:t>the public used the path in the belief that it was a public right of way</w:t>
      </w:r>
      <w:r w:rsidR="00EE4ABC">
        <w:t>.</w:t>
      </w:r>
    </w:p>
    <w:p w14:paraId="6EBF76E9" w14:textId="39977FEA" w:rsidR="00BF06CD" w:rsidRDefault="00381F31" w:rsidP="00FD6008">
      <w:pPr>
        <w:pStyle w:val="Style1"/>
        <w:tabs>
          <w:tab w:val="clear" w:pos="720"/>
        </w:tabs>
      </w:pPr>
      <w:r>
        <w:t xml:space="preserve">Almost half of the </w:t>
      </w:r>
      <w:r w:rsidR="00E664B8">
        <w:t xml:space="preserve">people who completed UEFs stated that they had used the route throughout the period from 2004 when the </w:t>
      </w:r>
      <w:r w:rsidR="006B36D5">
        <w:t xml:space="preserve">path was set out until 2015/16 when it was </w:t>
      </w:r>
      <w:proofErr w:type="gramStart"/>
      <w:r w:rsidR="006B36D5">
        <w:t>closed</w:t>
      </w:r>
      <w:proofErr w:type="gramEnd"/>
      <w:r w:rsidR="006B36D5">
        <w:t xml:space="preserve"> and the remainder said they had used it for some </w:t>
      </w:r>
      <w:r w:rsidR="00903A7E">
        <w:t>of that period.</w:t>
      </w:r>
      <w:r w:rsidR="00996B70">
        <w:t xml:space="preserve"> Four people</w:t>
      </w:r>
      <w:r w:rsidR="00412BBA">
        <w:t xml:space="preserve"> who had used the route gave evidence in person at the inquiry</w:t>
      </w:r>
      <w:r w:rsidR="00C14B4D">
        <w:t xml:space="preserve">, two of whom had not previously completed a UEF. </w:t>
      </w:r>
      <w:r w:rsidR="00301D27">
        <w:t xml:space="preserve">Most users </w:t>
      </w:r>
      <w:r w:rsidR="004456B0">
        <w:t>also said they had seen others on the route.</w:t>
      </w:r>
      <w:r w:rsidR="001C72F4">
        <w:t xml:space="preserve"> </w:t>
      </w:r>
      <w:r w:rsidR="007D5FE8">
        <w:t>Some users admitted that they had not always followed the fenced route precisely</w:t>
      </w:r>
      <w:r w:rsidR="00C62E1D">
        <w:t xml:space="preserve"> on occasions when it had been overgrown</w:t>
      </w:r>
      <w:r w:rsidR="003E624A">
        <w:t xml:space="preserve">. However, </w:t>
      </w:r>
      <w:r w:rsidR="000375C8">
        <w:t>overall</w:t>
      </w:r>
      <w:r w:rsidR="000B0923">
        <w:t>,</w:t>
      </w:r>
      <w:r w:rsidR="000375C8">
        <w:t xml:space="preserve"> the available evidence clearly indicates</w:t>
      </w:r>
      <w:r w:rsidR="00061203">
        <w:t xml:space="preserve"> acceptance by the public of the route.</w:t>
      </w:r>
    </w:p>
    <w:p w14:paraId="56B11184" w14:textId="10C3146D" w:rsidR="008C15A9" w:rsidRDefault="00D1044A" w:rsidP="00F04F0D">
      <w:pPr>
        <w:pStyle w:val="Style1"/>
        <w:tabs>
          <w:tab w:val="clear" w:pos="720"/>
        </w:tabs>
      </w:pPr>
      <w:r>
        <w:t xml:space="preserve">The new path was fenced on both sides and </w:t>
      </w:r>
      <w:r w:rsidR="00F21F3E">
        <w:t>equipped with kissing gates at each end</w:t>
      </w:r>
      <w:r w:rsidR="006D349B">
        <w:t xml:space="preserve">. </w:t>
      </w:r>
      <w:r w:rsidR="00D73B49">
        <w:t>A</w:t>
      </w:r>
      <w:r w:rsidR="000B3609">
        <w:t xml:space="preserve"> </w:t>
      </w:r>
      <w:r w:rsidR="00465179">
        <w:t xml:space="preserve">finger </w:t>
      </w:r>
      <w:r w:rsidR="00BD6995">
        <w:t>post with a sign</w:t>
      </w:r>
      <w:r w:rsidR="00F248E0">
        <w:t xml:space="preserve"> featuring a symbol of a walker was erected close to Point A</w:t>
      </w:r>
      <w:r w:rsidR="002A4720">
        <w:t xml:space="preserve"> and is visible on a </w:t>
      </w:r>
      <w:r w:rsidR="00942049">
        <w:t xml:space="preserve">Google </w:t>
      </w:r>
      <w:proofErr w:type="spellStart"/>
      <w:r w:rsidR="00942049">
        <w:t>Streetview</w:t>
      </w:r>
      <w:proofErr w:type="spellEnd"/>
      <w:r w:rsidR="00942049">
        <w:t xml:space="preserve"> image dated 2009. </w:t>
      </w:r>
      <w:r w:rsidR="00124095">
        <w:t>This sign appears to be of the sort that</w:t>
      </w:r>
      <w:r w:rsidR="00F41379">
        <w:t xml:space="preserve"> the council used on public footpaths</w:t>
      </w:r>
      <w:r w:rsidR="00852289">
        <w:t xml:space="preserve">. It has been suggested that this might have been left when Footpath 20 was diverted </w:t>
      </w:r>
      <w:r w:rsidR="001B3DD2">
        <w:t xml:space="preserve">in 1996 but its location and the direction in which it points </w:t>
      </w:r>
      <w:r w:rsidR="00FE7270">
        <w:t>make this seem unlikely and it appears to relate to the Order route.</w:t>
      </w:r>
      <w:r w:rsidR="00DF49DB">
        <w:t xml:space="preserve"> </w:t>
      </w:r>
      <w:r w:rsidR="003002C1">
        <w:t xml:space="preserve">In addition, there were </w:t>
      </w:r>
      <w:proofErr w:type="spellStart"/>
      <w:r w:rsidR="003002C1">
        <w:t>wa</w:t>
      </w:r>
      <w:r w:rsidR="00F90DEE">
        <w:t>y</w:t>
      </w:r>
      <w:r w:rsidR="003002C1">
        <w:t>mark</w:t>
      </w:r>
      <w:r w:rsidR="00D74AFE">
        <w:t>er</w:t>
      </w:r>
      <w:r w:rsidR="003002C1">
        <w:t>s</w:t>
      </w:r>
      <w:proofErr w:type="spellEnd"/>
      <w:r w:rsidR="00F90DEE">
        <w:t xml:space="preserve"> at both ends of the new path. The one at </w:t>
      </w:r>
      <w:r w:rsidR="00030F86">
        <w:t>P</w:t>
      </w:r>
      <w:r w:rsidR="00CC1C38">
        <w:t xml:space="preserve">oint B </w:t>
      </w:r>
      <w:r w:rsidR="00DC367F">
        <w:t xml:space="preserve">was clearly of the type used for public footpaths </w:t>
      </w:r>
      <w:r w:rsidR="00E753EA">
        <w:t xml:space="preserve">and is </w:t>
      </w:r>
      <w:r w:rsidR="00030F86">
        <w:t>identifia</w:t>
      </w:r>
      <w:r w:rsidR="00E753EA">
        <w:t xml:space="preserve">ble </w:t>
      </w:r>
      <w:r w:rsidR="00D347D1">
        <w:t>in photographs</w:t>
      </w:r>
      <w:r w:rsidR="00030F86">
        <w:t>. One at Point A is also visible in photographs</w:t>
      </w:r>
      <w:r w:rsidR="00A41F44">
        <w:t xml:space="preserve"> but not clearly enough </w:t>
      </w:r>
      <w:r w:rsidR="0005459F">
        <w:t xml:space="preserve">for any wording to be read. Minutes of the parish council indicate that signage was </w:t>
      </w:r>
      <w:r w:rsidR="003632FD">
        <w:t xml:space="preserve">provided by the county council but erected by the parish. </w:t>
      </w:r>
      <w:r w:rsidR="00DE01D2">
        <w:t>However, it seems unlikely that either the parish council or OMA</w:t>
      </w:r>
      <w:r w:rsidR="00AA609E">
        <w:t xml:space="preserve"> would waymark a path as public at one end and as permissive at the other.</w:t>
      </w:r>
      <w:r w:rsidR="00CF2183">
        <w:t xml:space="preserve"> </w:t>
      </w:r>
      <w:r w:rsidR="003632FD">
        <w:t xml:space="preserve">On behalf of the </w:t>
      </w:r>
      <w:r w:rsidR="0030370E">
        <w:t>OMA,</w:t>
      </w:r>
      <w:r w:rsidR="003632FD">
        <w:t xml:space="preserve"> it is stated </w:t>
      </w:r>
      <w:proofErr w:type="gramStart"/>
      <w:r w:rsidR="003632FD">
        <w:t xml:space="preserve">that </w:t>
      </w:r>
      <w:r w:rsidR="00242C90">
        <w:t xml:space="preserve"> </w:t>
      </w:r>
      <w:r w:rsidR="003632FD">
        <w:t>permissive</w:t>
      </w:r>
      <w:proofErr w:type="gramEnd"/>
      <w:r w:rsidR="003632FD">
        <w:t xml:space="preserve"> path </w:t>
      </w:r>
      <w:r w:rsidR="003632FD">
        <w:lastRenderedPageBreak/>
        <w:t>signs would not have been supplied</w:t>
      </w:r>
      <w:r w:rsidR="00CF2183">
        <w:t>, a</w:t>
      </w:r>
      <w:r w:rsidR="003632FD">
        <w:t>s that would have been a matter for the landowner.</w:t>
      </w:r>
    </w:p>
    <w:p w14:paraId="4F0BC695" w14:textId="03374B50" w:rsidR="00605E11" w:rsidRDefault="008C4C66" w:rsidP="00FD6008">
      <w:pPr>
        <w:pStyle w:val="Style1"/>
        <w:tabs>
          <w:tab w:val="clear" w:pos="720"/>
        </w:tabs>
      </w:pPr>
      <w:r>
        <w:t xml:space="preserve">The current landowner has stated that when he </w:t>
      </w:r>
      <w:r w:rsidR="009865A6">
        <w:t>took possession of</w:t>
      </w:r>
      <w:r>
        <w:t xml:space="preserve"> the land in 20</w:t>
      </w:r>
      <w:r w:rsidR="009865A6">
        <w:t>15 there was a small permissive path sign at Point A</w:t>
      </w:r>
      <w:r w:rsidR="00AB6A05">
        <w:t>. However, this was not apparently seen by any users of the path</w:t>
      </w:r>
      <w:r w:rsidR="000A0822">
        <w:t xml:space="preserve"> and there is no evidence of when or by whom such a sign might have been erected.</w:t>
      </w:r>
    </w:p>
    <w:p w14:paraId="7B50DF6D" w14:textId="73DA4255" w:rsidR="002A67AC" w:rsidRDefault="00894A4E" w:rsidP="00FD6008">
      <w:pPr>
        <w:pStyle w:val="Style1"/>
        <w:tabs>
          <w:tab w:val="clear" w:pos="720"/>
        </w:tabs>
      </w:pPr>
      <w:r>
        <w:t>At a meeting on site in 2015</w:t>
      </w:r>
      <w:r w:rsidR="007B3FD9">
        <w:t xml:space="preserve">, </w:t>
      </w:r>
      <w:r w:rsidR="00C475CB">
        <w:t xml:space="preserve">an officer of the OMA removed </w:t>
      </w:r>
      <w:r w:rsidR="00770186">
        <w:t xml:space="preserve">the </w:t>
      </w:r>
      <w:r w:rsidR="00465179">
        <w:t xml:space="preserve">finger </w:t>
      </w:r>
      <w:r w:rsidR="00770186">
        <w:t xml:space="preserve">post and </w:t>
      </w:r>
      <w:proofErr w:type="spellStart"/>
      <w:r w:rsidR="00770186">
        <w:t>waymark</w:t>
      </w:r>
      <w:r w:rsidR="00D74AFE">
        <w:t>er</w:t>
      </w:r>
      <w:r w:rsidR="00770186">
        <w:t>s</w:t>
      </w:r>
      <w:proofErr w:type="spellEnd"/>
      <w:r w:rsidR="00770186">
        <w:t xml:space="preserve"> f</w:t>
      </w:r>
      <w:r w:rsidR="00D74AFE">
        <w:t>ro</w:t>
      </w:r>
      <w:r w:rsidR="00770186">
        <w:t>m the path</w:t>
      </w:r>
      <w:r w:rsidR="00C124B5">
        <w:t>. The officer has stated that</w:t>
      </w:r>
      <w:r w:rsidR="00465179">
        <w:t xml:space="preserve"> the finger post was a public footpath sign</w:t>
      </w:r>
      <w:r w:rsidR="00D74AFE">
        <w:t xml:space="preserve"> but could not recall whether the </w:t>
      </w:r>
      <w:proofErr w:type="spellStart"/>
      <w:r w:rsidR="00D74AFE">
        <w:t>waymarkers</w:t>
      </w:r>
      <w:proofErr w:type="spellEnd"/>
      <w:r w:rsidR="00CB512E">
        <w:t xml:space="preserve"> were</w:t>
      </w:r>
      <w:r w:rsidR="00CB04BE">
        <w:t xml:space="preserve"> of the public footpath type. On behalf of the </w:t>
      </w:r>
      <w:proofErr w:type="gramStart"/>
      <w:r w:rsidR="00CB04BE">
        <w:t>OMA</w:t>
      </w:r>
      <w:proofErr w:type="gramEnd"/>
      <w:r w:rsidR="00CB04BE">
        <w:t xml:space="preserve"> it was stated that the officer would have been unlikely to remove permissive path signs as these would not have been the responsibility of the authority</w:t>
      </w:r>
      <w:r w:rsidR="005A2EE2">
        <w:t xml:space="preserve"> but it would have been appropriate </w:t>
      </w:r>
      <w:r w:rsidR="00C71525">
        <w:t xml:space="preserve">for him </w:t>
      </w:r>
      <w:r w:rsidR="005A2EE2">
        <w:t xml:space="preserve">to remove public footpath signage as the route was not recorded </w:t>
      </w:r>
      <w:r w:rsidR="00C71525">
        <w:t xml:space="preserve">as </w:t>
      </w:r>
      <w:r w:rsidR="00950B30">
        <w:t xml:space="preserve">a public right of way </w:t>
      </w:r>
      <w:r w:rsidR="00C71525">
        <w:t>on the definitive map.</w:t>
      </w:r>
    </w:p>
    <w:p w14:paraId="5DDEACAF" w14:textId="57C4A3D8" w:rsidR="00281021" w:rsidRDefault="00434F51" w:rsidP="00061203">
      <w:pPr>
        <w:pStyle w:val="Style1"/>
        <w:tabs>
          <w:tab w:val="clear" w:pos="720"/>
        </w:tabs>
      </w:pPr>
      <w:r>
        <w:t>In 2014,</w:t>
      </w:r>
      <w:r w:rsidR="00864563">
        <w:t xml:space="preserve"> </w:t>
      </w:r>
      <w:r w:rsidR="00B3684D">
        <w:t xml:space="preserve">in </w:t>
      </w:r>
      <w:r w:rsidR="0058430C">
        <w:t xml:space="preserve">an </w:t>
      </w:r>
      <w:r w:rsidR="00CA33FE">
        <w:t xml:space="preserve">email from the Estates Manager – </w:t>
      </w:r>
      <w:r w:rsidR="00962BB3">
        <w:t>T</w:t>
      </w:r>
      <w:r w:rsidR="00CA33FE">
        <w:t>ransactions and Projects</w:t>
      </w:r>
      <w:r w:rsidR="00962BB3">
        <w:t xml:space="preserve"> for AI to the then chair of the parish council</w:t>
      </w:r>
      <w:r w:rsidR="00A37E06">
        <w:t xml:space="preserve"> </w:t>
      </w:r>
      <w:r w:rsidR="001029BA">
        <w:t xml:space="preserve">marked </w:t>
      </w:r>
      <w:r w:rsidR="001210FC">
        <w:rPr>
          <w:i/>
          <w:iCs/>
        </w:rPr>
        <w:t>‘Without Prejudice’</w:t>
      </w:r>
      <w:r w:rsidR="00855A5E">
        <w:rPr>
          <w:i/>
          <w:iCs/>
        </w:rPr>
        <w:t>,</w:t>
      </w:r>
      <w:r w:rsidR="001210FC">
        <w:rPr>
          <w:i/>
          <w:iCs/>
        </w:rPr>
        <w:t xml:space="preserve"> </w:t>
      </w:r>
      <w:r w:rsidR="00B3684D">
        <w:t xml:space="preserve">it was stated that, as the </w:t>
      </w:r>
      <w:r w:rsidR="00D803D3">
        <w:t xml:space="preserve">fenced path had not been formally </w:t>
      </w:r>
      <w:r w:rsidR="006C5488">
        <w:t>dedicated, it should be regarded as a permissive footpath</w:t>
      </w:r>
      <w:r w:rsidR="001029BA">
        <w:t xml:space="preserve"> only.</w:t>
      </w:r>
      <w:r w:rsidR="000133A3">
        <w:t xml:space="preserve"> </w:t>
      </w:r>
      <w:r w:rsidR="009C2C8C">
        <w:t>He</w:t>
      </w:r>
      <w:r w:rsidR="000133A3">
        <w:t xml:space="preserve"> then continued to </w:t>
      </w:r>
      <w:r w:rsidR="0032412D">
        <w:t>state that the comp</w:t>
      </w:r>
      <w:r w:rsidR="00BE2D49">
        <w:t xml:space="preserve">any would have been happy to </w:t>
      </w:r>
      <w:proofErr w:type="gramStart"/>
      <w:r w:rsidR="00BE2D49">
        <w:t>submit an application</w:t>
      </w:r>
      <w:proofErr w:type="gramEnd"/>
      <w:r w:rsidR="00BE2D49">
        <w:t xml:space="preserve"> for the </w:t>
      </w:r>
      <w:r w:rsidR="00D25263">
        <w:t xml:space="preserve">path to be formally dedicated and the existing </w:t>
      </w:r>
      <w:r w:rsidR="007513A1">
        <w:t>F</w:t>
      </w:r>
      <w:r w:rsidR="00D25263">
        <w:t>ootpa</w:t>
      </w:r>
      <w:r w:rsidR="007513A1">
        <w:t>th 20 to be stopped up</w:t>
      </w:r>
      <w:r w:rsidR="00474D3B">
        <w:t xml:space="preserve"> but</w:t>
      </w:r>
      <w:r w:rsidR="00C55445">
        <w:t>,</w:t>
      </w:r>
      <w:r w:rsidR="00474D3B">
        <w:t xml:space="preserve"> as the land was being sold</w:t>
      </w:r>
      <w:r w:rsidR="00C55445">
        <w:t xml:space="preserve">, there was not time for this before the completion of </w:t>
      </w:r>
      <w:r w:rsidR="0030370E">
        <w:t>the</w:t>
      </w:r>
      <w:r w:rsidR="009C2445">
        <w:t xml:space="preserve"> </w:t>
      </w:r>
      <w:r w:rsidR="00C55445">
        <w:t>sale.</w:t>
      </w:r>
      <w:r w:rsidR="00CB0761">
        <w:t xml:space="preserve"> </w:t>
      </w:r>
      <w:r w:rsidR="00237164">
        <w:t xml:space="preserve">As far as I am aware this was the first and only </w:t>
      </w:r>
      <w:r w:rsidR="006D31A7">
        <w:t>occasion on which a representative</w:t>
      </w:r>
      <w:r w:rsidR="00A86A9A">
        <w:t xml:space="preserve"> </w:t>
      </w:r>
      <w:r w:rsidR="00237164">
        <w:t>of AI</w:t>
      </w:r>
      <w:r w:rsidR="00A86A9A">
        <w:t xml:space="preserve"> referred to</w:t>
      </w:r>
      <w:r w:rsidR="002E6D7C">
        <w:t xml:space="preserve"> the path as </w:t>
      </w:r>
      <w:r w:rsidR="006B313A">
        <w:t xml:space="preserve">being </w:t>
      </w:r>
      <w:r w:rsidR="002E6D7C">
        <w:t xml:space="preserve">permissive and </w:t>
      </w:r>
      <w:r w:rsidR="00855A5E">
        <w:t xml:space="preserve">it </w:t>
      </w:r>
      <w:r w:rsidR="002E6D7C">
        <w:t xml:space="preserve">was </w:t>
      </w:r>
      <w:r w:rsidR="006B313A">
        <w:t xml:space="preserve">said </w:t>
      </w:r>
      <w:r w:rsidR="002E6D7C">
        <w:t xml:space="preserve">without prejudice and in the context </w:t>
      </w:r>
      <w:r w:rsidR="00C5275F">
        <w:t>of the land being in the process of being sold.</w:t>
      </w:r>
    </w:p>
    <w:p w14:paraId="2A3D69AA" w14:textId="46A73FFE" w:rsidR="00C5275F" w:rsidRDefault="007A3EFC" w:rsidP="00FD6008">
      <w:pPr>
        <w:pStyle w:val="Style1"/>
        <w:tabs>
          <w:tab w:val="clear" w:pos="720"/>
        </w:tabs>
      </w:pPr>
      <w:r>
        <w:t xml:space="preserve">Leisure Maps relating to the </w:t>
      </w:r>
      <w:r w:rsidR="00112D6A">
        <w:t xml:space="preserve">Cotswold Water </w:t>
      </w:r>
      <w:r w:rsidR="00B12BD0">
        <w:t>P</w:t>
      </w:r>
      <w:r w:rsidR="00112D6A">
        <w:t>ark</w:t>
      </w:r>
      <w:r w:rsidR="00B12BD0">
        <w:t xml:space="preserve"> produced in 2014 and 2016</w:t>
      </w:r>
      <w:r w:rsidR="006F4CF9">
        <w:t xml:space="preserve"> show the claimed route as a pub</w:t>
      </w:r>
      <w:r w:rsidR="004E5C9F">
        <w:t>l</w:t>
      </w:r>
      <w:r w:rsidR="006F4CF9">
        <w:t>ic footpath</w:t>
      </w:r>
      <w:r w:rsidR="00B33CC3">
        <w:t xml:space="preserve"> and show other paths as permissive paths with a different notation</w:t>
      </w:r>
      <w:r w:rsidR="004E5C9F">
        <w:t xml:space="preserve">. The basis for showing the route in this way is not known but </w:t>
      </w:r>
      <w:r w:rsidR="00990DD0">
        <w:t>it is perhaps indicative of the local reputation of the status of the path.</w:t>
      </w:r>
    </w:p>
    <w:p w14:paraId="194EC88B" w14:textId="33B9BC3C" w:rsidR="00500A17" w:rsidRPr="00FD6008" w:rsidRDefault="00480A45" w:rsidP="00FD6008">
      <w:pPr>
        <w:pStyle w:val="Style1"/>
        <w:tabs>
          <w:tab w:val="clear" w:pos="720"/>
        </w:tabs>
      </w:pPr>
      <w:r>
        <w:t>Overall</w:t>
      </w:r>
      <w:r w:rsidR="006D461B">
        <w:t xml:space="preserve">, it is my view that the available evidence </w:t>
      </w:r>
      <w:r w:rsidR="006E6899">
        <w:t xml:space="preserve">shows that </w:t>
      </w:r>
      <w:r w:rsidR="00B00829">
        <w:t>between 2004 and 2015 the landowner</w:t>
      </w:r>
      <w:r w:rsidR="005D3B53">
        <w:t xml:space="preserve"> intended to dedicate the claimed route as a public </w:t>
      </w:r>
      <w:proofErr w:type="gramStart"/>
      <w:r w:rsidR="005D3B53">
        <w:t>footpath</w:t>
      </w:r>
      <w:proofErr w:type="gramEnd"/>
      <w:r w:rsidR="00394600">
        <w:t xml:space="preserve"> and this was accepted by the public. It can therefore be inferred that the route has in fact bee</w:t>
      </w:r>
      <w:r w:rsidR="00661CEB">
        <w:t>n so dedicated at common law. It is unfortunate that</w:t>
      </w:r>
      <w:r w:rsidR="003705D2">
        <w:t xml:space="preserve"> it also seems clear that AI </w:t>
      </w:r>
      <w:r w:rsidR="00AB276A">
        <w:t>did not</w:t>
      </w:r>
      <w:r w:rsidR="003705D2">
        <w:t xml:space="preserve"> intend that there would be </w:t>
      </w:r>
      <w:r w:rsidR="0034198D">
        <w:t>two public footpaths across the land but</w:t>
      </w:r>
      <w:r w:rsidR="008D43AE">
        <w:t>,</w:t>
      </w:r>
      <w:r w:rsidR="00B34E5D">
        <w:t xml:space="preserve"> </w:t>
      </w:r>
      <w:proofErr w:type="gramStart"/>
      <w:r w:rsidR="00B34E5D">
        <w:t>as a result of</w:t>
      </w:r>
      <w:proofErr w:type="gramEnd"/>
      <w:r w:rsidR="00B34E5D">
        <w:t xml:space="preserve"> the way in which Footpath 20 was diverted</w:t>
      </w:r>
      <w:r w:rsidR="00D76949">
        <w:t xml:space="preserve"> and the new path was established</w:t>
      </w:r>
      <w:r w:rsidR="008D43AE">
        <w:t>,</w:t>
      </w:r>
      <w:r w:rsidR="00D76949">
        <w:t xml:space="preserve"> that is what has occurred.</w:t>
      </w:r>
    </w:p>
    <w:p w14:paraId="13337413" w14:textId="77777777" w:rsidR="00BD09CD" w:rsidRDefault="004D6820" w:rsidP="004D6820">
      <w:pPr>
        <w:pStyle w:val="Heading6blackfont"/>
      </w:pPr>
      <w:r>
        <w:t>Conclusions</w:t>
      </w:r>
    </w:p>
    <w:p w14:paraId="37F8C728" w14:textId="7B91D4AD" w:rsidR="00517602" w:rsidRDefault="00517602" w:rsidP="00517602">
      <w:pPr>
        <w:pStyle w:val="Style1"/>
      </w:pPr>
      <w:r>
        <w:t>Having regard to these and all other matters raised, I conclude that the Order should be confirmed.</w:t>
      </w:r>
    </w:p>
    <w:p w14:paraId="5DFD2398" w14:textId="77777777" w:rsidR="00A61F56" w:rsidRDefault="00A61F56" w:rsidP="00A61F56">
      <w:pPr>
        <w:pStyle w:val="Heading6blackfont"/>
      </w:pPr>
      <w:r>
        <w:t>Formal Decision</w:t>
      </w:r>
    </w:p>
    <w:p w14:paraId="534B64CB" w14:textId="77777777" w:rsidR="00A61F56" w:rsidRDefault="00A61F56" w:rsidP="00A61F56">
      <w:pPr>
        <w:pStyle w:val="Style1"/>
      </w:pPr>
      <w:r>
        <w:t>I confirm the Order.</w:t>
      </w:r>
    </w:p>
    <w:p w14:paraId="6D711520" w14:textId="77777777" w:rsidR="006D0299" w:rsidRDefault="00A61F56" w:rsidP="006D0299">
      <w:pPr>
        <w:pStyle w:val="Style2"/>
        <w:numPr>
          <w:ilvl w:val="0"/>
          <w:numId w:val="0"/>
        </w:numPr>
      </w:pPr>
      <w:r w:rsidRPr="002674BA">
        <w:rPr>
          <w:rFonts w:ascii="Monotype Corsiva" w:hAnsi="Monotype Corsiva"/>
          <w:sz w:val="32"/>
          <w:szCs w:val="32"/>
        </w:rPr>
        <w:t>Barney Grimshaw</w:t>
      </w:r>
      <w:r>
        <w:tab/>
      </w:r>
      <w:r>
        <w:tab/>
      </w:r>
    </w:p>
    <w:p w14:paraId="4C7BEE5D" w14:textId="37CDCE53" w:rsidR="00A61F56" w:rsidRPr="006D0299" w:rsidRDefault="00A61F56" w:rsidP="006D0299">
      <w:pPr>
        <w:pStyle w:val="Style2"/>
        <w:numPr>
          <w:ilvl w:val="0"/>
          <w:numId w:val="0"/>
        </w:numPr>
        <w:rPr>
          <w:b/>
          <w:bCs/>
        </w:rPr>
      </w:pPr>
      <w:r w:rsidRPr="006D0299">
        <w:rPr>
          <w:b/>
          <w:bCs/>
        </w:rPr>
        <w:t>Inspector</w:t>
      </w:r>
    </w:p>
    <w:p w14:paraId="0BE1ECFD" w14:textId="77777777" w:rsidR="00A77626" w:rsidRDefault="00A77626" w:rsidP="00A77626">
      <w:pPr>
        <w:pStyle w:val="Long1"/>
      </w:pPr>
      <w:r>
        <w:br w:type="page"/>
      </w:r>
      <w:r>
        <w:lastRenderedPageBreak/>
        <w:t>appearances</w:t>
      </w:r>
    </w:p>
    <w:tbl>
      <w:tblPr>
        <w:tblW w:w="0" w:type="auto"/>
        <w:tblLook w:val="01E0" w:firstRow="1" w:lastRow="1" w:firstColumn="1" w:lastColumn="1" w:noHBand="0" w:noVBand="0"/>
      </w:tblPr>
      <w:tblGrid>
        <w:gridCol w:w="4652"/>
        <w:gridCol w:w="4652"/>
      </w:tblGrid>
      <w:tr w:rsidR="00A77626" w14:paraId="7EA167A3" w14:textId="77777777" w:rsidTr="00D8186D">
        <w:tc>
          <w:tcPr>
            <w:tcW w:w="4760" w:type="dxa"/>
            <w:shd w:val="clear" w:color="auto" w:fill="auto"/>
          </w:tcPr>
          <w:p w14:paraId="754D6BF7" w14:textId="77777777" w:rsidR="00A77626" w:rsidRDefault="00A77626" w:rsidP="0015106C">
            <w:pPr>
              <w:pStyle w:val="Singleline"/>
              <w:jc w:val="center"/>
            </w:pPr>
          </w:p>
        </w:tc>
        <w:tc>
          <w:tcPr>
            <w:tcW w:w="4760" w:type="dxa"/>
            <w:shd w:val="clear" w:color="auto" w:fill="auto"/>
          </w:tcPr>
          <w:p w14:paraId="3633DC91" w14:textId="77777777" w:rsidR="00A77626" w:rsidRDefault="00A77626" w:rsidP="0011344B">
            <w:pPr>
              <w:pStyle w:val="Singleline"/>
            </w:pPr>
          </w:p>
        </w:tc>
      </w:tr>
      <w:tr w:rsidR="00A77626" w14:paraId="51959A9A" w14:textId="77777777" w:rsidTr="00D8186D">
        <w:tc>
          <w:tcPr>
            <w:tcW w:w="4760" w:type="dxa"/>
            <w:shd w:val="clear" w:color="auto" w:fill="auto"/>
          </w:tcPr>
          <w:p w14:paraId="1111C490" w14:textId="77777777" w:rsidR="00A77626" w:rsidRPr="00D8186D" w:rsidRDefault="00A77626" w:rsidP="0011344B">
            <w:pPr>
              <w:pStyle w:val="Singleline"/>
              <w:rPr>
                <w:b/>
              </w:rPr>
            </w:pPr>
            <w:r w:rsidRPr="00D8186D">
              <w:rPr>
                <w:b/>
              </w:rPr>
              <w:t>For the OMA</w:t>
            </w:r>
          </w:p>
        </w:tc>
        <w:tc>
          <w:tcPr>
            <w:tcW w:w="4760" w:type="dxa"/>
            <w:shd w:val="clear" w:color="auto" w:fill="auto"/>
          </w:tcPr>
          <w:p w14:paraId="71AE94F6" w14:textId="77777777" w:rsidR="00A77626" w:rsidRDefault="00A77626" w:rsidP="0011344B">
            <w:pPr>
              <w:pStyle w:val="Singleline"/>
            </w:pPr>
          </w:p>
        </w:tc>
      </w:tr>
      <w:tr w:rsidR="00A77626" w14:paraId="017D2488" w14:textId="77777777" w:rsidTr="00D8186D">
        <w:tc>
          <w:tcPr>
            <w:tcW w:w="4760" w:type="dxa"/>
            <w:shd w:val="clear" w:color="auto" w:fill="auto"/>
          </w:tcPr>
          <w:p w14:paraId="7358DBE3" w14:textId="77777777" w:rsidR="00A77626" w:rsidRDefault="00A77626" w:rsidP="0011344B">
            <w:pPr>
              <w:pStyle w:val="Singleline"/>
            </w:pPr>
          </w:p>
        </w:tc>
        <w:tc>
          <w:tcPr>
            <w:tcW w:w="4760" w:type="dxa"/>
            <w:shd w:val="clear" w:color="auto" w:fill="auto"/>
          </w:tcPr>
          <w:p w14:paraId="32F87A6B" w14:textId="77777777" w:rsidR="00A77626" w:rsidRDefault="00A77626" w:rsidP="0011344B">
            <w:pPr>
              <w:pStyle w:val="Singleline"/>
            </w:pPr>
          </w:p>
        </w:tc>
      </w:tr>
      <w:tr w:rsidR="00A77626" w14:paraId="606BD2D2" w14:textId="77777777" w:rsidTr="00D8186D">
        <w:tc>
          <w:tcPr>
            <w:tcW w:w="4760" w:type="dxa"/>
            <w:shd w:val="clear" w:color="auto" w:fill="auto"/>
          </w:tcPr>
          <w:p w14:paraId="38EF17B9" w14:textId="3DFBFC36" w:rsidR="00A77626" w:rsidRDefault="00D61F60" w:rsidP="0011344B">
            <w:pPr>
              <w:pStyle w:val="Singleline"/>
            </w:pPr>
            <w:r>
              <w:t>Trevor Ward</w:t>
            </w:r>
          </w:p>
        </w:tc>
        <w:tc>
          <w:tcPr>
            <w:tcW w:w="4760" w:type="dxa"/>
            <w:shd w:val="clear" w:color="auto" w:fill="auto"/>
          </w:tcPr>
          <w:p w14:paraId="476DF564" w14:textId="53538104" w:rsidR="00A77626" w:rsidRDefault="00D61F60" w:rsidP="0011344B">
            <w:pPr>
              <w:pStyle w:val="Singleline"/>
            </w:pPr>
            <w:r>
              <w:t>Counsel</w:t>
            </w:r>
            <w:r w:rsidR="00A77626">
              <w:t xml:space="preserve">, </w:t>
            </w:r>
            <w:r>
              <w:t xml:space="preserve">representing Wiltshire </w:t>
            </w:r>
            <w:r w:rsidR="00A77626">
              <w:t>Council</w:t>
            </w:r>
            <w:r w:rsidR="008B07F8">
              <w:t xml:space="preserve"> (WC)</w:t>
            </w:r>
          </w:p>
        </w:tc>
      </w:tr>
      <w:tr w:rsidR="00A77626" w14:paraId="1588DBAF" w14:textId="77777777" w:rsidTr="00D8186D">
        <w:tc>
          <w:tcPr>
            <w:tcW w:w="4760" w:type="dxa"/>
            <w:shd w:val="clear" w:color="auto" w:fill="auto"/>
          </w:tcPr>
          <w:p w14:paraId="2383A5CC" w14:textId="77777777" w:rsidR="00A77626" w:rsidRDefault="00A77626" w:rsidP="0011344B">
            <w:pPr>
              <w:pStyle w:val="Singleline"/>
            </w:pPr>
          </w:p>
        </w:tc>
        <w:tc>
          <w:tcPr>
            <w:tcW w:w="4760" w:type="dxa"/>
            <w:shd w:val="clear" w:color="auto" w:fill="auto"/>
          </w:tcPr>
          <w:p w14:paraId="0C7C3EFB" w14:textId="77777777" w:rsidR="00A77626" w:rsidRDefault="00A77626" w:rsidP="0011344B">
            <w:pPr>
              <w:pStyle w:val="Singleline"/>
            </w:pPr>
          </w:p>
        </w:tc>
      </w:tr>
      <w:tr w:rsidR="00A77626" w14:paraId="5FD1727C" w14:textId="77777777" w:rsidTr="00D8186D">
        <w:tc>
          <w:tcPr>
            <w:tcW w:w="4760" w:type="dxa"/>
            <w:shd w:val="clear" w:color="auto" w:fill="auto"/>
          </w:tcPr>
          <w:p w14:paraId="3E607A67" w14:textId="525C7D34" w:rsidR="00A77626" w:rsidRDefault="003C2CC3" w:rsidP="0011344B">
            <w:pPr>
              <w:pStyle w:val="Singleline"/>
            </w:pPr>
            <w:r>
              <w:t xml:space="preserve">Who </w:t>
            </w:r>
            <w:proofErr w:type="gramStart"/>
            <w:r>
              <w:t>called:</w:t>
            </w:r>
            <w:proofErr w:type="gramEnd"/>
          </w:p>
        </w:tc>
        <w:tc>
          <w:tcPr>
            <w:tcW w:w="4760" w:type="dxa"/>
            <w:shd w:val="clear" w:color="auto" w:fill="auto"/>
          </w:tcPr>
          <w:p w14:paraId="1644933E" w14:textId="77777777" w:rsidR="00A77626" w:rsidRDefault="00A77626" w:rsidP="0011344B">
            <w:pPr>
              <w:pStyle w:val="Singleline"/>
            </w:pPr>
          </w:p>
        </w:tc>
      </w:tr>
      <w:tr w:rsidR="00A77626" w14:paraId="5CD49919" w14:textId="77777777" w:rsidTr="00D8186D">
        <w:tc>
          <w:tcPr>
            <w:tcW w:w="4760" w:type="dxa"/>
            <w:shd w:val="clear" w:color="auto" w:fill="auto"/>
          </w:tcPr>
          <w:p w14:paraId="0121EB66" w14:textId="77777777" w:rsidR="00A77626" w:rsidRDefault="00A77626" w:rsidP="0011344B">
            <w:pPr>
              <w:pStyle w:val="Singleline"/>
            </w:pPr>
          </w:p>
        </w:tc>
        <w:tc>
          <w:tcPr>
            <w:tcW w:w="4760" w:type="dxa"/>
            <w:shd w:val="clear" w:color="auto" w:fill="auto"/>
          </w:tcPr>
          <w:p w14:paraId="0D504E32" w14:textId="77777777" w:rsidR="00A77626" w:rsidRDefault="00A77626" w:rsidP="0011344B">
            <w:pPr>
              <w:pStyle w:val="Singleline"/>
            </w:pPr>
          </w:p>
        </w:tc>
      </w:tr>
      <w:tr w:rsidR="00A77626" w14:paraId="4C26EF33" w14:textId="77777777" w:rsidTr="00D8186D">
        <w:tc>
          <w:tcPr>
            <w:tcW w:w="4760" w:type="dxa"/>
            <w:shd w:val="clear" w:color="auto" w:fill="auto"/>
          </w:tcPr>
          <w:p w14:paraId="63023D9E" w14:textId="0F6DDB06" w:rsidR="00A77626" w:rsidRDefault="00CF13D5" w:rsidP="0011344B">
            <w:pPr>
              <w:pStyle w:val="Singleline"/>
            </w:pPr>
            <w:r>
              <w:t xml:space="preserve">   Janice Green</w:t>
            </w:r>
          </w:p>
        </w:tc>
        <w:tc>
          <w:tcPr>
            <w:tcW w:w="4760" w:type="dxa"/>
            <w:shd w:val="clear" w:color="auto" w:fill="auto"/>
          </w:tcPr>
          <w:p w14:paraId="6802BD59" w14:textId="7E61BACD" w:rsidR="00A77626" w:rsidRDefault="00B61A1F" w:rsidP="0011344B">
            <w:pPr>
              <w:pStyle w:val="Singleline"/>
            </w:pPr>
            <w:r>
              <w:t>Senior Definitive Map Officer, WC</w:t>
            </w:r>
          </w:p>
        </w:tc>
      </w:tr>
      <w:tr w:rsidR="00A77626" w14:paraId="0581F514" w14:textId="77777777" w:rsidTr="00D8186D">
        <w:tc>
          <w:tcPr>
            <w:tcW w:w="4760" w:type="dxa"/>
            <w:shd w:val="clear" w:color="auto" w:fill="auto"/>
          </w:tcPr>
          <w:p w14:paraId="0CB358A3" w14:textId="77777777" w:rsidR="00A77626" w:rsidRDefault="00A77626" w:rsidP="0011344B">
            <w:pPr>
              <w:pStyle w:val="Singleline"/>
            </w:pPr>
          </w:p>
        </w:tc>
        <w:tc>
          <w:tcPr>
            <w:tcW w:w="4760" w:type="dxa"/>
            <w:shd w:val="clear" w:color="auto" w:fill="auto"/>
          </w:tcPr>
          <w:p w14:paraId="575C2846" w14:textId="77777777" w:rsidR="00A77626" w:rsidRDefault="00A77626" w:rsidP="0011344B">
            <w:pPr>
              <w:pStyle w:val="Singleline"/>
            </w:pPr>
          </w:p>
        </w:tc>
      </w:tr>
      <w:tr w:rsidR="00A77626" w14:paraId="33EBD04B" w14:textId="77777777" w:rsidTr="00D8186D">
        <w:tc>
          <w:tcPr>
            <w:tcW w:w="4760" w:type="dxa"/>
            <w:shd w:val="clear" w:color="auto" w:fill="auto"/>
          </w:tcPr>
          <w:p w14:paraId="4D58803A" w14:textId="77777777" w:rsidR="00A77626" w:rsidRPr="00D8186D" w:rsidRDefault="00A77626" w:rsidP="0011344B">
            <w:pPr>
              <w:pStyle w:val="Singleline"/>
              <w:rPr>
                <w:b/>
              </w:rPr>
            </w:pPr>
            <w:r w:rsidRPr="00D8186D">
              <w:rPr>
                <w:b/>
              </w:rPr>
              <w:t>Supporters</w:t>
            </w:r>
          </w:p>
        </w:tc>
        <w:tc>
          <w:tcPr>
            <w:tcW w:w="4760" w:type="dxa"/>
            <w:shd w:val="clear" w:color="auto" w:fill="auto"/>
          </w:tcPr>
          <w:p w14:paraId="573C007E" w14:textId="77777777" w:rsidR="00A77626" w:rsidRDefault="00A77626" w:rsidP="0011344B">
            <w:pPr>
              <w:pStyle w:val="Singleline"/>
            </w:pPr>
          </w:p>
        </w:tc>
      </w:tr>
      <w:tr w:rsidR="00A77626" w14:paraId="110805B5" w14:textId="77777777" w:rsidTr="00D8186D">
        <w:tc>
          <w:tcPr>
            <w:tcW w:w="4760" w:type="dxa"/>
            <w:shd w:val="clear" w:color="auto" w:fill="auto"/>
          </w:tcPr>
          <w:p w14:paraId="78A2A403" w14:textId="77777777" w:rsidR="00A77626" w:rsidRDefault="00A77626" w:rsidP="0011344B">
            <w:pPr>
              <w:pStyle w:val="Singleline"/>
            </w:pPr>
          </w:p>
        </w:tc>
        <w:tc>
          <w:tcPr>
            <w:tcW w:w="4760" w:type="dxa"/>
            <w:shd w:val="clear" w:color="auto" w:fill="auto"/>
          </w:tcPr>
          <w:p w14:paraId="127AEDF8" w14:textId="77777777" w:rsidR="00A77626" w:rsidRDefault="00A77626" w:rsidP="0011344B">
            <w:pPr>
              <w:pStyle w:val="Singleline"/>
            </w:pPr>
          </w:p>
        </w:tc>
      </w:tr>
      <w:tr w:rsidR="00A77626" w14:paraId="1084657D" w14:textId="77777777" w:rsidTr="00D8186D">
        <w:tc>
          <w:tcPr>
            <w:tcW w:w="4760" w:type="dxa"/>
            <w:shd w:val="clear" w:color="auto" w:fill="auto"/>
          </w:tcPr>
          <w:p w14:paraId="7BCFB695" w14:textId="17802A06" w:rsidR="00A77626" w:rsidRDefault="00DD282B" w:rsidP="0011344B">
            <w:pPr>
              <w:pStyle w:val="Singleline"/>
            </w:pPr>
            <w:r>
              <w:t>Jon Arnett</w:t>
            </w:r>
          </w:p>
        </w:tc>
        <w:tc>
          <w:tcPr>
            <w:tcW w:w="4760" w:type="dxa"/>
            <w:shd w:val="clear" w:color="auto" w:fill="auto"/>
          </w:tcPr>
          <w:p w14:paraId="6A9C7D6B" w14:textId="32E0413F" w:rsidR="00A77626" w:rsidRDefault="00DD282B" w:rsidP="0011344B">
            <w:pPr>
              <w:pStyle w:val="Singleline"/>
            </w:pPr>
            <w:r>
              <w:t>Path user</w:t>
            </w:r>
          </w:p>
        </w:tc>
      </w:tr>
      <w:tr w:rsidR="00A77626" w14:paraId="6176ABE8" w14:textId="77777777" w:rsidTr="00D8186D">
        <w:tc>
          <w:tcPr>
            <w:tcW w:w="4760" w:type="dxa"/>
            <w:shd w:val="clear" w:color="auto" w:fill="auto"/>
          </w:tcPr>
          <w:p w14:paraId="42362A4D" w14:textId="77777777" w:rsidR="00A77626" w:rsidRDefault="00A77626" w:rsidP="0011344B">
            <w:pPr>
              <w:pStyle w:val="Singleline"/>
            </w:pPr>
            <w:r>
              <w:t xml:space="preserve">   </w:t>
            </w:r>
          </w:p>
        </w:tc>
        <w:tc>
          <w:tcPr>
            <w:tcW w:w="4760" w:type="dxa"/>
            <w:shd w:val="clear" w:color="auto" w:fill="auto"/>
          </w:tcPr>
          <w:p w14:paraId="3301A729" w14:textId="77777777" w:rsidR="00A77626" w:rsidRDefault="00A77626" w:rsidP="0011344B">
            <w:pPr>
              <w:pStyle w:val="Singleline"/>
            </w:pPr>
          </w:p>
        </w:tc>
      </w:tr>
      <w:tr w:rsidR="00A77626" w14:paraId="07B28228" w14:textId="77777777" w:rsidTr="00D8186D">
        <w:tc>
          <w:tcPr>
            <w:tcW w:w="4760" w:type="dxa"/>
            <w:shd w:val="clear" w:color="auto" w:fill="auto"/>
          </w:tcPr>
          <w:p w14:paraId="20ADBF38" w14:textId="0DCA5F8C" w:rsidR="00A77626" w:rsidRDefault="002501F2" w:rsidP="0011344B">
            <w:pPr>
              <w:pStyle w:val="Singleline"/>
            </w:pPr>
            <w:r>
              <w:t xml:space="preserve">David </w:t>
            </w:r>
            <w:proofErr w:type="spellStart"/>
            <w:r>
              <w:t>Wingrove</w:t>
            </w:r>
            <w:proofErr w:type="spellEnd"/>
          </w:p>
        </w:tc>
        <w:tc>
          <w:tcPr>
            <w:tcW w:w="4760" w:type="dxa"/>
            <w:shd w:val="clear" w:color="auto" w:fill="auto"/>
          </w:tcPr>
          <w:p w14:paraId="448D9C50" w14:textId="352ECB9C" w:rsidR="00A77626" w:rsidRDefault="002501F2" w:rsidP="0011344B">
            <w:pPr>
              <w:pStyle w:val="Singleline"/>
            </w:pPr>
            <w:r>
              <w:t xml:space="preserve">Chair, Ashton Keynes Parish Council </w:t>
            </w:r>
            <w:r w:rsidR="00F55457">
              <w:t xml:space="preserve">(AKPC) </w:t>
            </w:r>
            <w:r>
              <w:t>and path user</w:t>
            </w:r>
          </w:p>
        </w:tc>
      </w:tr>
      <w:tr w:rsidR="00A77626" w14:paraId="0A582016" w14:textId="77777777" w:rsidTr="00D8186D">
        <w:tc>
          <w:tcPr>
            <w:tcW w:w="4760" w:type="dxa"/>
            <w:shd w:val="clear" w:color="auto" w:fill="auto"/>
          </w:tcPr>
          <w:p w14:paraId="6637EAE2" w14:textId="77777777" w:rsidR="00A77626" w:rsidRDefault="00A77626" w:rsidP="0011344B">
            <w:pPr>
              <w:pStyle w:val="Singleline"/>
            </w:pPr>
            <w:r>
              <w:t xml:space="preserve">   </w:t>
            </w:r>
          </w:p>
        </w:tc>
        <w:tc>
          <w:tcPr>
            <w:tcW w:w="4760" w:type="dxa"/>
            <w:shd w:val="clear" w:color="auto" w:fill="auto"/>
          </w:tcPr>
          <w:p w14:paraId="0A3ABC58" w14:textId="77777777" w:rsidR="00A77626" w:rsidRDefault="00A77626" w:rsidP="0011344B">
            <w:pPr>
              <w:pStyle w:val="Singleline"/>
            </w:pPr>
          </w:p>
        </w:tc>
      </w:tr>
      <w:tr w:rsidR="00A77626" w14:paraId="3DD0FF43" w14:textId="77777777" w:rsidTr="00D8186D">
        <w:tc>
          <w:tcPr>
            <w:tcW w:w="4760" w:type="dxa"/>
            <w:shd w:val="clear" w:color="auto" w:fill="auto"/>
          </w:tcPr>
          <w:p w14:paraId="71D3B498" w14:textId="435C93E7" w:rsidR="00A77626" w:rsidRDefault="00547236" w:rsidP="0011344B">
            <w:pPr>
              <w:pStyle w:val="Singleline"/>
            </w:pPr>
            <w:r>
              <w:t>Robert Bewley</w:t>
            </w:r>
          </w:p>
        </w:tc>
        <w:tc>
          <w:tcPr>
            <w:tcW w:w="4760" w:type="dxa"/>
            <w:shd w:val="clear" w:color="auto" w:fill="auto"/>
          </w:tcPr>
          <w:p w14:paraId="61C42BCB" w14:textId="06D214AE" w:rsidR="00A77626" w:rsidRDefault="00547236" w:rsidP="0011344B">
            <w:pPr>
              <w:pStyle w:val="Singleline"/>
            </w:pPr>
            <w:r>
              <w:t>Path user</w:t>
            </w:r>
          </w:p>
        </w:tc>
      </w:tr>
      <w:tr w:rsidR="00A77626" w14:paraId="43986AB7" w14:textId="77777777" w:rsidTr="00D8186D">
        <w:tc>
          <w:tcPr>
            <w:tcW w:w="4760" w:type="dxa"/>
            <w:shd w:val="clear" w:color="auto" w:fill="auto"/>
          </w:tcPr>
          <w:p w14:paraId="15DD7220" w14:textId="77777777" w:rsidR="00A77626" w:rsidRDefault="00A77626" w:rsidP="0011344B">
            <w:pPr>
              <w:pStyle w:val="Singleline"/>
            </w:pPr>
          </w:p>
        </w:tc>
        <w:tc>
          <w:tcPr>
            <w:tcW w:w="4760" w:type="dxa"/>
            <w:shd w:val="clear" w:color="auto" w:fill="auto"/>
          </w:tcPr>
          <w:p w14:paraId="6B7005B9" w14:textId="77777777" w:rsidR="00A77626" w:rsidRDefault="00A77626" w:rsidP="0011344B">
            <w:pPr>
              <w:pStyle w:val="Singleline"/>
            </w:pPr>
          </w:p>
        </w:tc>
      </w:tr>
      <w:tr w:rsidR="00A77626" w14:paraId="61BC71E1" w14:textId="77777777" w:rsidTr="00D8186D">
        <w:tc>
          <w:tcPr>
            <w:tcW w:w="4760" w:type="dxa"/>
            <w:shd w:val="clear" w:color="auto" w:fill="auto"/>
          </w:tcPr>
          <w:p w14:paraId="4942C685" w14:textId="3B688C65" w:rsidR="00A77626" w:rsidRDefault="00547236" w:rsidP="0011344B">
            <w:pPr>
              <w:pStyle w:val="Singleline"/>
            </w:pPr>
            <w:r>
              <w:t>Graham Carter</w:t>
            </w:r>
          </w:p>
        </w:tc>
        <w:tc>
          <w:tcPr>
            <w:tcW w:w="4760" w:type="dxa"/>
            <w:shd w:val="clear" w:color="auto" w:fill="auto"/>
          </w:tcPr>
          <w:p w14:paraId="21C6C691" w14:textId="03796A6A" w:rsidR="00A77626" w:rsidRDefault="005F7AA6" w:rsidP="0011344B">
            <w:pPr>
              <w:pStyle w:val="Singleline"/>
            </w:pPr>
            <w:r>
              <w:t>Path user</w:t>
            </w:r>
          </w:p>
        </w:tc>
      </w:tr>
      <w:tr w:rsidR="00A77626" w14:paraId="6B715B29" w14:textId="77777777" w:rsidTr="00D8186D">
        <w:tc>
          <w:tcPr>
            <w:tcW w:w="4760" w:type="dxa"/>
            <w:shd w:val="clear" w:color="auto" w:fill="auto"/>
          </w:tcPr>
          <w:p w14:paraId="1569B057" w14:textId="77777777" w:rsidR="00A77626" w:rsidRDefault="00A77626" w:rsidP="0011344B">
            <w:pPr>
              <w:pStyle w:val="Singleline"/>
            </w:pPr>
          </w:p>
        </w:tc>
        <w:tc>
          <w:tcPr>
            <w:tcW w:w="4760" w:type="dxa"/>
            <w:shd w:val="clear" w:color="auto" w:fill="auto"/>
          </w:tcPr>
          <w:p w14:paraId="129EA6CA" w14:textId="36700B97" w:rsidR="00A77626" w:rsidRDefault="00A77626" w:rsidP="0011344B">
            <w:pPr>
              <w:pStyle w:val="Singleline"/>
            </w:pPr>
          </w:p>
        </w:tc>
      </w:tr>
      <w:tr w:rsidR="00A77626" w14:paraId="1AF0335A" w14:textId="77777777" w:rsidTr="00D8186D">
        <w:tc>
          <w:tcPr>
            <w:tcW w:w="4760" w:type="dxa"/>
            <w:shd w:val="clear" w:color="auto" w:fill="auto"/>
          </w:tcPr>
          <w:p w14:paraId="2DC3FA75" w14:textId="77777777" w:rsidR="00A77626" w:rsidRPr="00D8186D" w:rsidRDefault="00A77626" w:rsidP="0011344B">
            <w:pPr>
              <w:pStyle w:val="Singleline"/>
              <w:rPr>
                <w:b/>
              </w:rPr>
            </w:pPr>
            <w:r w:rsidRPr="00D8186D">
              <w:rPr>
                <w:b/>
              </w:rPr>
              <w:t>Objectors</w:t>
            </w:r>
          </w:p>
        </w:tc>
        <w:tc>
          <w:tcPr>
            <w:tcW w:w="4760" w:type="dxa"/>
            <w:shd w:val="clear" w:color="auto" w:fill="auto"/>
          </w:tcPr>
          <w:p w14:paraId="526C2C66" w14:textId="77777777" w:rsidR="00A77626" w:rsidRDefault="00A77626" w:rsidP="0011344B">
            <w:pPr>
              <w:pStyle w:val="Singleline"/>
            </w:pPr>
          </w:p>
        </w:tc>
      </w:tr>
      <w:tr w:rsidR="00A77626" w14:paraId="2C21456E" w14:textId="77777777" w:rsidTr="00D8186D">
        <w:tc>
          <w:tcPr>
            <w:tcW w:w="4760" w:type="dxa"/>
            <w:shd w:val="clear" w:color="auto" w:fill="auto"/>
          </w:tcPr>
          <w:p w14:paraId="0BEEC590" w14:textId="77777777" w:rsidR="00A77626" w:rsidRDefault="00A77626" w:rsidP="0011344B">
            <w:pPr>
              <w:pStyle w:val="Singleline"/>
            </w:pPr>
          </w:p>
        </w:tc>
        <w:tc>
          <w:tcPr>
            <w:tcW w:w="4760" w:type="dxa"/>
            <w:shd w:val="clear" w:color="auto" w:fill="auto"/>
          </w:tcPr>
          <w:p w14:paraId="621DCBD3" w14:textId="77777777" w:rsidR="00A77626" w:rsidRDefault="00A77626" w:rsidP="0011344B">
            <w:pPr>
              <w:pStyle w:val="Singleline"/>
            </w:pPr>
          </w:p>
        </w:tc>
      </w:tr>
      <w:tr w:rsidR="00A77626" w14:paraId="307A06C7" w14:textId="77777777" w:rsidTr="00D8186D">
        <w:tc>
          <w:tcPr>
            <w:tcW w:w="4760" w:type="dxa"/>
            <w:shd w:val="clear" w:color="auto" w:fill="auto"/>
          </w:tcPr>
          <w:p w14:paraId="13715665" w14:textId="72E5D132" w:rsidR="00A77626" w:rsidRDefault="00483EF6" w:rsidP="0011344B">
            <w:pPr>
              <w:pStyle w:val="Singleline"/>
            </w:pPr>
            <w:r>
              <w:t>Gareth Pinwell</w:t>
            </w:r>
          </w:p>
        </w:tc>
        <w:tc>
          <w:tcPr>
            <w:tcW w:w="4760" w:type="dxa"/>
            <w:shd w:val="clear" w:color="auto" w:fill="auto"/>
          </w:tcPr>
          <w:p w14:paraId="7E0C1477" w14:textId="61357E6A" w:rsidR="00A77626" w:rsidRDefault="00224E20" w:rsidP="0011344B">
            <w:pPr>
              <w:pStyle w:val="Singleline"/>
            </w:pPr>
            <w:proofErr w:type="spellStart"/>
            <w:r>
              <w:t>Ashfords</w:t>
            </w:r>
            <w:proofErr w:type="spellEnd"/>
            <w:r>
              <w:t xml:space="preserve"> LLP, representing Alvin Lindley</w:t>
            </w:r>
          </w:p>
        </w:tc>
      </w:tr>
      <w:tr w:rsidR="00A77626" w14:paraId="7E3E440F" w14:textId="77777777" w:rsidTr="00D8186D">
        <w:tc>
          <w:tcPr>
            <w:tcW w:w="4760" w:type="dxa"/>
            <w:shd w:val="clear" w:color="auto" w:fill="auto"/>
          </w:tcPr>
          <w:p w14:paraId="5462C959" w14:textId="77777777" w:rsidR="00A77626" w:rsidRDefault="00A77626" w:rsidP="0011344B">
            <w:pPr>
              <w:pStyle w:val="Singleline"/>
            </w:pPr>
          </w:p>
        </w:tc>
        <w:tc>
          <w:tcPr>
            <w:tcW w:w="4760" w:type="dxa"/>
            <w:shd w:val="clear" w:color="auto" w:fill="auto"/>
          </w:tcPr>
          <w:p w14:paraId="6CD338FD" w14:textId="77777777" w:rsidR="00A77626" w:rsidRDefault="00A77626" w:rsidP="0011344B">
            <w:pPr>
              <w:pStyle w:val="Singleline"/>
            </w:pPr>
          </w:p>
        </w:tc>
      </w:tr>
      <w:tr w:rsidR="00A77626" w14:paraId="0EFB9D34" w14:textId="77777777" w:rsidTr="00D8186D">
        <w:tc>
          <w:tcPr>
            <w:tcW w:w="4760" w:type="dxa"/>
            <w:shd w:val="clear" w:color="auto" w:fill="auto"/>
          </w:tcPr>
          <w:p w14:paraId="35C5E0EC" w14:textId="139C2738" w:rsidR="00A77626" w:rsidRDefault="00224E20" w:rsidP="0011344B">
            <w:pPr>
              <w:pStyle w:val="Singleline"/>
            </w:pPr>
            <w:r>
              <w:t xml:space="preserve">Who </w:t>
            </w:r>
            <w:proofErr w:type="gramStart"/>
            <w:r>
              <w:t>called:</w:t>
            </w:r>
            <w:proofErr w:type="gramEnd"/>
          </w:p>
        </w:tc>
        <w:tc>
          <w:tcPr>
            <w:tcW w:w="4760" w:type="dxa"/>
            <w:shd w:val="clear" w:color="auto" w:fill="auto"/>
          </w:tcPr>
          <w:p w14:paraId="03527FC0" w14:textId="77777777" w:rsidR="00A77626" w:rsidRDefault="00A77626" w:rsidP="0011344B">
            <w:pPr>
              <w:pStyle w:val="Singleline"/>
            </w:pPr>
          </w:p>
        </w:tc>
      </w:tr>
      <w:tr w:rsidR="00A77626" w14:paraId="5D4523AA" w14:textId="77777777" w:rsidTr="00D8186D">
        <w:tc>
          <w:tcPr>
            <w:tcW w:w="4760" w:type="dxa"/>
            <w:shd w:val="clear" w:color="auto" w:fill="auto"/>
          </w:tcPr>
          <w:p w14:paraId="65CA8D10" w14:textId="77777777" w:rsidR="00A77626" w:rsidRDefault="00A77626" w:rsidP="0011344B">
            <w:pPr>
              <w:pStyle w:val="Singleline"/>
            </w:pPr>
          </w:p>
        </w:tc>
        <w:tc>
          <w:tcPr>
            <w:tcW w:w="4760" w:type="dxa"/>
            <w:shd w:val="clear" w:color="auto" w:fill="auto"/>
          </w:tcPr>
          <w:p w14:paraId="26927FFF" w14:textId="77777777" w:rsidR="00A77626" w:rsidRDefault="00A77626" w:rsidP="0011344B">
            <w:pPr>
              <w:pStyle w:val="Singleline"/>
            </w:pPr>
          </w:p>
        </w:tc>
      </w:tr>
      <w:tr w:rsidR="00A77626" w14:paraId="26667233" w14:textId="77777777" w:rsidTr="00D8186D">
        <w:tc>
          <w:tcPr>
            <w:tcW w:w="4760" w:type="dxa"/>
            <w:shd w:val="clear" w:color="auto" w:fill="auto"/>
          </w:tcPr>
          <w:p w14:paraId="40761C48" w14:textId="7F89F5A7" w:rsidR="00A77626" w:rsidRDefault="00A77626" w:rsidP="0011344B">
            <w:pPr>
              <w:pStyle w:val="Singleline"/>
            </w:pPr>
            <w:r>
              <w:t xml:space="preserve"> </w:t>
            </w:r>
            <w:r w:rsidR="000101C0">
              <w:t xml:space="preserve">   Alvin Lindley</w:t>
            </w:r>
            <w:r>
              <w:t xml:space="preserve">  </w:t>
            </w:r>
          </w:p>
        </w:tc>
        <w:tc>
          <w:tcPr>
            <w:tcW w:w="4760" w:type="dxa"/>
            <w:shd w:val="clear" w:color="auto" w:fill="auto"/>
          </w:tcPr>
          <w:p w14:paraId="0E27C2BD" w14:textId="76802B16" w:rsidR="00A77626" w:rsidRDefault="000101C0" w:rsidP="0011344B">
            <w:pPr>
              <w:pStyle w:val="Singleline"/>
            </w:pPr>
            <w:r>
              <w:t>Landowner</w:t>
            </w:r>
          </w:p>
        </w:tc>
      </w:tr>
      <w:tr w:rsidR="00A77626" w14:paraId="05AFCE93" w14:textId="77777777" w:rsidTr="00D8186D">
        <w:tc>
          <w:tcPr>
            <w:tcW w:w="4760" w:type="dxa"/>
            <w:shd w:val="clear" w:color="auto" w:fill="auto"/>
          </w:tcPr>
          <w:p w14:paraId="4337E871" w14:textId="77777777" w:rsidR="00A77626" w:rsidRDefault="00A77626" w:rsidP="0011344B">
            <w:pPr>
              <w:pStyle w:val="Singleline"/>
            </w:pPr>
          </w:p>
        </w:tc>
        <w:tc>
          <w:tcPr>
            <w:tcW w:w="4760" w:type="dxa"/>
            <w:shd w:val="clear" w:color="auto" w:fill="auto"/>
          </w:tcPr>
          <w:p w14:paraId="52DD0FB1" w14:textId="77777777" w:rsidR="00A77626" w:rsidRDefault="00A77626" w:rsidP="0011344B">
            <w:pPr>
              <w:pStyle w:val="Singleline"/>
            </w:pPr>
          </w:p>
        </w:tc>
      </w:tr>
      <w:tr w:rsidR="00A77626" w14:paraId="751886AC" w14:textId="77777777" w:rsidTr="00D8186D">
        <w:tc>
          <w:tcPr>
            <w:tcW w:w="4760" w:type="dxa"/>
            <w:shd w:val="clear" w:color="auto" w:fill="auto"/>
          </w:tcPr>
          <w:p w14:paraId="3EE63442" w14:textId="77777777" w:rsidR="00A77626" w:rsidRPr="00D8186D" w:rsidRDefault="00A77626" w:rsidP="0011344B">
            <w:pPr>
              <w:pStyle w:val="Singleline"/>
              <w:rPr>
                <w:b/>
              </w:rPr>
            </w:pPr>
            <w:r w:rsidRPr="00D8186D">
              <w:rPr>
                <w:b/>
              </w:rPr>
              <w:t>Interested Parties</w:t>
            </w:r>
          </w:p>
        </w:tc>
        <w:tc>
          <w:tcPr>
            <w:tcW w:w="4760" w:type="dxa"/>
            <w:shd w:val="clear" w:color="auto" w:fill="auto"/>
          </w:tcPr>
          <w:p w14:paraId="206F9E4C" w14:textId="77777777" w:rsidR="00A77626" w:rsidRDefault="00A77626" w:rsidP="0011344B">
            <w:pPr>
              <w:pStyle w:val="Singleline"/>
            </w:pPr>
          </w:p>
        </w:tc>
      </w:tr>
      <w:tr w:rsidR="00A77626" w14:paraId="08B0B6BB" w14:textId="77777777" w:rsidTr="00D8186D">
        <w:tc>
          <w:tcPr>
            <w:tcW w:w="4760" w:type="dxa"/>
            <w:shd w:val="clear" w:color="auto" w:fill="auto"/>
          </w:tcPr>
          <w:p w14:paraId="48F3761C" w14:textId="77777777" w:rsidR="00A77626" w:rsidRDefault="00A77626" w:rsidP="0011344B">
            <w:pPr>
              <w:pStyle w:val="Singleline"/>
            </w:pPr>
          </w:p>
        </w:tc>
        <w:tc>
          <w:tcPr>
            <w:tcW w:w="4760" w:type="dxa"/>
            <w:shd w:val="clear" w:color="auto" w:fill="auto"/>
          </w:tcPr>
          <w:p w14:paraId="3F06F34D" w14:textId="77777777" w:rsidR="00A77626" w:rsidRDefault="00A77626" w:rsidP="0011344B">
            <w:pPr>
              <w:pStyle w:val="Singleline"/>
            </w:pPr>
          </w:p>
        </w:tc>
      </w:tr>
      <w:tr w:rsidR="00A77626" w14:paraId="1CE8E1E8" w14:textId="77777777" w:rsidTr="00D8186D">
        <w:tc>
          <w:tcPr>
            <w:tcW w:w="4760" w:type="dxa"/>
            <w:shd w:val="clear" w:color="auto" w:fill="auto"/>
          </w:tcPr>
          <w:p w14:paraId="7E5ECAAB" w14:textId="63F1E032" w:rsidR="00A77626" w:rsidRDefault="000101C0" w:rsidP="0011344B">
            <w:pPr>
              <w:pStyle w:val="Singleline"/>
            </w:pPr>
            <w:r>
              <w:t>Peter Gallagher</w:t>
            </w:r>
          </w:p>
        </w:tc>
        <w:tc>
          <w:tcPr>
            <w:tcW w:w="4760" w:type="dxa"/>
            <w:shd w:val="clear" w:color="auto" w:fill="auto"/>
          </w:tcPr>
          <w:p w14:paraId="1591FECE" w14:textId="763853EF" w:rsidR="00A77626" w:rsidRDefault="00977592" w:rsidP="0011344B">
            <w:pPr>
              <w:pStyle w:val="Singleline"/>
            </w:pPr>
            <w:r>
              <w:t>Ramblers</w:t>
            </w:r>
          </w:p>
        </w:tc>
      </w:tr>
      <w:tr w:rsidR="00A77626" w14:paraId="7FD00F1D" w14:textId="77777777" w:rsidTr="00D8186D">
        <w:tc>
          <w:tcPr>
            <w:tcW w:w="4760" w:type="dxa"/>
            <w:shd w:val="clear" w:color="auto" w:fill="auto"/>
          </w:tcPr>
          <w:p w14:paraId="2D2F362F" w14:textId="77777777" w:rsidR="00A77626" w:rsidRDefault="00A77626" w:rsidP="0011344B">
            <w:pPr>
              <w:pStyle w:val="Singleline"/>
            </w:pPr>
          </w:p>
        </w:tc>
        <w:tc>
          <w:tcPr>
            <w:tcW w:w="4760" w:type="dxa"/>
            <w:shd w:val="clear" w:color="auto" w:fill="auto"/>
          </w:tcPr>
          <w:p w14:paraId="073E65B2" w14:textId="77777777" w:rsidR="00A77626" w:rsidRDefault="00A77626" w:rsidP="0011344B">
            <w:pPr>
              <w:pStyle w:val="Singleline"/>
            </w:pPr>
          </w:p>
        </w:tc>
      </w:tr>
    </w:tbl>
    <w:p w14:paraId="6BE0C73D" w14:textId="77777777" w:rsidR="00A77626" w:rsidRDefault="00A77626" w:rsidP="00A77626">
      <w:pPr>
        <w:pStyle w:val="Style1"/>
        <w:numPr>
          <w:ilvl w:val="0"/>
          <w:numId w:val="0"/>
        </w:numPr>
      </w:pPr>
    </w:p>
    <w:p w14:paraId="0946AFA2" w14:textId="77CC8FF2" w:rsidR="00A56B24" w:rsidRDefault="00A77626" w:rsidP="00D33C55">
      <w:pPr>
        <w:pStyle w:val="Long1"/>
      </w:pPr>
      <w:r>
        <w:br w:type="page"/>
      </w:r>
      <w:r>
        <w:lastRenderedPageBreak/>
        <w:t>documents</w:t>
      </w:r>
    </w:p>
    <w:p w14:paraId="7DBB3CA8" w14:textId="57EC2366" w:rsidR="00A56B24" w:rsidRDefault="00BD7ED6" w:rsidP="00BD7ED6">
      <w:pPr>
        <w:pStyle w:val="Style1"/>
        <w:numPr>
          <w:ilvl w:val="0"/>
          <w:numId w:val="0"/>
        </w:numPr>
        <w:ind w:left="432" w:hanging="432"/>
      </w:pPr>
      <w:r>
        <w:t xml:space="preserve">1. </w:t>
      </w:r>
      <w:r w:rsidR="00481636">
        <w:t xml:space="preserve"> </w:t>
      </w:r>
      <w:r w:rsidR="00117DB2">
        <w:t xml:space="preserve"> </w:t>
      </w:r>
      <w:r w:rsidR="00442075">
        <w:t>Statement of Grounds and Statement of Case</w:t>
      </w:r>
      <w:r w:rsidR="005A35D6">
        <w:t xml:space="preserve"> of WC, with 36 appendices.</w:t>
      </w:r>
    </w:p>
    <w:p w14:paraId="3099D18F" w14:textId="1916F58C" w:rsidR="005A35D6" w:rsidRDefault="005A35D6" w:rsidP="00BD7ED6">
      <w:pPr>
        <w:pStyle w:val="Style1"/>
        <w:numPr>
          <w:ilvl w:val="0"/>
          <w:numId w:val="0"/>
        </w:numPr>
        <w:ind w:left="432" w:hanging="432"/>
      </w:pPr>
      <w:r>
        <w:t xml:space="preserve">2. </w:t>
      </w:r>
      <w:r w:rsidR="00117DB2">
        <w:t xml:space="preserve"> </w:t>
      </w:r>
      <w:r w:rsidR="00481636">
        <w:t xml:space="preserve"> </w:t>
      </w:r>
      <w:r>
        <w:t>Proof of Evidence of Janice Green, WC</w:t>
      </w:r>
      <w:r w:rsidR="0021357E">
        <w:t xml:space="preserve"> (and summary).</w:t>
      </w:r>
    </w:p>
    <w:p w14:paraId="6FAB2521" w14:textId="4298FFE5" w:rsidR="0021357E" w:rsidRDefault="0021357E" w:rsidP="00BD7ED6">
      <w:pPr>
        <w:pStyle w:val="Style1"/>
        <w:numPr>
          <w:ilvl w:val="0"/>
          <w:numId w:val="0"/>
        </w:numPr>
        <w:ind w:left="432" w:hanging="432"/>
      </w:pPr>
      <w:r>
        <w:t xml:space="preserve">3. </w:t>
      </w:r>
      <w:r w:rsidR="00481636">
        <w:t xml:space="preserve"> </w:t>
      </w:r>
      <w:r w:rsidR="00117DB2">
        <w:t xml:space="preserve"> </w:t>
      </w:r>
      <w:r>
        <w:t>Statement of case on behalf of Alvin Lindley.</w:t>
      </w:r>
    </w:p>
    <w:p w14:paraId="354344AF" w14:textId="029DC4D1" w:rsidR="0021357E" w:rsidRDefault="0021357E" w:rsidP="00BD7ED6">
      <w:pPr>
        <w:pStyle w:val="Style1"/>
        <w:numPr>
          <w:ilvl w:val="0"/>
          <w:numId w:val="0"/>
        </w:numPr>
        <w:ind w:left="432" w:hanging="432"/>
      </w:pPr>
      <w:r>
        <w:t xml:space="preserve">4. </w:t>
      </w:r>
      <w:r w:rsidR="00481636">
        <w:t xml:space="preserve"> </w:t>
      </w:r>
      <w:r w:rsidR="00117DB2">
        <w:t xml:space="preserve"> </w:t>
      </w:r>
      <w:r w:rsidR="00CD72F7">
        <w:t xml:space="preserve">Statement (Proof of Evidence) of Alvin </w:t>
      </w:r>
      <w:r w:rsidR="00D36E32">
        <w:t>Li</w:t>
      </w:r>
      <w:r w:rsidR="00CD72F7">
        <w:t>ndley.</w:t>
      </w:r>
    </w:p>
    <w:p w14:paraId="3A16C8AE" w14:textId="79944A7B" w:rsidR="00CD72F7" w:rsidRDefault="00CD72F7" w:rsidP="00BD7ED6">
      <w:pPr>
        <w:pStyle w:val="Style1"/>
        <w:numPr>
          <w:ilvl w:val="0"/>
          <w:numId w:val="0"/>
        </w:numPr>
        <w:ind w:left="432" w:hanging="432"/>
      </w:pPr>
      <w:r>
        <w:t xml:space="preserve">5. </w:t>
      </w:r>
      <w:r w:rsidR="00481636">
        <w:t xml:space="preserve"> </w:t>
      </w:r>
      <w:r w:rsidR="00117DB2">
        <w:t xml:space="preserve"> </w:t>
      </w:r>
      <w:r w:rsidR="00C40BEF">
        <w:t>Statement of Meryl Haynes.</w:t>
      </w:r>
    </w:p>
    <w:p w14:paraId="241863E0" w14:textId="48FA589B" w:rsidR="00C40BEF" w:rsidRDefault="00C40BEF" w:rsidP="00BD7ED6">
      <w:pPr>
        <w:pStyle w:val="Style1"/>
        <w:numPr>
          <w:ilvl w:val="0"/>
          <w:numId w:val="0"/>
        </w:numPr>
        <w:ind w:left="432" w:hanging="432"/>
      </w:pPr>
      <w:r>
        <w:t xml:space="preserve">6. </w:t>
      </w:r>
      <w:r w:rsidR="00481636">
        <w:t xml:space="preserve"> </w:t>
      </w:r>
      <w:r w:rsidR="00117DB2">
        <w:t xml:space="preserve"> </w:t>
      </w:r>
      <w:r>
        <w:t xml:space="preserve">Statement of </w:t>
      </w:r>
      <w:r w:rsidR="00E76F53">
        <w:t>L</w:t>
      </w:r>
      <w:r>
        <w:t xml:space="preserve">inda </w:t>
      </w:r>
      <w:r w:rsidR="00E76F53">
        <w:t>C</w:t>
      </w:r>
      <w:r>
        <w:t>lem</w:t>
      </w:r>
      <w:r w:rsidR="00E76F53">
        <w:t>ents-</w:t>
      </w:r>
      <w:proofErr w:type="spellStart"/>
      <w:r w:rsidR="00E76F53">
        <w:t>Jewery</w:t>
      </w:r>
      <w:proofErr w:type="spellEnd"/>
      <w:r w:rsidR="00E76F53">
        <w:t xml:space="preserve">. </w:t>
      </w:r>
    </w:p>
    <w:p w14:paraId="18182131" w14:textId="21C6D33F" w:rsidR="00E76F53" w:rsidRDefault="00E76F53" w:rsidP="00BD7ED6">
      <w:pPr>
        <w:pStyle w:val="Style1"/>
        <w:numPr>
          <w:ilvl w:val="0"/>
          <w:numId w:val="0"/>
        </w:numPr>
        <w:ind w:left="432" w:hanging="432"/>
      </w:pPr>
      <w:r>
        <w:t xml:space="preserve">7. </w:t>
      </w:r>
      <w:r w:rsidR="00481636">
        <w:t xml:space="preserve"> </w:t>
      </w:r>
      <w:r w:rsidR="00117DB2">
        <w:t xml:space="preserve"> </w:t>
      </w:r>
      <w:r>
        <w:t xml:space="preserve">Statement of David </w:t>
      </w:r>
      <w:proofErr w:type="spellStart"/>
      <w:r>
        <w:t>Wingrove</w:t>
      </w:r>
      <w:proofErr w:type="spellEnd"/>
      <w:r w:rsidR="00B476FE">
        <w:t>, AKPC.</w:t>
      </w:r>
    </w:p>
    <w:p w14:paraId="62FF5A44" w14:textId="63A2D27B" w:rsidR="00B476FE" w:rsidRDefault="00B476FE" w:rsidP="00BD7ED6">
      <w:pPr>
        <w:pStyle w:val="Style1"/>
        <w:numPr>
          <w:ilvl w:val="0"/>
          <w:numId w:val="0"/>
        </w:numPr>
        <w:ind w:left="432" w:hanging="432"/>
      </w:pPr>
      <w:r>
        <w:t xml:space="preserve">8. </w:t>
      </w:r>
      <w:r w:rsidR="00481636">
        <w:t xml:space="preserve"> </w:t>
      </w:r>
      <w:r w:rsidR="00117DB2">
        <w:t xml:space="preserve"> </w:t>
      </w:r>
      <w:r>
        <w:t>Statement of Mike Seymour.</w:t>
      </w:r>
    </w:p>
    <w:p w14:paraId="38501F58" w14:textId="7871942B" w:rsidR="00B476FE" w:rsidRDefault="00B476FE" w:rsidP="00BD7ED6">
      <w:pPr>
        <w:pStyle w:val="Style1"/>
        <w:numPr>
          <w:ilvl w:val="0"/>
          <w:numId w:val="0"/>
        </w:numPr>
        <w:ind w:left="432" w:hanging="432"/>
      </w:pPr>
      <w:r>
        <w:t xml:space="preserve">9. </w:t>
      </w:r>
      <w:r w:rsidR="00481636">
        <w:t xml:space="preserve"> </w:t>
      </w:r>
      <w:r w:rsidR="00117DB2">
        <w:t xml:space="preserve"> </w:t>
      </w:r>
      <w:r w:rsidR="00C610A7">
        <w:t>Opening Statement, WC.</w:t>
      </w:r>
    </w:p>
    <w:p w14:paraId="006D6D11" w14:textId="384E2D82" w:rsidR="00C610A7" w:rsidRDefault="00C610A7" w:rsidP="00BD7ED6">
      <w:pPr>
        <w:pStyle w:val="Style1"/>
        <w:numPr>
          <w:ilvl w:val="0"/>
          <w:numId w:val="0"/>
        </w:numPr>
        <w:ind w:left="432" w:hanging="432"/>
      </w:pPr>
      <w:r>
        <w:t>10.</w:t>
      </w:r>
      <w:r w:rsidR="00117DB2">
        <w:t xml:space="preserve"> </w:t>
      </w:r>
      <w:r w:rsidR="00386BD1">
        <w:t>Closing Statement</w:t>
      </w:r>
      <w:r w:rsidR="005E2F4A">
        <w:t>, WC.</w:t>
      </w:r>
    </w:p>
    <w:p w14:paraId="4555DE3B" w14:textId="2A349FAE" w:rsidR="005E2F4A" w:rsidRDefault="005E2F4A" w:rsidP="00BD7ED6">
      <w:pPr>
        <w:pStyle w:val="Style1"/>
        <w:numPr>
          <w:ilvl w:val="0"/>
          <w:numId w:val="0"/>
        </w:numPr>
        <w:ind w:left="432" w:hanging="432"/>
      </w:pPr>
      <w:r>
        <w:t>11.</w:t>
      </w:r>
      <w:r w:rsidR="00117DB2">
        <w:t xml:space="preserve"> </w:t>
      </w:r>
      <w:r>
        <w:t xml:space="preserve">Closing Statement on behalf of the </w:t>
      </w:r>
      <w:r w:rsidR="00481636">
        <w:t>landowner.</w:t>
      </w:r>
    </w:p>
    <w:p w14:paraId="0871120B" w14:textId="754217C7" w:rsidR="00481636" w:rsidRPr="00A56B24" w:rsidRDefault="00481636" w:rsidP="004B7DBA">
      <w:pPr>
        <w:pStyle w:val="Style1"/>
        <w:numPr>
          <w:ilvl w:val="0"/>
          <w:numId w:val="0"/>
        </w:numPr>
      </w:pPr>
    </w:p>
    <w:p w14:paraId="5A441BC6" w14:textId="14DFF9B2" w:rsidR="00A77626" w:rsidRPr="00A77626" w:rsidRDefault="001F5C18" w:rsidP="00D33C55">
      <w:pPr>
        <w:pStyle w:val="Long1"/>
      </w:pPr>
      <w:r>
        <w:br w:type="page"/>
      </w:r>
      <w:r w:rsidR="00812914">
        <w:rPr>
          <w:noProof/>
        </w:rPr>
        <w:lastRenderedPageBreak/>
        <w:drawing>
          <wp:inline distT="0" distB="0" distL="0" distR="0" wp14:anchorId="7B831558" wp14:editId="2D78F872">
            <wp:extent cx="6521450" cy="8426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1450" cy="8426450"/>
                    </a:xfrm>
                    <a:prstGeom prst="rect">
                      <a:avLst/>
                    </a:prstGeom>
                    <a:noFill/>
                    <a:ln>
                      <a:noFill/>
                    </a:ln>
                  </pic:spPr>
                </pic:pic>
              </a:graphicData>
            </a:graphic>
          </wp:inline>
        </w:drawing>
      </w:r>
    </w:p>
    <w:sectPr w:rsidR="00A77626" w:rsidRPr="00A77626"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B66D" w14:textId="77777777" w:rsidR="007F5A4A" w:rsidRDefault="007F5A4A" w:rsidP="00F62916">
      <w:r>
        <w:separator/>
      </w:r>
    </w:p>
  </w:endnote>
  <w:endnote w:type="continuationSeparator" w:id="0">
    <w:p w14:paraId="60035863" w14:textId="77777777" w:rsidR="007F5A4A" w:rsidRDefault="007F5A4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FF77"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330F4"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7356" w14:textId="422994E2" w:rsidR="003E54CC" w:rsidRDefault="0081291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99183A" wp14:editId="43FC53D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CB6F"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90F6C55" w14:textId="77777777" w:rsidR="003E54CC" w:rsidRDefault="00EA4294" w:rsidP="008A03E3">
    <w:pPr>
      <w:pStyle w:val="Noindent"/>
    </w:pPr>
    <w:r w:rsidRPr="00451EE4">
      <w:rPr>
        <w:rStyle w:val="PageNumber"/>
        <w:sz w:val="16"/>
        <w:szCs w:val="16"/>
      </w:rPr>
      <w:t>www.</w:t>
    </w:r>
    <w:r>
      <w:rPr>
        <w:rStyle w:val="PageNumber"/>
        <w:sz w:val="16"/>
        <w:szCs w:val="16"/>
      </w:rPr>
      <w:t>gov.uk/guidance/object-to-a-public-right-of-way-order</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E6DF" w14:textId="250085CD" w:rsidR="003E54CC" w:rsidRDefault="00812914" w:rsidP="004D682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3432F81" wp14:editId="1E00EFE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BE9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A5DCF1A" w14:textId="77777777" w:rsidR="003E54CC" w:rsidRPr="00451EE4" w:rsidRDefault="00EA4294">
    <w:pPr>
      <w:pStyle w:val="Footer"/>
      <w:ind w:right="-52"/>
      <w:rPr>
        <w:sz w:val="16"/>
        <w:szCs w:val="16"/>
      </w:rPr>
    </w:pPr>
    <w:r w:rsidRPr="00451EE4">
      <w:rPr>
        <w:rStyle w:val="PageNumber"/>
        <w:sz w:val="16"/>
        <w:szCs w:val="16"/>
      </w:rPr>
      <w:t>www.</w:t>
    </w:r>
    <w:r>
      <w:rPr>
        <w:rStyle w:val="PageNumber"/>
        <w:sz w:val="16"/>
        <w:szCs w:val="16"/>
      </w:rPr>
      <w:t>gov.uk/guidance/object-to-a-public-right-of-way-order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5BC0" w14:textId="77777777" w:rsidR="007F5A4A" w:rsidRDefault="007F5A4A" w:rsidP="00F62916">
      <w:r>
        <w:separator/>
      </w:r>
    </w:p>
  </w:footnote>
  <w:footnote w:type="continuationSeparator" w:id="0">
    <w:p w14:paraId="218040D8" w14:textId="77777777" w:rsidR="007F5A4A" w:rsidRDefault="007F5A4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2BCF6B57" w14:textId="77777777">
      <w:tc>
        <w:tcPr>
          <w:tcW w:w="9520" w:type="dxa"/>
        </w:tcPr>
        <w:p w14:paraId="0A8BAF44" w14:textId="784FC0E2" w:rsidR="003E54CC" w:rsidRDefault="004D6820">
          <w:pPr>
            <w:pStyle w:val="Footer"/>
          </w:pPr>
          <w:r>
            <w:t xml:space="preserve">Order Decision </w:t>
          </w:r>
          <w:r w:rsidR="001726A5">
            <w:t>ROW</w:t>
          </w:r>
          <w:r>
            <w:t>/</w:t>
          </w:r>
          <w:r w:rsidR="00243C92">
            <w:t>32</w:t>
          </w:r>
          <w:r w:rsidR="00216F14">
            <w:t>45937</w:t>
          </w:r>
        </w:p>
      </w:tc>
    </w:tr>
  </w:tbl>
  <w:p w14:paraId="4F55C5D1" w14:textId="0BF8F332" w:rsidR="003E54CC" w:rsidRDefault="00812914" w:rsidP="00087477">
    <w:pPr>
      <w:pStyle w:val="Footer"/>
      <w:spacing w:after="180"/>
    </w:pPr>
    <w:r>
      <w:rPr>
        <w:noProof/>
      </w:rPr>
      <mc:AlternateContent>
        <mc:Choice Requires="wps">
          <w:drawing>
            <wp:anchor distT="0" distB="0" distL="114300" distR="114300" simplePos="0" relativeHeight="251657728" behindDoc="0" locked="0" layoutInCell="1" allowOverlap="1" wp14:anchorId="1382FFB9" wp14:editId="460D6C1A">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936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A305"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69D25F4"/>
    <w:multiLevelType w:val="hybridMultilevel"/>
    <w:tmpl w:val="CA221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5FAA728"/>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4"/>
  </w:num>
  <w:num w:numId="10">
    <w:abstractNumId w:val="2"/>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335F"/>
    <w:rsid w:val="000101C0"/>
    <w:rsid w:val="000133A3"/>
    <w:rsid w:val="000164B0"/>
    <w:rsid w:val="00030F86"/>
    <w:rsid w:val="000375C8"/>
    <w:rsid w:val="00046145"/>
    <w:rsid w:val="0004625F"/>
    <w:rsid w:val="0004785F"/>
    <w:rsid w:val="00053135"/>
    <w:rsid w:val="0005459F"/>
    <w:rsid w:val="000566AF"/>
    <w:rsid w:val="00061203"/>
    <w:rsid w:val="00077358"/>
    <w:rsid w:val="0008260D"/>
    <w:rsid w:val="000843B3"/>
    <w:rsid w:val="00087477"/>
    <w:rsid w:val="00087DEC"/>
    <w:rsid w:val="000A0822"/>
    <w:rsid w:val="000A3ADA"/>
    <w:rsid w:val="000A4AEB"/>
    <w:rsid w:val="000A64AE"/>
    <w:rsid w:val="000B0923"/>
    <w:rsid w:val="000B3609"/>
    <w:rsid w:val="000C3F13"/>
    <w:rsid w:val="000C698E"/>
    <w:rsid w:val="000D0673"/>
    <w:rsid w:val="000D55CD"/>
    <w:rsid w:val="000D6568"/>
    <w:rsid w:val="000E13A7"/>
    <w:rsid w:val="000F16F4"/>
    <w:rsid w:val="000F6AC2"/>
    <w:rsid w:val="001000CB"/>
    <w:rsid w:val="001029BA"/>
    <w:rsid w:val="00104D93"/>
    <w:rsid w:val="00112D6A"/>
    <w:rsid w:val="0011344B"/>
    <w:rsid w:val="00117DB2"/>
    <w:rsid w:val="0012040A"/>
    <w:rsid w:val="001210FC"/>
    <w:rsid w:val="001238D4"/>
    <w:rsid w:val="00124095"/>
    <w:rsid w:val="0015106C"/>
    <w:rsid w:val="00152284"/>
    <w:rsid w:val="00152C92"/>
    <w:rsid w:val="001558DE"/>
    <w:rsid w:val="001726A5"/>
    <w:rsid w:val="001847B1"/>
    <w:rsid w:val="00197B5B"/>
    <w:rsid w:val="001B03B2"/>
    <w:rsid w:val="001B3DD2"/>
    <w:rsid w:val="001B55C3"/>
    <w:rsid w:val="001C62C1"/>
    <w:rsid w:val="001C72F4"/>
    <w:rsid w:val="001F5990"/>
    <w:rsid w:val="001F5C18"/>
    <w:rsid w:val="002031E9"/>
    <w:rsid w:val="00207816"/>
    <w:rsid w:val="00211D03"/>
    <w:rsid w:val="00212C8F"/>
    <w:rsid w:val="0021357E"/>
    <w:rsid w:val="002149C0"/>
    <w:rsid w:val="00216F14"/>
    <w:rsid w:val="00224E20"/>
    <w:rsid w:val="002251DD"/>
    <w:rsid w:val="00237164"/>
    <w:rsid w:val="00241A41"/>
    <w:rsid w:val="00242A5E"/>
    <w:rsid w:val="00242C90"/>
    <w:rsid w:val="00243C92"/>
    <w:rsid w:val="002501F2"/>
    <w:rsid w:val="00252446"/>
    <w:rsid w:val="00271C9C"/>
    <w:rsid w:val="00281021"/>
    <w:rsid w:val="002819AB"/>
    <w:rsid w:val="00292CE3"/>
    <w:rsid w:val="00295B84"/>
    <w:rsid w:val="002A0E6A"/>
    <w:rsid w:val="002A3528"/>
    <w:rsid w:val="002A3BE7"/>
    <w:rsid w:val="002A4720"/>
    <w:rsid w:val="002A67AC"/>
    <w:rsid w:val="002B5A3A"/>
    <w:rsid w:val="002C068A"/>
    <w:rsid w:val="002C19AC"/>
    <w:rsid w:val="002D1DC7"/>
    <w:rsid w:val="002E6D7C"/>
    <w:rsid w:val="002F64A3"/>
    <w:rsid w:val="003002C1"/>
    <w:rsid w:val="00301D27"/>
    <w:rsid w:val="0030370E"/>
    <w:rsid w:val="0030500E"/>
    <w:rsid w:val="003206FD"/>
    <w:rsid w:val="0032412D"/>
    <w:rsid w:val="003266B1"/>
    <w:rsid w:val="00332FEE"/>
    <w:rsid w:val="0034198D"/>
    <w:rsid w:val="00343A1F"/>
    <w:rsid w:val="003440A4"/>
    <w:rsid w:val="00344294"/>
    <w:rsid w:val="00344CD1"/>
    <w:rsid w:val="00360664"/>
    <w:rsid w:val="00361890"/>
    <w:rsid w:val="003632FD"/>
    <w:rsid w:val="00364E17"/>
    <w:rsid w:val="003705D2"/>
    <w:rsid w:val="00375C0B"/>
    <w:rsid w:val="00381F31"/>
    <w:rsid w:val="00386BD1"/>
    <w:rsid w:val="003941CF"/>
    <w:rsid w:val="00394600"/>
    <w:rsid w:val="003A7E6A"/>
    <w:rsid w:val="003B2FE6"/>
    <w:rsid w:val="003C2CC3"/>
    <w:rsid w:val="003C328F"/>
    <w:rsid w:val="003D13A4"/>
    <w:rsid w:val="003E3F2A"/>
    <w:rsid w:val="003E54CC"/>
    <w:rsid w:val="003E624A"/>
    <w:rsid w:val="003F3533"/>
    <w:rsid w:val="003F529C"/>
    <w:rsid w:val="00406AD8"/>
    <w:rsid w:val="004071A4"/>
    <w:rsid w:val="00412BBA"/>
    <w:rsid w:val="004156F0"/>
    <w:rsid w:val="00434F51"/>
    <w:rsid w:val="00442075"/>
    <w:rsid w:val="004456B0"/>
    <w:rsid w:val="00445C63"/>
    <w:rsid w:val="004474DE"/>
    <w:rsid w:val="00451EE4"/>
    <w:rsid w:val="00453C95"/>
    <w:rsid w:val="00453E15"/>
    <w:rsid w:val="0045731E"/>
    <w:rsid w:val="00465179"/>
    <w:rsid w:val="00474D3B"/>
    <w:rsid w:val="0047718B"/>
    <w:rsid w:val="0048041A"/>
    <w:rsid w:val="00480A45"/>
    <w:rsid w:val="00481636"/>
    <w:rsid w:val="00483EF6"/>
    <w:rsid w:val="00493623"/>
    <w:rsid w:val="00493AA0"/>
    <w:rsid w:val="004976CF"/>
    <w:rsid w:val="004A14EE"/>
    <w:rsid w:val="004A2EB8"/>
    <w:rsid w:val="004A554A"/>
    <w:rsid w:val="004B7DBA"/>
    <w:rsid w:val="004C07CB"/>
    <w:rsid w:val="004C57FD"/>
    <w:rsid w:val="004D15F0"/>
    <w:rsid w:val="004D6820"/>
    <w:rsid w:val="004E5C9F"/>
    <w:rsid w:val="004E6091"/>
    <w:rsid w:val="004F3BF4"/>
    <w:rsid w:val="004F7EB7"/>
    <w:rsid w:val="00500A17"/>
    <w:rsid w:val="005048C6"/>
    <w:rsid w:val="00506851"/>
    <w:rsid w:val="00517602"/>
    <w:rsid w:val="005178EB"/>
    <w:rsid w:val="0052347F"/>
    <w:rsid w:val="00532A4D"/>
    <w:rsid w:val="00541734"/>
    <w:rsid w:val="00542B4C"/>
    <w:rsid w:val="00546949"/>
    <w:rsid w:val="00547236"/>
    <w:rsid w:val="00552DBC"/>
    <w:rsid w:val="00561E69"/>
    <w:rsid w:val="0056634F"/>
    <w:rsid w:val="0057051F"/>
    <w:rsid w:val="005718AF"/>
    <w:rsid w:val="00571FD4"/>
    <w:rsid w:val="00572879"/>
    <w:rsid w:val="00574940"/>
    <w:rsid w:val="0058430C"/>
    <w:rsid w:val="005909F4"/>
    <w:rsid w:val="005A2EE2"/>
    <w:rsid w:val="005A35D6"/>
    <w:rsid w:val="005A3A64"/>
    <w:rsid w:val="005C4EAB"/>
    <w:rsid w:val="005D3B53"/>
    <w:rsid w:val="005D739E"/>
    <w:rsid w:val="005E2F4A"/>
    <w:rsid w:val="005E34E1"/>
    <w:rsid w:val="005E34FF"/>
    <w:rsid w:val="005E3542"/>
    <w:rsid w:val="005E51E6"/>
    <w:rsid w:val="005E52F9"/>
    <w:rsid w:val="005F1261"/>
    <w:rsid w:val="005F2CC1"/>
    <w:rsid w:val="005F6363"/>
    <w:rsid w:val="005F7AA6"/>
    <w:rsid w:val="00602315"/>
    <w:rsid w:val="00605E11"/>
    <w:rsid w:val="00614E46"/>
    <w:rsid w:val="00615462"/>
    <w:rsid w:val="006319E6"/>
    <w:rsid w:val="0063373D"/>
    <w:rsid w:val="0065719B"/>
    <w:rsid w:val="00661CEB"/>
    <w:rsid w:val="0066322F"/>
    <w:rsid w:val="00681DAC"/>
    <w:rsid w:val="00683417"/>
    <w:rsid w:val="0069559D"/>
    <w:rsid w:val="00696368"/>
    <w:rsid w:val="006A1B41"/>
    <w:rsid w:val="006A7B8B"/>
    <w:rsid w:val="006B1284"/>
    <w:rsid w:val="006B313A"/>
    <w:rsid w:val="006B36D5"/>
    <w:rsid w:val="006C2128"/>
    <w:rsid w:val="006C53B5"/>
    <w:rsid w:val="006C5488"/>
    <w:rsid w:val="006D0299"/>
    <w:rsid w:val="006D2842"/>
    <w:rsid w:val="006D31A7"/>
    <w:rsid w:val="006D349B"/>
    <w:rsid w:val="006D461B"/>
    <w:rsid w:val="006D6B47"/>
    <w:rsid w:val="006E6899"/>
    <w:rsid w:val="006F4CF9"/>
    <w:rsid w:val="006F6496"/>
    <w:rsid w:val="00702041"/>
    <w:rsid w:val="00706E8F"/>
    <w:rsid w:val="007200B0"/>
    <w:rsid w:val="00726C47"/>
    <w:rsid w:val="00735721"/>
    <w:rsid w:val="007513A1"/>
    <w:rsid w:val="00751F35"/>
    <w:rsid w:val="00770186"/>
    <w:rsid w:val="00773CB7"/>
    <w:rsid w:val="00783C71"/>
    <w:rsid w:val="00785862"/>
    <w:rsid w:val="00792A0F"/>
    <w:rsid w:val="007A0537"/>
    <w:rsid w:val="007A3EFC"/>
    <w:rsid w:val="007B3FD9"/>
    <w:rsid w:val="007C1DBC"/>
    <w:rsid w:val="007C6C78"/>
    <w:rsid w:val="007D5FE8"/>
    <w:rsid w:val="007D65B4"/>
    <w:rsid w:val="007F1352"/>
    <w:rsid w:val="007F1456"/>
    <w:rsid w:val="007F59EB"/>
    <w:rsid w:val="007F5A4A"/>
    <w:rsid w:val="00801C96"/>
    <w:rsid w:val="008041D2"/>
    <w:rsid w:val="00804888"/>
    <w:rsid w:val="00812914"/>
    <w:rsid w:val="00827937"/>
    <w:rsid w:val="00831043"/>
    <w:rsid w:val="00834368"/>
    <w:rsid w:val="008411A4"/>
    <w:rsid w:val="00852289"/>
    <w:rsid w:val="00855A5E"/>
    <w:rsid w:val="00864563"/>
    <w:rsid w:val="008704F0"/>
    <w:rsid w:val="00875382"/>
    <w:rsid w:val="00876D43"/>
    <w:rsid w:val="00891278"/>
    <w:rsid w:val="00894A4E"/>
    <w:rsid w:val="008A03E3"/>
    <w:rsid w:val="008B07F8"/>
    <w:rsid w:val="008B53D9"/>
    <w:rsid w:val="008B7054"/>
    <w:rsid w:val="008C15A9"/>
    <w:rsid w:val="008C3F45"/>
    <w:rsid w:val="008C4C66"/>
    <w:rsid w:val="008C6FA3"/>
    <w:rsid w:val="008D43AE"/>
    <w:rsid w:val="008E359C"/>
    <w:rsid w:val="008E42B1"/>
    <w:rsid w:val="008F032F"/>
    <w:rsid w:val="00903A7E"/>
    <w:rsid w:val="009124CE"/>
    <w:rsid w:val="00912954"/>
    <w:rsid w:val="00921F34"/>
    <w:rsid w:val="0092304C"/>
    <w:rsid w:val="00923F06"/>
    <w:rsid w:val="00932661"/>
    <w:rsid w:val="00942049"/>
    <w:rsid w:val="009452A0"/>
    <w:rsid w:val="00950B30"/>
    <w:rsid w:val="00960B10"/>
    <w:rsid w:val="00962BB3"/>
    <w:rsid w:val="00965EB9"/>
    <w:rsid w:val="00977592"/>
    <w:rsid w:val="009841DA"/>
    <w:rsid w:val="009865A6"/>
    <w:rsid w:val="00990DD0"/>
    <w:rsid w:val="00996B70"/>
    <w:rsid w:val="0099745F"/>
    <w:rsid w:val="009979D4"/>
    <w:rsid w:val="009A64DC"/>
    <w:rsid w:val="009B3075"/>
    <w:rsid w:val="009B3C53"/>
    <w:rsid w:val="009B72ED"/>
    <w:rsid w:val="009B7BD4"/>
    <w:rsid w:val="009C2445"/>
    <w:rsid w:val="009C2C8C"/>
    <w:rsid w:val="009C6A62"/>
    <w:rsid w:val="009C6B83"/>
    <w:rsid w:val="009D4344"/>
    <w:rsid w:val="009D757E"/>
    <w:rsid w:val="009E1447"/>
    <w:rsid w:val="009E3BCC"/>
    <w:rsid w:val="009F2E6A"/>
    <w:rsid w:val="00A0062E"/>
    <w:rsid w:val="00A00FCD"/>
    <w:rsid w:val="00A04DD0"/>
    <w:rsid w:val="00A101CD"/>
    <w:rsid w:val="00A107D0"/>
    <w:rsid w:val="00A1212F"/>
    <w:rsid w:val="00A37E06"/>
    <w:rsid w:val="00A41F44"/>
    <w:rsid w:val="00A42679"/>
    <w:rsid w:val="00A5536C"/>
    <w:rsid w:val="00A56B24"/>
    <w:rsid w:val="00A60DB3"/>
    <w:rsid w:val="00A61F56"/>
    <w:rsid w:val="00A77626"/>
    <w:rsid w:val="00A863A7"/>
    <w:rsid w:val="00A86A9A"/>
    <w:rsid w:val="00AA609E"/>
    <w:rsid w:val="00AB276A"/>
    <w:rsid w:val="00AB6A05"/>
    <w:rsid w:val="00AB6ABF"/>
    <w:rsid w:val="00AD0E39"/>
    <w:rsid w:val="00AD2F56"/>
    <w:rsid w:val="00AD6921"/>
    <w:rsid w:val="00AE2EDB"/>
    <w:rsid w:val="00AE2FAA"/>
    <w:rsid w:val="00AF2AD4"/>
    <w:rsid w:val="00B00829"/>
    <w:rsid w:val="00B049F2"/>
    <w:rsid w:val="00B12BD0"/>
    <w:rsid w:val="00B32324"/>
    <w:rsid w:val="00B33CC3"/>
    <w:rsid w:val="00B345C9"/>
    <w:rsid w:val="00B34E5D"/>
    <w:rsid w:val="00B3684D"/>
    <w:rsid w:val="00B476FE"/>
    <w:rsid w:val="00B53F68"/>
    <w:rsid w:val="00B56990"/>
    <w:rsid w:val="00B60C52"/>
    <w:rsid w:val="00B61115"/>
    <w:rsid w:val="00B61A1F"/>
    <w:rsid w:val="00B61A59"/>
    <w:rsid w:val="00B77EC7"/>
    <w:rsid w:val="00B8232C"/>
    <w:rsid w:val="00B9233D"/>
    <w:rsid w:val="00BC3CA8"/>
    <w:rsid w:val="00BD09CD"/>
    <w:rsid w:val="00BD6995"/>
    <w:rsid w:val="00BD7ED6"/>
    <w:rsid w:val="00BE2D49"/>
    <w:rsid w:val="00BF031D"/>
    <w:rsid w:val="00BF06CD"/>
    <w:rsid w:val="00BF34D7"/>
    <w:rsid w:val="00C00E8A"/>
    <w:rsid w:val="00C04B74"/>
    <w:rsid w:val="00C11BD0"/>
    <w:rsid w:val="00C124B5"/>
    <w:rsid w:val="00C14AE8"/>
    <w:rsid w:val="00C14B4D"/>
    <w:rsid w:val="00C161E8"/>
    <w:rsid w:val="00C224A1"/>
    <w:rsid w:val="00C274BD"/>
    <w:rsid w:val="00C40BEF"/>
    <w:rsid w:val="00C40EA6"/>
    <w:rsid w:val="00C475CB"/>
    <w:rsid w:val="00C5275F"/>
    <w:rsid w:val="00C55445"/>
    <w:rsid w:val="00C573BE"/>
    <w:rsid w:val="00C57B84"/>
    <w:rsid w:val="00C610A7"/>
    <w:rsid w:val="00C62E1D"/>
    <w:rsid w:val="00C63B7B"/>
    <w:rsid w:val="00C71525"/>
    <w:rsid w:val="00C779AD"/>
    <w:rsid w:val="00C77AD0"/>
    <w:rsid w:val="00C8343C"/>
    <w:rsid w:val="00C85705"/>
    <w:rsid w:val="00C857CB"/>
    <w:rsid w:val="00C8740F"/>
    <w:rsid w:val="00CA33FE"/>
    <w:rsid w:val="00CB04BE"/>
    <w:rsid w:val="00CB0761"/>
    <w:rsid w:val="00CB512E"/>
    <w:rsid w:val="00CC1C38"/>
    <w:rsid w:val="00CC3BA5"/>
    <w:rsid w:val="00CC7E33"/>
    <w:rsid w:val="00CD72F7"/>
    <w:rsid w:val="00CE21C0"/>
    <w:rsid w:val="00CF13D5"/>
    <w:rsid w:val="00CF2183"/>
    <w:rsid w:val="00D1044A"/>
    <w:rsid w:val="00D125BE"/>
    <w:rsid w:val="00D22C98"/>
    <w:rsid w:val="00D25263"/>
    <w:rsid w:val="00D25568"/>
    <w:rsid w:val="00D33C55"/>
    <w:rsid w:val="00D347D1"/>
    <w:rsid w:val="00D354A3"/>
    <w:rsid w:val="00D36BE9"/>
    <w:rsid w:val="00D36E32"/>
    <w:rsid w:val="00D36F26"/>
    <w:rsid w:val="00D423EB"/>
    <w:rsid w:val="00D43806"/>
    <w:rsid w:val="00D533A2"/>
    <w:rsid w:val="00D555DA"/>
    <w:rsid w:val="00D61F60"/>
    <w:rsid w:val="00D73B49"/>
    <w:rsid w:val="00D74AFE"/>
    <w:rsid w:val="00D76949"/>
    <w:rsid w:val="00D803D3"/>
    <w:rsid w:val="00D8186D"/>
    <w:rsid w:val="00DA6E00"/>
    <w:rsid w:val="00DB7937"/>
    <w:rsid w:val="00DC367F"/>
    <w:rsid w:val="00DD282B"/>
    <w:rsid w:val="00DE01D2"/>
    <w:rsid w:val="00DE11AC"/>
    <w:rsid w:val="00DF07C1"/>
    <w:rsid w:val="00DF49DB"/>
    <w:rsid w:val="00E01052"/>
    <w:rsid w:val="00E05FD6"/>
    <w:rsid w:val="00E069E3"/>
    <w:rsid w:val="00E10714"/>
    <w:rsid w:val="00E11244"/>
    <w:rsid w:val="00E167EE"/>
    <w:rsid w:val="00E16CAE"/>
    <w:rsid w:val="00E213F5"/>
    <w:rsid w:val="00E2220A"/>
    <w:rsid w:val="00E27AF0"/>
    <w:rsid w:val="00E3449C"/>
    <w:rsid w:val="00E4193A"/>
    <w:rsid w:val="00E515DB"/>
    <w:rsid w:val="00E54F7C"/>
    <w:rsid w:val="00E664B8"/>
    <w:rsid w:val="00E674DD"/>
    <w:rsid w:val="00E67B22"/>
    <w:rsid w:val="00E753EA"/>
    <w:rsid w:val="00E76F53"/>
    <w:rsid w:val="00E81323"/>
    <w:rsid w:val="00EA406E"/>
    <w:rsid w:val="00EA4294"/>
    <w:rsid w:val="00EA43AC"/>
    <w:rsid w:val="00EA52D3"/>
    <w:rsid w:val="00EA620A"/>
    <w:rsid w:val="00EB2329"/>
    <w:rsid w:val="00EB6AAD"/>
    <w:rsid w:val="00ED3727"/>
    <w:rsid w:val="00ED3FF4"/>
    <w:rsid w:val="00EE0579"/>
    <w:rsid w:val="00EE1C1A"/>
    <w:rsid w:val="00EE49AD"/>
    <w:rsid w:val="00EE4ABC"/>
    <w:rsid w:val="00EE550A"/>
    <w:rsid w:val="00EF1E98"/>
    <w:rsid w:val="00EF3DF4"/>
    <w:rsid w:val="00EF5820"/>
    <w:rsid w:val="00F04F0D"/>
    <w:rsid w:val="00F149EA"/>
    <w:rsid w:val="00F2108E"/>
    <w:rsid w:val="00F21F3E"/>
    <w:rsid w:val="00F23915"/>
    <w:rsid w:val="00F248E0"/>
    <w:rsid w:val="00F31DD9"/>
    <w:rsid w:val="00F34701"/>
    <w:rsid w:val="00F41379"/>
    <w:rsid w:val="00F53BE1"/>
    <w:rsid w:val="00F55457"/>
    <w:rsid w:val="00F62916"/>
    <w:rsid w:val="00F63D9A"/>
    <w:rsid w:val="00F64159"/>
    <w:rsid w:val="00F653CC"/>
    <w:rsid w:val="00F81523"/>
    <w:rsid w:val="00F86999"/>
    <w:rsid w:val="00F90DEE"/>
    <w:rsid w:val="00F94203"/>
    <w:rsid w:val="00FA02D2"/>
    <w:rsid w:val="00FB194E"/>
    <w:rsid w:val="00FB743C"/>
    <w:rsid w:val="00FD307B"/>
    <w:rsid w:val="00FD5A20"/>
    <w:rsid w:val="00FD6008"/>
    <w:rsid w:val="00FE68E4"/>
    <w:rsid w:val="00FE7270"/>
    <w:rsid w:val="00FF34A3"/>
    <w:rsid w:val="00FF6FB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5A3F922"/>
  <w15:chartTrackingRefBased/>
  <w15:docId w15:val="{98E0EA83-121F-4C6E-A285-7D3FD2C2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6E475-D63C-4A04-BF29-EDF6F0D2FCA8}">
  <ds:schemaRefs>
    <ds:schemaRef ds:uri="http://schemas.microsoft.com/sharepoint/v3/contenttype/forms"/>
  </ds:schemaRefs>
</ds:datastoreItem>
</file>

<file path=customXml/itemProps2.xml><?xml version="1.0" encoding="utf-8"?>
<ds:datastoreItem xmlns:ds="http://schemas.openxmlformats.org/officeDocument/2006/customXml" ds:itemID="{F43E05A1-2E96-4612-8735-DEEAF4F52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5587-6A6A-427C-B2CF-68B36745B50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13268EF-37C9-40F3-A5B9-9A652E97A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Heading 9</vt:lpstr>
      <vt:lpstr>I held a public inquiry into this Order on    at   . I made an unaccompanied sit</vt:lpstr>
      <vt:lpstr>In writing this decision I have found it convenient to refer to points marked on</vt:lpstr>
      <vt:lpstr>The requirement of Section 53(3)(c)(i) of the Wildlife and Countryside Act 1981 </vt:lpstr>
      <vt:lpstr>All of the evidence in this case relates to usage of the route. In respect of th</vt:lpstr>
      <vt:lpstr>Common law also requires me to consider whether the use of the path and the acti</vt:lpstr>
      <vt:lpstr>Having regard to these and all other matters raised, I conclude that the Order s</vt:lpstr>
      <vt:lpstr>I confirm the Order.</vt:lpstr>
      <vt:lpstr/>
      <vt:lpstr>    Barney Grimshaw		</vt:lpstr>
      <vt:lpstr>    </vt:lpstr>
      <vt:lpstr/>
      <vt:lpstr>    </vt:lpstr>
    </vt:vector>
  </TitlesOfParts>
  <Company>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Baylis, Caroline</cp:lastModifiedBy>
  <cp:revision>2</cp:revision>
  <cp:lastPrinted>2021-12-08T14:37:00Z</cp:lastPrinted>
  <dcterms:created xsi:type="dcterms:W3CDTF">2021-12-16T10:26:00Z</dcterms:created>
  <dcterms:modified xsi:type="dcterms:W3CDTF">2021-12-16T10:26:00Z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