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59998" w14:textId="6A03FB8D" w:rsidR="00E651AF" w:rsidRDefault="00A4430C" w:rsidP="00E651AF">
      <w:pPr>
        <w:ind w:hanging="142"/>
        <w:rPr>
          <w:rFonts w:cs="Verdana"/>
          <w:szCs w:val="22"/>
        </w:rPr>
      </w:pPr>
      <w:r>
        <w:rPr>
          <w:rFonts w:cs="Verdana"/>
          <w:noProof/>
          <w:szCs w:val="22"/>
        </w:rPr>
        <w:drawing>
          <wp:inline distT="0" distB="0" distL="0" distR="0" wp14:anchorId="2BD59A40" wp14:editId="2BD59A41">
            <wp:extent cx="3971925" cy="40957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71925" cy="409575"/>
                    </a:xfrm>
                    <a:prstGeom prst="rect">
                      <a:avLst/>
                    </a:prstGeom>
                    <a:noFill/>
                    <a:ln>
                      <a:noFill/>
                    </a:ln>
                  </pic:spPr>
                </pic:pic>
              </a:graphicData>
            </a:graphic>
          </wp:inline>
        </w:drawing>
      </w:r>
    </w:p>
    <w:p w14:paraId="2BD59999" w14:textId="77777777" w:rsidR="00BD09CD" w:rsidRDefault="0087027D">
      <w:r>
        <w:t xml:space="preserve">                                                                              </w:t>
      </w:r>
    </w:p>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04625F" w:rsidRPr="000C3F13" w14:paraId="2BD5999B" w14:textId="77777777" w:rsidTr="00B4050B">
        <w:trPr>
          <w:cantSplit/>
          <w:trHeight w:val="659"/>
        </w:trPr>
        <w:tc>
          <w:tcPr>
            <w:tcW w:w="9356" w:type="dxa"/>
            <w:shd w:val="clear" w:color="auto" w:fill="auto"/>
          </w:tcPr>
          <w:p w14:paraId="2BD5999A" w14:textId="77777777" w:rsidR="0004625F" w:rsidRPr="00B4050B" w:rsidRDefault="00B4050B" w:rsidP="0069559D">
            <w:pPr>
              <w:spacing w:before="120"/>
              <w:ind w:left="-108" w:right="34"/>
              <w:rPr>
                <w:b/>
                <w:color w:val="000000"/>
                <w:sz w:val="40"/>
                <w:szCs w:val="40"/>
              </w:rPr>
            </w:pPr>
            <w:bookmarkStart w:id="0" w:name="bmkTable00"/>
            <w:bookmarkEnd w:id="0"/>
            <w:r>
              <w:rPr>
                <w:b/>
                <w:color w:val="000000"/>
                <w:sz w:val="40"/>
                <w:szCs w:val="40"/>
              </w:rPr>
              <w:t>Order Decision</w:t>
            </w:r>
          </w:p>
        </w:tc>
      </w:tr>
      <w:tr w:rsidR="0004625F" w:rsidRPr="000C3F13" w14:paraId="2BD5999D" w14:textId="77777777" w:rsidTr="00B4050B">
        <w:trPr>
          <w:cantSplit/>
          <w:trHeight w:val="425"/>
        </w:trPr>
        <w:tc>
          <w:tcPr>
            <w:tcW w:w="9356" w:type="dxa"/>
            <w:shd w:val="clear" w:color="auto" w:fill="auto"/>
            <w:vAlign w:val="center"/>
          </w:tcPr>
          <w:p w14:paraId="2BD5999C" w14:textId="759D5252" w:rsidR="0004625F" w:rsidRPr="00B4050B" w:rsidRDefault="00A11E1E" w:rsidP="00412C0E">
            <w:pPr>
              <w:spacing w:before="60"/>
              <w:ind w:left="-108" w:right="34"/>
              <w:rPr>
                <w:color w:val="000000"/>
                <w:szCs w:val="22"/>
              </w:rPr>
            </w:pPr>
            <w:r>
              <w:rPr>
                <w:color w:val="000000"/>
                <w:szCs w:val="22"/>
              </w:rPr>
              <w:t xml:space="preserve">Site visit </w:t>
            </w:r>
            <w:r w:rsidR="00181D21">
              <w:rPr>
                <w:color w:val="000000"/>
                <w:szCs w:val="22"/>
              </w:rPr>
              <w:t xml:space="preserve">on </w:t>
            </w:r>
            <w:r w:rsidR="006A3B02">
              <w:rPr>
                <w:color w:val="000000"/>
                <w:szCs w:val="22"/>
              </w:rPr>
              <w:t>2</w:t>
            </w:r>
            <w:r w:rsidR="00D3276E">
              <w:rPr>
                <w:color w:val="000000"/>
                <w:szCs w:val="22"/>
              </w:rPr>
              <w:t>2</w:t>
            </w:r>
            <w:r w:rsidR="006A3B02">
              <w:rPr>
                <w:color w:val="000000"/>
                <w:szCs w:val="22"/>
              </w:rPr>
              <w:t xml:space="preserve"> Ju</w:t>
            </w:r>
            <w:r w:rsidR="00D3276E">
              <w:rPr>
                <w:color w:val="000000"/>
                <w:szCs w:val="22"/>
              </w:rPr>
              <w:t>ne</w:t>
            </w:r>
            <w:r w:rsidR="00662CBB">
              <w:rPr>
                <w:color w:val="000000"/>
                <w:szCs w:val="22"/>
              </w:rPr>
              <w:t xml:space="preserve"> 20</w:t>
            </w:r>
            <w:r w:rsidR="006A3B02">
              <w:rPr>
                <w:color w:val="000000"/>
                <w:szCs w:val="22"/>
              </w:rPr>
              <w:t>2</w:t>
            </w:r>
            <w:r w:rsidR="00D3276E">
              <w:rPr>
                <w:color w:val="000000"/>
                <w:szCs w:val="22"/>
              </w:rPr>
              <w:t>1</w:t>
            </w:r>
          </w:p>
        </w:tc>
      </w:tr>
      <w:tr w:rsidR="0004625F" w:rsidRPr="00361890" w14:paraId="2BD5999F" w14:textId="77777777" w:rsidTr="00B4050B">
        <w:trPr>
          <w:cantSplit/>
          <w:trHeight w:val="374"/>
        </w:trPr>
        <w:tc>
          <w:tcPr>
            <w:tcW w:w="9356" w:type="dxa"/>
            <w:shd w:val="clear" w:color="auto" w:fill="auto"/>
          </w:tcPr>
          <w:p w14:paraId="2BD5999E" w14:textId="77777777" w:rsidR="0004625F" w:rsidRPr="00B4050B" w:rsidRDefault="00B4050B" w:rsidP="009B50E3">
            <w:pPr>
              <w:spacing w:before="180"/>
              <w:ind w:left="-108" w:right="34"/>
              <w:rPr>
                <w:b/>
                <w:color w:val="000000"/>
                <w:sz w:val="16"/>
                <w:szCs w:val="22"/>
              </w:rPr>
            </w:pPr>
            <w:r>
              <w:rPr>
                <w:b/>
                <w:color w:val="000000"/>
                <w:szCs w:val="22"/>
              </w:rPr>
              <w:t>by S</w:t>
            </w:r>
            <w:r w:rsidR="00E651AF">
              <w:rPr>
                <w:b/>
                <w:color w:val="000000"/>
                <w:szCs w:val="22"/>
              </w:rPr>
              <w:t>ue</w:t>
            </w:r>
            <w:r>
              <w:rPr>
                <w:b/>
                <w:color w:val="000000"/>
                <w:szCs w:val="22"/>
              </w:rPr>
              <w:t xml:space="preserve"> </w:t>
            </w:r>
            <w:proofErr w:type="gramStart"/>
            <w:r>
              <w:rPr>
                <w:b/>
                <w:color w:val="000000"/>
                <w:szCs w:val="22"/>
              </w:rPr>
              <w:t>Arnott  FIPROW</w:t>
            </w:r>
            <w:proofErr w:type="gramEnd"/>
          </w:p>
        </w:tc>
      </w:tr>
      <w:tr w:rsidR="0004625F" w:rsidRPr="00361890" w14:paraId="2BD599A1" w14:textId="77777777" w:rsidTr="00B4050B">
        <w:trPr>
          <w:cantSplit/>
          <w:trHeight w:val="357"/>
        </w:trPr>
        <w:tc>
          <w:tcPr>
            <w:tcW w:w="9356" w:type="dxa"/>
            <w:shd w:val="clear" w:color="auto" w:fill="auto"/>
          </w:tcPr>
          <w:p w14:paraId="2BD599A0" w14:textId="77777777" w:rsidR="0004625F" w:rsidRPr="00B4050B" w:rsidRDefault="00B4050B" w:rsidP="0069559D">
            <w:pPr>
              <w:spacing w:before="120"/>
              <w:ind w:left="-108" w:right="34"/>
              <w:rPr>
                <w:b/>
                <w:color w:val="000000"/>
                <w:sz w:val="16"/>
                <w:szCs w:val="16"/>
              </w:rPr>
            </w:pPr>
            <w:r>
              <w:rPr>
                <w:b/>
                <w:color w:val="000000"/>
                <w:sz w:val="16"/>
                <w:szCs w:val="16"/>
              </w:rPr>
              <w:t>an Inspector appointed by the Secretary of State for Environment, Food and Rural Affairs</w:t>
            </w:r>
          </w:p>
        </w:tc>
      </w:tr>
      <w:tr w:rsidR="0004625F" w:rsidRPr="00A101CD" w14:paraId="2BD599A3" w14:textId="77777777" w:rsidTr="00B4050B">
        <w:trPr>
          <w:cantSplit/>
          <w:trHeight w:val="335"/>
        </w:trPr>
        <w:tc>
          <w:tcPr>
            <w:tcW w:w="9356" w:type="dxa"/>
            <w:shd w:val="clear" w:color="auto" w:fill="auto"/>
          </w:tcPr>
          <w:p w14:paraId="2BD599A2" w14:textId="1337F804" w:rsidR="0004625F" w:rsidRPr="00A101CD" w:rsidRDefault="0004625F" w:rsidP="002E1EE9">
            <w:pPr>
              <w:spacing w:before="120" w:after="60"/>
              <w:ind w:left="-108" w:right="176"/>
              <w:rPr>
                <w:b/>
                <w:color w:val="000000"/>
                <w:sz w:val="16"/>
                <w:szCs w:val="16"/>
              </w:rPr>
            </w:pPr>
            <w:r w:rsidRPr="00A101CD">
              <w:rPr>
                <w:b/>
                <w:color w:val="000000"/>
                <w:sz w:val="16"/>
                <w:szCs w:val="16"/>
              </w:rPr>
              <w:t>Decision date:</w:t>
            </w:r>
            <w:r w:rsidR="00B86239">
              <w:rPr>
                <w:b/>
                <w:color w:val="000000"/>
                <w:sz w:val="16"/>
                <w:szCs w:val="16"/>
              </w:rPr>
              <w:t xml:space="preserve"> 21 September 2021</w:t>
            </w:r>
          </w:p>
        </w:tc>
      </w:tr>
    </w:tbl>
    <w:p w14:paraId="2BD599A4" w14:textId="77777777" w:rsidR="00B4050B" w:rsidRPr="00A921D1" w:rsidRDefault="00B4050B" w:rsidP="00A921D1">
      <w:pPr>
        <w:rPr>
          <w:sz w:val="16"/>
          <w:szCs w:val="16"/>
        </w:rPr>
      </w:pPr>
    </w:p>
    <w:tbl>
      <w:tblPr>
        <w:tblW w:w="9628" w:type="dxa"/>
        <w:tblInd w:w="-108" w:type="dxa"/>
        <w:tblLayout w:type="fixed"/>
        <w:tblLook w:val="0000" w:firstRow="0" w:lastRow="0" w:firstColumn="0" w:lastColumn="0" w:noHBand="0" w:noVBand="0"/>
      </w:tblPr>
      <w:tblGrid>
        <w:gridCol w:w="108"/>
        <w:gridCol w:w="2943"/>
        <w:gridCol w:w="6469"/>
        <w:gridCol w:w="108"/>
      </w:tblGrid>
      <w:tr w:rsidR="00B4050B" w14:paraId="2BD599A6" w14:textId="77777777" w:rsidTr="00607CB5">
        <w:trPr>
          <w:gridBefore w:val="1"/>
          <w:wBefore w:w="108" w:type="dxa"/>
        </w:trPr>
        <w:tc>
          <w:tcPr>
            <w:tcW w:w="9520" w:type="dxa"/>
            <w:gridSpan w:val="3"/>
            <w:shd w:val="clear" w:color="auto" w:fill="auto"/>
          </w:tcPr>
          <w:p w14:paraId="2BD599A5" w14:textId="0BA2A4B5" w:rsidR="00B4050B" w:rsidRPr="00B4050B" w:rsidRDefault="00B4050B" w:rsidP="00181D21">
            <w:pPr>
              <w:spacing w:after="60"/>
              <w:rPr>
                <w:b/>
                <w:color w:val="000000"/>
              </w:rPr>
            </w:pPr>
            <w:r>
              <w:rPr>
                <w:b/>
                <w:color w:val="000000"/>
              </w:rPr>
              <w:t xml:space="preserve">Order Ref: </w:t>
            </w:r>
            <w:r w:rsidR="00373025">
              <w:rPr>
                <w:b/>
                <w:color w:val="000000"/>
              </w:rPr>
              <w:t>ROW/3</w:t>
            </w:r>
            <w:r w:rsidR="00244437">
              <w:rPr>
                <w:b/>
                <w:color w:val="000000"/>
              </w:rPr>
              <w:t>235802</w:t>
            </w:r>
          </w:p>
        </w:tc>
      </w:tr>
      <w:tr w:rsidR="00607CB5" w14:paraId="4F65A396" w14:textId="77777777" w:rsidTr="00607CB5">
        <w:trPr>
          <w:gridAfter w:val="1"/>
          <w:wAfter w:w="108" w:type="dxa"/>
        </w:trPr>
        <w:tc>
          <w:tcPr>
            <w:tcW w:w="9520" w:type="dxa"/>
            <w:gridSpan w:val="3"/>
            <w:shd w:val="clear" w:color="auto" w:fill="auto"/>
          </w:tcPr>
          <w:p w14:paraId="7CD340B0" w14:textId="4D5A13B1" w:rsidR="00607CB5" w:rsidRDefault="00607CB5" w:rsidP="00C00995">
            <w:pPr>
              <w:pStyle w:val="TBullet"/>
              <w:spacing w:before="60" w:after="60"/>
              <w:ind w:left="357" w:hanging="357"/>
            </w:pPr>
            <w:r>
              <w:t>This Order is made under Section 53(2)(b) of the Wildlife and Countryside Act 1981.    It</w:t>
            </w:r>
            <w:r w:rsidRPr="00847049">
              <w:t xml:space="preserve"> </w:t>
            </w:r>
            <w:r>
              <w:t xml:space="preserve">is </w:t>
            </w:r>
            <w:r w:rsidRPr="00847049">
              <w:t xml:space="preserve">known as the </w:t>
            </w:r>
            <w:bookmarkStart w:id="1" w:name="_Hlk23756952"/>
            <w:r>
              <w:t xml:space="preserve">Northumberland County Council Definitive Map Modification Order (No </w:t>
            </w:r>
            <w:r w:rsidR="00D0121F">
              <w:t>12</w:t>
            </w:r>
            <w:r>
              <w:t>) 201</w:t>
            </w:r>
            <w:r w:rsidR="00D0121F">
              <w:t>7</w:t>
            </w:r>
            <w:r>
              <w:t xml:space="preserve"> Byway Open to All Traffic No 2</w:t>
            </w:r>
            <w:r w:rsidR="00D0121F">
              <w:t>2</w:t>
            </w:r>
            <w:r>
              <w:t xml:space="preserve"> (Parish of </w:t>
            </w:r>
            <w:r w:rsidR="00D0121F">
              <w:t>Doddington</w:t>
            </w:r>
            <w:r>
              <w:t>)</w:t>
            </w:r>
            <w:bookmarkEnd w:id="1"/>
            <w:r>
              <w:t>.</w:t>
            </w:r>
          </w:p>
        </w:tc>
      </w:tr>
      <w:tr w:rsidR="00607CB5" w:rsidRPr="005C03EB" w14:paraId="335FC3FB" w14:textId="77777777" w:rsidTr="00607CB5">
        <w:trPr>
          <w:gridAfter w:val="1"/>
          <w:wAfter w:w="108" w:type="dxa"/>
        </w:trPr>
        <w:tc>
          <w:tcPr>
            <w:tcW w:w="9520" w:type="dxa"/>
            <w:gridSpan w:val="3"/>
            <w:shd w:val="clear" w:color="auto" w:fill="auto"/>
          </w:tcPr>
          <w:p w14:paraId="094190E1" w14:textId="375E6B19" w:rsidR="00607CB5" w:rsidRPr="004D4AE9" w:rsidRDefault="00607CB5" w:rsidP="00C00995">
            <w:pPr>
              <w:pStyle w:val="TBullet"/>
              <w:spacing w:before="60" w:after="60"/>
              <w:ind w:left="357" w:hanging="357"/>
            </w:pPr>
            <w:r w:rsidRPr="004D4AE9">
              <w:t xml:space="preserve">The Order is dated </w:t>
            </w:r>
            <w:r w:rsidR="00D0121F">
              <w:t>2</w:t>
            </w:r>
            <w:r>
              <w:t xml:space="preserve"> </w:t>
            </w:r>
            <w:r w:rsidR="00D0121F">
              <w:t>October</w:t>
            </w:r>
            <w:r>
              <w:t xml:space="preserve"> </w:t>
            </w:r>
            <w:r w:rsidRPr="004D4AE9">
              <w:t>201</w:t>
            </w:r>
            <w:r w:rsidR="00D0121F">
              <w:t>7</w:t>
            </w:r>
            <w:r w:rsidRPr="004D4AE9">
              <w:t xml:space="preserve">. It proposes to modify the definitive map and statement for the area by recording </w:t>
            </w:r>
            <w:r>
              <w:t xml:space="preserve">a </w:t>
            </w:r>
            <w:r w:rsidRPr="004D4AE9">
              <w:t xml:space="preserve">byway open to all traffic </w:t>
            </w:r>
            <w:r w:rsidR="00D0121F">
              <w:t>to the north and east of Fenton</w:t>
            </w:r>
            <w:r w:rsidRPr="004D4AE9">
              <w:t>, as shown on the Order map and described in the Order schedule.</w:t>
            </w:r>
          </w:p>
        </w:tc>
      </w:tr>
      <w:tr w:rsidR="00607CB5" w:rsidRPr="005C03EB" w14:paraId="006D8B45" w14:textId="77777777" w:rsidTr="00607CB5">
        <w:trPr>
          <w:gridAfter w:val="1"/>
          <w:wAfter w:w="108" w:type="dxa"/>
        </w:trPr>
        <w:tc>
          <w:tcPr>
            <w:tcW w:w="9520" w:type="dxa"/>
            <w:gridSpan w:val="3"/>
            <w:shd w:val="clear" w:color="auto" w:fill="auto"/>
          </w:tcPr>
          <w:p w14:paraId="7BEE4F85" w14:textId="52807B56" w:rsidR="00607CB5" w:rsidRPr="004D4AE9" w:rsidRDefault="00607CB5" w:rsidP="00C00995">
            <w:pPr>
              <w:pStyle w:val="TBullet"/>
              <w:spacing w:before="60" w:after="60"/>
              <w:ind w:left="357" w:hanging="357"/>
            </w:pPr>
            <w:r w:rsidRPr="004D4AE9">
              <w:t xml:space="preserve">There were </w:t>
            </w:r>
            <w:r w:rsidR="00CD3943">
              <w:t>two</w:t>
            </w:r>
            <w:r w:rsidRPr="004D4AE9">
              <w:t xml:space="preserve"> letters of objection</w:t>
            </w:r>
            <w:r>
              <w:t xml:space="preserve"> </w:t>
            </w:r>
            <w:r w:rsidR="0081155F">
              <w:t xml:space="preserve">and one representation </w:t>
            </w:r>
            <w:r w:rsidRPr="005770B0">
              <w:t>outstanding</w:t>
            </w:r>
            <w:r>
              <w:t xml:space="preserve"> </w:t>
            </w:r>
            <w:r w:rsidRPr="004D4AE9">
              <w:t xml:space="preserve">when </w:t>
            </w:r>
            <w:r>
              <w:t>Northumberland</w:t>
            </w:r>
            <w:r w:rsidRPr="004D4AE9">
              <w:t xml:space="preserve"> County Council submitted the Order for confirmation to the Secretary of State for Environment, Food and Rural Affairs.</w:t>
            </w:r>
          </w:p>
        </w:tc>
      </w:tr>
      <w:tr w:rsidR="008A38E2" w:rsidRPr="00A17693" w14:paraId="2BD599AF" w14:textId="77777777" w:rsidTr="00607CB5">
        <w:trPr>
          <w:gridBefore w:val="1"/>
          <w:wBefore w:w="108" w:type="dxa"/>
        </w:trPr>
        <w:tc>
          <w:tcPr>
            <w:tcW w:w="2943" w:type="dxa"/>
            <w:tcBorders>
              <w:bottom w:val="single" w:sz="6" w:space="0" w:color="000000"/>
            </w:tcBorders>
            <w:shd w:val="clear" w:color="auto" w:fill="auto"/>
          </w:tcPr>
          <w:p w14:paraId="2BD599AD" w14:textId="77777777" w:rsidR="008A38E2" w:rsidRPr="007B6E0A" w:rsidRDefault="008A38E2" w:rsidP="00C00995">
            <w:pPr>
              <w:pStyle w:val="Singleline"/>
              <w:tabs>
                <w:tab w:val="left" w:pos="360"/>
              </w:tabs>
              <w:spacing w:before="120" w:after="120"/>
              <w:ind w:left="2835" w:hanging="2835"/>
              <w:rPr>
                <w:b/>
                <w:szCs w:val="22"/>
              </w:rPr>
            </w:pPr>
            <w:r w:rsidRPr="007B6E0A">
              <w:rPr>
                <w:b/>
                <w:szCs w:val="22"/>
              </w:rPr>
              <w:t xml:space="preserve">Summary of Decision:  </w:t>
            </w:r>
          </w:p>
        </w:tc>
        <w:tc>
          <w:tcPr>
            <w:tcW w:w="6577" w:type="dxa"/>
            <w:gridSpan w:val="2"/>
            <w:tcBorders>
              <w:bottom w:val="single" w:sz="6" w:space="0" w:color="000000"/>
            </w:tcBorders>
            <w:shd w:val="clear" w:color="auto" w:fill="auto"/>
          </w:tcPr>
          <w:p w14:paraId="2BD599AE" w14:textId="7DD8D252" w:rsidR="008A38E2" w:rsidRPr="00735565" w:rsidRDefault="0087102B" w:rsidP="00412C0E">
            <w:pPr>
              <w:spacing w:before="120" w:after="120"/>
              <w:rPr>
                <w:b/>
                <w:szCs w:val="22"/>
              </w:rPr>
            </w:pPr>
            <w:r w:rsidRPr="00735565">
              <w:rPr>
                <w:b/>
                <w:szCs w:val="22"/>
              </w:rPr>
              <w:t>T</w:t>
            </w:r>
            <w:r w:rsidR="00407B68" w:rsidRPr="00735565">
              <w:rPr>
                <w:b/>
                <w:szCs w:val="22"/>
              </w:rPr>
              <w:t xml:space="preserve">he </w:t>
            </w:r>
            <w:r w:rsidR="00AA0468" w:rsidRPr="00735565">
              <w:rPr>
                <w:b/>
                <w:szCs w:val="22"/>
              </w:rPr>
              <w:t xml:space="preserve">Order is </w:t>
            </w:r>
            <w:r w:rsidRPr="00735565">
              <w:rPr>
                <w:b/>
                <w:szCs w:val="22"/>
              </w:rPr>
              <w:t>confirmed</w:t>
            </w:r>
            <w:r w:rsidR="008A38E2" w:rsidRPr="00735565">
              <w:rPr>
                <w:b/>
                <w:szCs w:val="22"/>
              </w:rPr>
              <w:t>.</w:t>
            </w:r>
          </w:p>
        </w:tc>
      </w:tr>
    </w:tbl>
    <w:p w14:paraId="2BD599B0" w14:textId="77777777" w:rsidR="00D609E1" w:rsidRPr="00D609E1" w:rsidRDefault="00D609E1" w:rsidP="00735565">
      <w:pPr>
        <w:pStyle w:val="Style1"/>
        <w:numPr>
          <w:ilvl w:val="0"/>
          <w:numId w:val="0"/>
        </w:numPr>
        <w:tabs>
          <w:tab w:val="clear" w:pos="432"/>
        </w:tabs>
        <w:spacing w:before="240"/>
        <w:ind w:left="431" w:hanging="431"/>
        <w:rPr>
          <w:b/>
          <w:szCs w:val="22"/>
        </w:rPr>
      </w:pPr>
      <w:bookmarkStart w:id="2" w:name="bmkReturn"/>
      <w:bookmarkStart w:id="3" w:name="_Ref312076929"/>
      <w:bookmarkStart w:id="4" w:name="_Ref464641867"/>
      <w:bookmarkStart w:id="5" w:name="_Ref245012283"/>
      <w:bookmarkEnd w:id="2"/>
      <w:r w:rsidRPr="00D609E1">
        <w:rPr>
          <w:b/>
          <w:szCs w:val="22"/>
        </w:rPr>
        <w:t>Procedural matters</w:t>
      </w:r>
    </w:p>
    <w:p w14:paraId="0B7CA0C9" w14:textId="0EE0A6D0" w:rsidR="0009555A" w:rsidRDefault="0009555A" w:rsidP="0009555A">
      <w:pPr>
        <w:pStyle w:val="Style1"/>
        <w:numPr>
          <w:ilvl w:val="0"/>
          <w:numId w:val="9"/>
        </w:numPr>
        <w:tabs>
          <w:tab w:val="clear" w:pos="432"/>
          <w:tab w:val="num" w:pos="720"/>
        </w:tabs>
        <w:ind w:left="425" w:hanging="425"/>
      </w:pPr>
      <w:r>
        <w:t xml:space="preserve">This Order was due to be determined by means of a public hearing but the introduction of Covid-19 lockdown restrictions in March 2020 meant that a public meeting of this nature could not be held as planned.  </w:t>
      </w:r>
      <w:proofErr w:type="gramStart"/>
      <w:r>
        <w:t>In order to</w:t>
      </w:r>
      <w:proofErr w:type="gramEnd"/>
      <w:r>
        <w:t xml:space="preserve"> progress this matter without delay, interested parties were invited to consider whether a change of procedure would be acceptable in these circumstances.  As a result, it was agreed that the Order would be determined following a further written exchange together with an unaccompanied visit to the site. </w:t>
      </w:r>
    </w:p>
    <w:p w14:paraId="4730FC63" w14:textId="7AC70EA5" w:rsidR="0009555A" w:rsidRDefault="0009555A" w:rsidP="0009555A">
      <w:pPr>
        <w:pStyle w:val="Style1"/>
        <w:numPr>
          <w:ilvl w:val="0"/>
          <w:numId w:val="9"/>
        </w:numPr>
        <w:tabs>
          <w:tab w:val="clear" w:pos="432"/>
          <w:tab w:val="num" w:pos="720"/>
        </w:tabs>
        <w:ind w:left="425" w:hanging="425"/>
      </w:pPr>
      <w:r>
        <w:t xml:space="preserve">I am grateful to all concerned for their assistance in making this alternative arrangement during difficult times.  </w:t>
      </w:r>
      <w:r w:rsidR="00A66B2E">
        <w:t xml:space="preserve">For the record </w:t>
      </w:r>
      <w:r>
        <w:t>I carried out my inspection of the Order route on 22 June 2021 alone</w:t>
      </w:r>
      <w:r w:rsidR="00A66B2E">
        <w:t>.</w:t>
      </w:r>
      <w:r>
        <w:t xml:space="preserve"> </w:t>
      </w:r>
    </w:p>
    <w:p w14:paraId="76F39FDA" w14:textId="54F65B11" w:rsidR="00446BEF" w:rsidRPr="00446BEF" w:rsidRDefault="0081155F" w:rsidP="00C00995">
      <w:pPr>
        <w:pStyle w:val="Style1"/>
        <w:numPr>
          <w:ilvl w:val="0"/>
          <w:numId w:val="9"/>
        </w:numPr>
        <w:tabs>
          <w:tab w:val="clear" w:pos="432"/>
        </w:tabs>
        <w:rPr>
          <w:color w:val="auto"/>
          <w:szCs w:val="22"/>
        </w:rPr>
      </w:pPr>
      <w:r>
        <w:t>When th</w:t>
      </w:r>
      <w:r w:rsidR="0009555A">
        <w:t>e</w:t>
      </w:r>
      <w:r>
        <w:t xml:space="preserve"> Order was publicised, two objections were submitted. One of these was on behalf of the landowner affected by the route</w:t>
      </w:r>
      <w:r w:rsidR="00BB59A8">
        <w:t xml:space="preserve"> </w:t>
      </w:r>
      <w:r>
        <w:t xml:space="preserve">that is the subject of this Order. The second was on behalf of the Trail Riders’ Fellowship. Although both parties are statutory objectors, they contest the Order for quite different reasons. </w:t>
      </w:r>
      <w:proofErr w:type="gramStart"/>
      <w:r>
        <w:t>So as to</w:t>
      </w:r>
      <w:proofErr w:type="gramEnd"/>
      <w:r>
        <w:t xml:space="preserve"> distinguish between their reasoning in this Order Decision, I shall refer to them where </w:t>
      </w:r>
      <w:r w:rsidR="00343458">
        <w:t>appropriate</w:t>
      </w:r>
      <w:r>
        <w:t xml:space="preserve"> as “the landowner” and “the TRF”. </w:t>
      </w:r>
      <w:r w:rsidR="0009555A">
        <w:t>Whilst Mr Kind has made submissions on behalf of the TRF, he has also made separate representations in his own right.</w:t>
      </w:r>
      <w:r w:rsidR="002D3CE7">
        <w:t xml:space="preserve"> </w:t>
      </w:r>
    </w:p>
    <w:p w14:paraId="243F5D07" w14:textId="79CAB703" w:rsidR="00BB59A8" w:rsidRPr="00446BEF" w:rsidRDefault="00446BEF" w:rsidP="00C00995">
      <w:pPr>
        <w:pStyle w:val="Style1"/>
        <w:numPr>
          <w:ilvl w:val="0"/>
          <w:numId w:val="9"/>
        </w:numPr>
        <w:tabs>
          <w:tab w:val="clear" w:pos="432"/>
        </w:tabs>
        <w:rPr>
          <w:color w:val="auto"/>
          <w:szCs w:val="22"/>
        </w:rPr>
      </w:pPr>
      <w:r w:rsidRPr="00A66B2E">
        <w:t>Subsequent r</w:t>
      </w:r>
      <w:r w:rsidR="002D3CE7" w:rsidRPr="00A66B2E">
        <w:t xml:space="preserve">epresentations were received from </w:t>
      </w:r>
      <w:r w:rsidR="00C532CD">
        <w:rPr>
          <w:szCs w:val="22"/>
        </w:rPr>
        <w:t>Northumberland County Council (NCC)</w:t>
      </w:r>
      <w:r w:rsidR="00343458">
        <w:t xml:space="preserve">, </w:t>
      </w:r>
      <w:r w:rsidR="002D3CE7" w:rsidRPr="00A66B2E">
        <w:t xml:space="preserve">Mr Kind, </w:t>
      </w:r>
      <w:r w:rsidR="00343458">
        <w:t>t</w:t>
      </w:r>
      <w:r w:rsidR="002D3CE7" w:rsidRPr="00A66B2E">
        <w:t>he British Horse Society and Ms J Stewart</w:t>
      </w:r>
      <w:r w:rsidR="00343458">
        <w:t>,</w:t>
      </w:r>
      <w:r w:rsidRPr="00A66B2E">
        <w:t xml:space="preserve"> and later </w:t>
      </w:r>
      <w:r w:rsidR="00A66B2E" w:rsidRPr="00A66B2E">
        <w:t xml:space="preserve">from </w:t>
      </w:r>
      <w:r w:rsidRPr="00A66B2E">
        <w:t xml:space="preserve">Ms </w:t>
      </w:r>
      <w:r w:rsidR="00A66B2E" w:rsidRPr="00A66B2E">
        <w:t>J Roseff</w:t>
      </w:r>
      <w:r w:rsidRPr="00A66B2E">
        <w:t>.</w:t>
      </w:r>
      <w:r w:rsidR="00A66B2E" w:rsidRPr="00A66B2E">
        <w:t xml:space="preserve"> I have taken account of </w:t>
      </w:r>
      <w:r w:rsidR="00A66B2E" w:rsidRPr="00A66B2E">
        <w:rPr>
          <w:u w:val="single"/>
        </w:rPr>
        <w:t>all</w:t>
      </w:r>
      <w:r w:rsidR="00A66B2E" w:rsidRPr="00A66B2E">
        <w:t xml:space="preserve"> relevant evidence in reaching</w:t>
      </w:r>
      <w:r w:rsidR="00A66B2E">
        <w:t xml:space="preserve"> my decision.</w:t>
      </w:r>
    </w:p>
    <w:p w14:paraId="42C8EC8F" w14:textId="31280896" w:rsidR="00446BEF" w:rsidRDefault="00446BEF" w:rsidP="00446BEF">
      <w:pPr>
        <w:pStyle w:val="Style1"/>
        <w:numPr>
          <w:ilvl w:val="0"/>
          <w:numId w:val="0"/>
        </w:numPr>
        <w:tabs>
          <w:tab w:val="clear" w:pos="432"/>
        </w:tabs>
        <w:ind w:left="432" w:hanging="432"/>
      </w:pPr>
    </w:p>
    <w:p w14:paraId="67DE25C7" w14:textId="77777777" w:rsidR="00446BEF" w:rsidRPr="00BB59A8" w:rsidRDefault="00446BEF" w:rsidP="00446BEF">
      <w:pPr>
        <w:pStyle w:val="Style1"/>
        <w:numPr>
          <w:ilvl w:val="0"/>
          <w:numId w:val="0"/>
        </w:numPr>
        <w:tabs>
          <w:tab w:val="clear" w:pos="432"/>
        </w:tabs>
        <w:ind w:left="432" w:hanging="432"/>
        <w:rPr>
          <w:color w:val="auto"/>
          <w:szCs w:val="22"/>
        </w:rPr>
      </w:pPr>
    </w:p>
    <w:p w14:paraId="2BD599B4" w14:textId="77777777" w:rsidR="00D609E1" w:rsidRPr="00D609E1" w:rsidRDefault="00D609E1" w:rsidP="00D609E1">
      <w:pPr>
        <w:pStyle w:val="Style1"/>
        <w:numPr>
          <w:ilvl w:val="0"/>
          <w:numId w:val="0"/>
        </w:numPr>
        <w:rPr>
          <w:szCs w:val="22"/>
        </w:rPr>
      </w:pPr>
      <w:r w:rsidRPr="00D609E1">
        <w:rPr>
          <w:b/>
          <w:szCs w:val="22"/>
        </w:rPr>
        <w:lastRenderedPageBreak/>
        <w:t>Main Issues</w:t>
      </w:r>
    </w:p>
    <w:p w14:paraId="40EB7F9D" w14:textId="389422DB" w:rsidR="0017054C" w:rsidRDefault="0081155F" w:rsidP="0017054C">
      <w:pPr>
        <w:pStyle w:val="Style1"/>
        <w:numPr>
          <w:ilvl w:val="0"/>
          <w:numId w:val="9"/>
        </w:numPr>
        <w:tabs>
          <w:tab w:val="clear" w:pos="432"/>
        </w:tabs>
      </w:pPr>
      <w:bookmarkStart w:id="6" w:name="_Ref397443356"/>
      <w:bookmarkEnd w:id="3"/>
      <w:bookmarkEnd w:id="4"/>
      <w:bookmarkEnd w:id="5"/>
      <w:r>
        <w:rPr>
          <w:szCs w:val="22"/>
        </w:rPr>
        <w:t>Northumberland County Council made t</w:t>
      </w:r>
      <w:r w:rsidR="0017054C">
        <w:rPr>
          <w:szCs w:val="22"/>
        </w:rPr>
        <w:t>he Order under</w:t>
      </w:r>
      <w:r w:rsidR="0017054C">
        <w:t xml:space="preserve"> the </w:t>
      </w:r>
      <w:r w:rsidR="0017054C" w:rsidRPr="004838CE">
        <w:rPr>
          <w:color w:val="auto"/>
        </w:rPr>
        <w:t xml:space="preserve">Wildlife and Countryside Act 1981 </w:t>
      </w:r>
      <w:r w:rsidR="0017054C">
        <w:rPr>
          <w:color w:val="auto"/>
        </w:rPr>
        <w:t xml:space="preserve">(the 1981 Act) </w:t>
      </w:r>
      <w:proofErr w:type="gramStart"/>
      <w:r w:rsidR="0017054C">
        <w:rPr>
          <w:color w:val="auto"/>
        </w:rPr>
        <w:t>on the basis of</w:t>
      </w:r>
      <w:proofErr w:type="gramEnd"/>
      <w:r w:rsidR="0017054C">
        <w:rPr>
          <w:color w:val="auto"/>
        </w:rPr>
        <w:t xml:space="preserve"> events </w:t>
      </w:r>
      <w:r w:rsidR="0017054C" w:rsidRPr="004838CE">
        <w:rPr>
          <w:color w:val="auto"/>
        </w:rPr>
        <w:t>specified in Section</w:t>
      </w:r>
      <w:r w:rsidR="0017054C">
        <w:rPr>
          <w:color w:val="auto"/>
        </w:rPr>
        <w:t>s</w:t>
      </w:r>
      <w:r w:rsidR="0017054C" w:rsidRPr="004838CE">
        <w:rPr>
          <w:color w:val="auto"/>
        </w:rPr>
        <w:t xml:space="preserve"> 53(3)(c)</w:t>
      </w:r>
      <w:r w:rsidR="0017054C">
        <w:rPr>
          <w:color w:val="auto"/>
        </w:rPr>
        <w:t xml:space="preserve">(i) and </w:t>
      </w:r>
      <w:r w:rsidR="0017054C" w:rsidRPr="004838CE">
        <w:rPr>
          <w:color w:val="auto"/>
        </w:rPr>
        <w:t>53(3)(c)</w:t>
      </w:r>
      <w:r w:rsidR="0017054C">
        <w:rPr>
          <w:color w:val="auto"/>
        </w:rPr>
        <w:t>(iii).   I</w:t>
      </w:r>
      <w:r w:rsidR="0017054C">
        <w:t xml:space="preserve">f I am to confirm it, I must be satisfied that evidence has been discovered which shows, on a balance of probability, that the public rights intended to be recorded </w:t>
      </w:r>
      <w:r w:rsidR="0017054C" w:rsidRPr="002B5F3C">
        <w:t xml:space="preserve">do </w:t>
      </w:r>
      <w:r w:rsidR="0017054C">
        <w:t>subsist and that other particulars contained in the map and statement require modification.</w:t>
      </w:r>
    </w:p>
    <w:p w14:paraId="258B6F92" w14:textId="77777777" w:rsidR="0017054C" w:rsidRDefault="0017054C" w:rsidP="0017054C">
      <w:pPr>
        <w:pStyle w:val="Style1"/>
        <w:numPr>
          <w:ilvl w:val="0"/>
          <w:numId w:val="9"/>
        </w:numPr>
      </w:pPr>
      <w:r>
        <w:t xml:space="preserve">There </w:t>
      </w:r>
      <w:r w:rsidRPr="0095204B">
        <w:t xml:space="preserve">are </w:t>
      </w:r>
      <w:r>
        <w:t>three</w:t>
      </w:r>
      <w:r w:rsidRPr="0095204B">
        <w:t xml:space="preserve"> main</w:t>
      </w:r>
      <w:r>
        <w:t xml:space="preserve"> issues here: the first is whether the evidence shows that a public right of way for vehicles was once in existence along the Order route; the second is whether any such rights still exist today for </w:t>
      </w:r>
      <w:r w:rsidRPr="003B4940">
        <w:rPr>
          <w:u w:val="single"/>
        </w:rPr>
        <w:t>all</w:t>
      </w:r>
      <w:r>
        <w:t xml:space="preserve"> vehicles, and thirdly, if carriageway rights are shown to exist, whether the way should be recorded on the definitive map and statement in the category ‘BOAT’.  </w:t>
      </w:r>
    </w:p>
    <w:p w14:paraId="7143FD17" w14:textId="2607530D" w:rsidR="0017054C" w:rsidRPr="00262C4A" w:rsidRDefault="0017054C" w:rsidP="0017054C">
      <w:pPr>
        <w:pStyle w:val="Style1"/>
        <w:numPr>
          <w:ilvl w:val="0"/>
          <w:numId w:val="9"/>
        </w:numPr>
        <w:rPr>
          <w:szCs w:val="22"/>
        </w:rPr>
      </w:pPr>
      <w:r>
        <w:t xml:space="preserve">A fourth issue concerns changes to the details recorded in the definitive statement for </w:t>
      </w:r>
      <w:r w:rsidR="002A438D">
        <w:t xml:space="preserve">a </w:t>
      </w:r>
      <w:r>
        <w:t xml:space="preserve">connecting public </w:t>
      </w:r>
      <w:r w:rsidR="002A438D">
        <w:t>bridleway</w:t>
      </w:r>
      <w:r>
        <w:t xml:space="preserve"> that would be necessary as a consequence of recording the Order route as a public right of </w:t>
      </w:r>
      <w:proofErr w:type="gramStart"/>
      <w:r>
        <w:t>way</w:t>
      </w:r>
      <w:proofErr w:type="gramEnd"/>
      <w:r>
        <w:t xml:space="preserve"> but this is essentially an administrative formality. </w:t>
      </w:r>
    </w:p>
    <w:p w14:paraId="16B39938" w14:textId="77777777" w:rsidR="008A597B" w:rsidRDefault="008A597B" w:rsidP="0033484E">
      <w:pPr>
        <w:pStyle w:val="Heading6blackfont"/>
      </w:pPr>
      <w:r w:rsidRPr="00135FED">
        <w:t>Reasons</w:t>
      </w:r>
      <w:r>
        <w:t xml:space="preserve"> </w:t>
      </w:r>
    </w:p>
    <w:p w14:paraId="286E22A5" w14:textId="77777777" w:rsidR="0081155F" w:rsidRPr="00E45C22" w:rsidRDefault="0081155F" w:rsidP="0081155F">
      <w:pPr>
        <w:pStyle w:val="Style1"/>
        <w:numPr>
          <w:ilvl w:val="0"/>
          <w:numId w:val="0"/>
        </w:numPr>
        <w:tabs>
          <w:tab w:val="clear" w:pos="432"/>
        </w:tabs>
        <w:ind w:left="432" w:hanging="432"/>
        <w:rPr>
          <w:b/>
          <w:bCs/>
          <w:i/>
        </w:rPr>
      </w:pPr>
      <w:r w:rsidRPr="00E45C22">
        <w:rPr>
          <w:b/>
          <w:bCs/>
          <w:i/>
        </w:rPr>
        <w:t>Background to the Order</w:t>
      </w:r>
    </w:p>
    <w:p w14:paraId="2433EC49" w14:textId="74DEE15F" w:rsidR="0081155F" w:rsidRPr="006B1BFA" w:rsidRDefault="0081155F" w:rsidP="0081155F">
      <w:pPr>
        <w:pStyle w:val="Style1"/>
        <w:numPr>
          <w:ilvl w:val="0"/>
          <w:numId w:val="9"/>
        </w:numPr>
        <w:rPr>
          <w:color w:val="auto"/>
        </w:rPr>
      </w:pPr>
      <w:bookmarkStart w:id="7" w:name="_Ref534964066"/>
      <w:r>
        <w:t xml:space="preserve">If confirmed, the Order would record the route in question (shown on the Order map as </w:t>
      </w:r>
      <w:r w:rsidR="002A438D">
        <w:t>Z</w:t>
      </w:r>
      <w:r>
        <w:t>-</w:t>
      </w:r>
      <w:r w:rsidR="002A438D">
        <w:t>A</w:t>
      </w:r>
      <w:r>
        <w:t xml:space="preserve">) as a byway open to all traffic, </w:t>
      </w:r>
      <w:bookmarkStart w:id="8" w:name="_Ref459816233"/>
      <w:bookmarkStart w:id="9" w:name="_Ref440968197"/>
      <w:r>
        <w:t xml:space="preserve">that is </w:t>
      </w:r>
      <w:r w:rsidRPr="006B1BFA">
        <w:t>“a highway over which the public have a right of way for vehicular and all other kinds of traffic, but which is used by the public mainly for the purpose for which footpaths and bridleways are so used”.</w:t>
      </w:r>
      <w:r w:rsidRPr="006B1BFA">
        <w:rPr>
          <w:rStyle w:val="FootnoteReference"/>
        </w:rPr>
        <w:footnoteReference w:id="2"/>
      </w:r>
      <w:bookmarkEnd w:id="7"/>
    </w:p>
    <w:bookmarkEnd w:id="8"/>
    <w:bookmarkEnd w:id="9"/>
    <w:p w14:paraId="76FC65E9" w14:textId="77777777" w:rsidR="0081155F" w:rsidRPr="00063B7C" w:rsidRDefault="0081155F" w:rsidP="0081155F">
      <w:pPr>
        <w:pStyle w:val="Style1"/>
        <w:numPr>
          <w:ilvl w:val="0"/>
          <w:numId w:val="9"/>
        </w:numPr>
      </w:pPr>
      <w:proofErr w:type="gramStart"/>
      <w:r>
        <w:t>On the basis of</w:t>
      </w:r>
      <w:proofErr w:type="gramEnd"/>
      <w:r>
        <w:t xml:space="preserve"> the historical evidence it discovered, NCC concluded that public vehicular rights of way did (and still do) exist along the Order route, relying on the legal maxim ‘</w:t>
      </w:r>
      <w:r w:rsidRPr="004C4B3C">
        <w:rPr>
          <w:i/>
        </w:rPr>
        <w:t>once a highway, always a highway</w:t>
      </w:r>
      <w:r>
        <w:t xml:space="preserve">’.  Further, NCC considered that </w:t>
      </w:r>
      <w:r w:rsidRPr="001701ED">
        <w:t xml:space="preserve">Section 67 of the Natural Environment and Rural Communities Act 2006 (the 2006 Act) </w:t>
      </w:r>
      <w:r>
        <w:t>does not affect the continued existence of such rights.</w:t>
      </w:r>
      <w:r>
        <w:rPr>
          <w:szCs w:val="22"/>
        </w:rPr>
        <w:t xml:space="preserve"> </w:t>
      </w:r>
    </w:p>
    <w:p w14:paraId="4BDEA117" w14:textId="2578F106" w:rsidR="0081155F" w:rsidRDefault="0081155F" w:rsidP="0081155F">
      <w:pPr>
        <w:numPr>
          <w:ilvl w:val="0"/>
          <w:numId w:val="9"/>
        </w:numPr>
        <w:tabs>
          <w:tab w:val="left" w:pos="851"/>
        </w:tabs>
        <w:spacing w:before="180"/>
        <w:ind w:left="426" w:hanging="426"/>
      </w:pPr>
      <w:r>
        <w:t xml:space="preserve">Sub-section 67(1) of that Act </w:t>
      </w:r>
      <w:r w:rsidRPr="001701ED">
        <w:t xml:space="preserve">provides that </w:t>
      </w:r>
      <w:r>
        <w:t xml:space="preserve">upon commencement on 2 May 2006 </w:t>
      </w:r>
      <w:r w:rsidRPr="001701ED">
        <w:t>an</w:t>
      </w:r>
      <w:r>
        <w:t>y</w:t>
      </w:r>
      <w:r w:rsidRPr="001701ED">
        <w:t xml:space="preserve"> existing public</w:t>
      </w:r>
      <w:r>
        <w:t xml:space="preserve"> right of way for mechanically propelled vehicles (MPVs) was extinguished if it was over a way which, immediately before that date, was not shown in the definitive map and statement or was shown as either a footpath, </w:t>
      </w:r>
      <w:proofErr w:type="gramStart"/>
      <w:r>
        <w:t>bridleway</w:t>
      </w:r>
      <w:proofErr w:type="gramEnd"/>
      <w:r>
        <w:t xml:space="preserve"> or restricted byway</w:t>
      </w:r>
      <w:r w:rsidR="002A438D">
        <w:t>,</w:t>
      </w:r>
      <w:r w:rsidRPr="004167AD">
        <w:t xml:space="preserve"> </w:t>
      </w:r>
      <w:r>
        <w:t xml:space="preserve">unless such rights were saved by virtue of falling into one of the categories for exemption.  </w:t>
      </w:r>
    </w:p>
    <w:p w14:paraId="36D6DC87" w14:textId="4FD0FD1E" w:rsidR="0081155F" w:rsidRDefault="0081155F" w:rsidP="0081155F">
      <w:pPr>
        <w:pStyle w:val="Style1"/>
        <w:numPr>
          <w:ilvl w:val="0"/>
          <w:numId w:val="9"/>
        </w:numPr>
      </w:pPr>
      <w:bookmarkStart w:id="10" w:name="_Ref534901337"/>
      <w:bookmarkStart w:id="11" w:name="_Ref143048486"/>
      <w:r>
        <w:t>NCC took the view that public MPV rights were not extinguished, having been saved by sub-section 67(2)(b) which provides as follows:  “(2) Sub-section (1) does not apply to an existing public right of way if … (b) immediately before commencement it was not shown in a definitive map and statement but was shown in a list required to be kept under section 36(6) of the Highways Act 1980 … (list of highways maintainable at public expense)”.  It is not disputed that the Order route appears on such a list (identified as U</w:t>
      </w:r>
      <w:r w:rsidR="005D739B">
        <w:t>1034</w:t>
      </w:r>
      <w:r>
        <w:t>).</w:t>
      </w:r>
      <w:bookmarkEnd w:id="10"/>
      <w:r>
        <w:t xml:space="preserve">   </w:t>
      </w:r>
    </w:p>
    <w:p w14:paraId="4EB83684" w14:textId="4B436BED" w:rsidR="00230244" w:rsidRDefault="0081155F" w:rsidP="008B2231">
      <w:pPr>
        <w:pStyle w:val="Style1"/>
        <w:numPr>
          <w:ilvl w:val="0"/>
          <w:numId w:val="9"/>
        </w:numPr>
        <w:tabs>
          <w:tab w:val="clear" w:pos="432"/>
        </w:tabs>
      </w:pPr>
      <w:r>
        <w:t xml:space="preserve">Consequently the Order was made to record a BOAT on the basis that a public vehicular right of way </w:t>
      </w:r>
      <w:r w:rsidRPr="00230244">
        <w:rPr>
          <w:color w:val="auto"/>
        </w:rPr>
        <w:t xml:space="preserve">exists, that rights for MPVs have been saved, and that </w:t>
      </w:r>
      <w:r>
        <w:lastRenderedPageBreak/>
        <w:t>the route has the character of a way mostly used in the manner in which a public footpath or bridleway is used</w:t>
      </w:r>
      <w:r>
        <w:rPr>
          <w:rStyle w:val="FootnoteReference"/>
        </w:rPr>
        <w:footnoteReference w:id="3"/>
      </w:r>
      <w:r>
        <w:t xml:space="preserve">. </w:t>
      </w:r>
    </w:p>
    <w:p w14:paraId="7065AC8C" w14:textId="2BC3423B" w:rsidR="005D739B" w:rsidRPr="00C60384" w:rsidRDefault="005D739B" w:rsidP="008B2231">
      <w:pPr>
        <w:pStyle w:val="Style1"/>
        <w:numPr>
          <w:ilvl w:val="0"/>
          <w:numId w:val="9"/>
        </w:numPr>
        <w:tabs>
          <w:tab w:val="clear" w:pos="432"/>
          <w:tab w:val="left" w:pos="851"/>
        </w:tabs>
      </w:pPr>
      <w:r>
        <w:t xml:space="preserve">The landowner contends that the evidence does not show the Order route to be a public road, whilst the TRF argues it does </w:t>
      </w:r>
      <w:r w:rsidRPr="00C60384">
        <w:t xml:space="preserve">but that the road does not fit the criteria for addition to the definitive map and statement. </w:t>
      </w:r>
      <w:bookmarkEnd w:id="11"/>
    </w:p>
    <w:p w14:paraId="017EEC33" w14:textId="69A6D46B" w:rsidR="003360D0" w:rsidRPr="00E45C22" w:rsidRDefault="003360D0" w:rsidP="003360D0">
      <w:pPr>
        <w:tabs>
          <w:tab w:val="left" w:pos="851"/>
        </w:tabs>
        <w:spacing w:before="180"/>
        <w:rPr>
          <w:b/>
          <w:bCs/>
          <w:i/>
          <w:iCs/>
        </w:rPr>
      </w:pPr>
      <w:r w:rsidRPr="00E45C22">
        <w:rPr>
          <w:b/>
          <w:bCs/>
          <w:i/>
          <w:iCs/>
        </w:rPr>
        <w:t>The nature of the route as a cul-de-sac</w:t>
      </w:r>
    </w:p>
    <w:p w14:paraId="573F368A" w14:textId="7690C3EE" w:rsidR="003360D0" w:rsidRDefault="00527A71" w:rsidP="003360D0">
      <w:pPr>
        <w:numPr>
          <w:ilvl w:val="0"/>
          <w:numId w:val="9"/>
        </w:numPr>
        <w:tabs>
          <w:tab w:val="left" w:pos="851"/>
        </w:tabs>
        <w:spacing w:before="180"/>
        <w:ind w:left="426" w:hanging="426"/>
      </w:pPr>
      <w:r>
        <w:t xml:space="preserve">Before analysing the historical </w:t>
      </w:r>
      <w:proofErr w:type="gramStart"/>
      <w:r>
        <w:t>evidence</w:t>
      </w:r>
      <w:proofErr w:type="gramEnd"/>
      <w:r>
        <w:t xml:space="preserve"> I note </w:t>
      </w:r>
      <w:r w:rsidR="00401995">
        <w:t xml:space="preserve">firstly </w:t>
      </w:r>
      <w:r>
        <w:t xml:space="preserve">that the route proposed by this Order </w:t>
      </w:r>
      <w:r w:rsidR="002F790D">
        <w:t>appears to</w:t>
      </w:r>
      <w:r w:rsidR="003360D0">
        <w:t xml:space="preserve"> be </w:t>
      </w:r>
      <w:r>
        <w:t xml:space="preserve">a cul-de-sac for vehicles. Although it would connect with Bridleway 11 at point A, no further onward public </w:t>
      </w:r>
      <w:r w:rsidR="003360D0">
        <w:t xml:space="preserve">vehicular </w:t>
      </w:r>
      <w:r>
        <w:t xml:space="preserve">rights would be recorded </w:t>
      </w:r>
      <w:r w:rsidR="00A66B2E">
        <w:t xml:space="preserve">by this Order </w:t>
      </w:r>
      <w:r w:rsidR="003360D0">
        <w:t>beyond</w:t>
      </w:r>
      <w:r>
        <w:t xml:space="preserve"> that junction. </w:t>
      </w:r>
      <w:r w:rsidR="003360D0">
        <w:t>Clearly t</w:t>
      </w:r>
      <w:r>
        <w:t xml:space="preserve">he </w:t>
      </w:r>
      <w:r w:rsidR="003360D0">
        <w:t xml:space="preserve">road </w:t>
      </w:r>
      <w:r w:rsidR="00401995">
        <w:t xml:space="preserve">does </w:t>
      </w:r>
      <w:r>
        <w:t>continu</w:t>
      </w:r>
      <w:r w:rsidR="003360D0">
        <w:t>e</w:t>
      </w:r>
      <w:r w:rsidR="00A66B2E">
        <w:t xml:space="preserve"> beyond the locked gate </w:t>
      </w:r>
      <w:r w:rsidR="002F790D">
        <w:t>and ‘</w:t>
      </w:r>
      <w:r w:rsidR="002F790D" w:rsidRPr="002F790D">
        <w:rPr>
          <w:smallCaps/>
        </w:rPr>
        <w:t>private’</w:t>
      </w:r>
      <w:r w:rsidR="002F790D">
        <w:t xml:space="preserve"> notice </w:t>
      </w:r>
      <w:r w:rsidR="00A66B2E">
        <w:t xml:space="preserve">at point A, leading </w:t>
      </w:r>
      <w:r>
        <w:t>south eastwards to the B6525</w:t>
      </w:r>
      <w:r w:rsidR="00A66B2E">
        <w:t>,</w:t>
      </w:r>
      <w:r w:rsidR="003360D0">
        <w:t xml:space="preserve"> but th</w:t>
      </w:r>
      <w:r w:rsidR="00401995">
        <w:t xml:space="preserve">e status of that way </w:t>
      </w:r>
      <w:r>
        <w:t xml:space="preserve">is not </w:t>
      </w:r>
      <w:r w:rsidR="003360D0">
        <w:t xml:space="preserve">(directly, at least) </w:t>
      </w:r>
      <w:r>
        <w:t>at issue here</w:t>
      </w:r>
      <w:r w:rsidR="003360D0">
        <w:rPr>
          <w:rStyle w:val="FootnoteReference"/>
        </w:rPr>
        <w:footnoteReference w:id="4"/>
      </w:r>
      <w:r w:rsidR="003360D0">
        <w:t xml:space="preserve">. </w:t>
      </w:r>
      <w:proofErr w:type="gramStart"/>
      <w:r w:rsidR="003360D0">
        <w:t>However</w:t>
      </w:r>
      <w:proofErr w:type="gramEnd"/>
      <w:r w:rsidR="003360D0">
        <w:t xml:space="preserve"> </w:t>
      </w:r>
      <w:r>
        <w:t xml:space="preserve">it is impossible to disregard </w:t>
      </w:r>
      <w:r w:rsidR="003360D0">
        <w:t>the</w:t>
      </w:r>
      <w:r>
        <w:t xml:space="preserve"> physical existence </w:t>
      </w:r>
      <w:r w:rsidR="003360D0">
        <w:t xml:space="preserve">of a through-route </w:t>
      </w:r>
      <w:r>
        <w:t xml:space="preserve">since the early nineteenth century at least </w:t>
      </w:r>
      <w:r w:rsidR="002F790D">
        <w:t>(</w:t>
      </w:r>
      <w:r>
        <w:t>as demonstrated by Fryer</w:t>
      </w:r>
      <w:r w:rsidR="002F790D">
        <w:t>’</w:t>
      </w:r>
      <w:r>
        <w:t xml:space="preserve">s map </w:t>
      </w:r>
      <w:r w:rsidR="003360D0">
        <w:t>of</w:t>
      </w:r>
      <w:r>
        <w:t xml:space="preserve"> 1820</w:t>
      </w:r>
      <w:r w:rsidR="002F790D">
        <w:t>)</w:t>
      </w:r>
      <w:r w:rsidR="00401995">
        <w:t xml:space="preserve"> when considering the history of the Order route </w:t>
      </w:r>
      <w:r w:rsidR="00A66B2E">
        <w:t>Z-</w:t>
      </w:r>
      <w:r w:rsidR="00401995">
        <w:t>A</w:t>
      </w:r>
      <w:r>
        <w:t xml:space="preserve">. </w:t>
      </w:r>
    </w:p>
    <w:p w14:paraId="56C2C18A" w14:textId="120FCFEE" w:rsidR="009C7E68" w:rsidRDefault="00401995" w:rsidP="009C7E68">
      <w:pPr>
        <w:numPr>
          <w:ilvl w:val="0"/>
          <w:numId w:val="9"/>
        </w:numPr>
        <w:tabs>
          <w:tab w:val="left" w:pos="851"/>
        </w:tabs>
        <w:spacing w:before="180"/>
        <w:ind w:left="426" w:hanging="426"/>
      </w:pPr>
      <w:r>
        <w:t>At point A t</w:t>
      </w:r>
      <w:r w:rsidR="003360D0">
        <w:t xml:space="preserve">here is no obvious destination of interest to the public to explain </w:t>
      </w:r>
      <w:r w:rsidR="009C7E68">
        <w:t xml:space="preserve">a vehicular </w:t>
      </w:r>
      <w:r w:rsidR="003360D0">
        <w:t>cul-de-sac</w:t>
      </w:r>
      <w:r w:rsidR="009C7E68">
        <w:t xml:space="preserve"> in this location</w:t>
      </w:r>
      <w:r w:rsidR="003360D0">
        <w:t>.</w:t>
      </w:r>
      <w:r w:rsidR="009C7E68">
        <w:t xml:space="preserve"> Since th</w:t>
      </w:r>
      <w:r>
        <w:t xml:space="preserve">is </w:t>
      </w:r>
      <w:r w:rsidR="00A66B2E">
        <w:t>issue</w:t>
      </w:r>
      <w:r w:rsidR="009C7E68">
        <w:t xml:space="preserve"> was highlighted in the submissions, I invited further comments from the parties </w:t>
      </w:r>
      <w:proofErr w:type="gramStart"/>
      <w:r w:rsidR="009C7E68">
        <w:t>in order to</w:t>
      </w:r>
      <w:proofErr w:type="gramEnd"/>
      <w:r w:rsidR="009C7E68">
        <w:t xml:space="preserve"> establish whether in fact this </w:t>
      </w:r>
      <w:r>
        <w:t xml:space="preserve">route </w:t>
      </w:r>
      <w:r w:rsidR="00322B19">
        <w:t>could</w:t>
      </w:r>
      <w:r>
        <w:t xml:space="preserve"> </w:t>
      </w:r>
      <w:r w:rsidR="00322B19">
        <w:t xml:space="preserve">technically </w:t>
      </w:r>
      <w:r w:rsidR="009C7E68">
        <w:t>constitute a public highway over and above bridleway status.</w:t>
      </w:r>
    </w:p>
    <w:p w14:paraId="7189998A" w14:textId="27611200" w:rsidR="003360D0" w:rsidRDefault="008865CF" w:rsidP="008B2231">
      <w:pPr>
        <w:numPr>
          <w:ilvl w:val="0"/>
          <w:numId w:val="9"/>
        </w:numPr>
        <w:tabs>
          <w:tab w:val="left" w:pos="851"/>
        </w:tabs>
        <w:spacing w:before="180"/>
        <w:ind w:left="426" w:hanging="426"/>
      </w:pPr>
      <w:r>
        <w:t xml:space="preserve">No clear explanation emerged to support a cul-de-sac highway here. For this </w:t>
      </w:r>
      <w:proofErr w:type="gramStart"/>
      <w:r>
        <w:t>reason</w:t>
      </w:r>
      <w:proofErr w:type="gramEnd"/>
      <w:r>
        <w:t xml:space="preserve"> I propose to consider the section Z-A in the context of what I shall refer to as ‘the whole road’ although I will emphasise that it is only the Order route that is before me for determination.</w:t>
      </w:r>
    </w:p>
    <w:p w14:paraId="069223D5" w14:textId="77777777" w:rsidR="003360D0" w:rsidRPr="00E45C22" w:rsidRDefault="003360D0" w:rsidP="003360D0">
      <w:pPr>
        <w:pStyle w:val="Style1"/>
        <w:numPr>
          <w:ilvl w:val="0"/>
          <w:numId w:val="0"/>
        </w:numPr>
        <w:tabs>
          <w:tab w:val="clear" w:pos="432"/>
          <w:tab w:val="left" w:pos="851"/>
        </w:tabs>
        <w:rPr>
          <w:b/>
          <w:bCs/>
          <w:i/>
        </w:rPr>
      </w:pPr>
      <w:r w:rsidRPr="00E45C22">
        <w:rPr>
          <w:b/>
          <w:bCs/>
          <w:i/>
        </w:rPr>
        <w:t>Evidence of public vehicular rights</w:t>
      </w:r>
    </w:p>
    <w:p w14:paraId="2F7543B9" w14:textId="67B2D7B1" w:rsidR="003360D0" w:rsidRDefault="002A438D" w:rsidP="003360D0">
      <w:pPr>
        <w:numPr>
          <w:ilvl w:val="0"/>
          <w:numId w:val="9"/>
        </w:numPr>
        <w:tabs>
          <w:tab w:val="clear" w:pos="432"/>
          <w:tab w:val="left" w:pos="425"/>
          <w:tab w:val="left" w:pos="851"/>
        </w:tabs>
        <w:spacing w:before="180"/>
      </w:pPr>
      <w:r>
        <w:t>T</w:t>
      </w:r>
      <w:r w:rsidR="003360D0">
        <w:t xml:space="preserve">he evidence in this case is quite limited. It includes historical maps, tithe records, Ordnance Survey (OS) maps, material prepared under the Finance Act 1910 and twentieth century highway records.  Most significantly the Order route is recorded as a publicly maintainable highway and has been so shown in the County’s road records since the 1950s. </w:t>
      </w:r>
    </w:p>
    <w:p w14:paraId="254F2359" w14:textId="5546F043" w:rsidR="00527A71" w:rsidRDefault="009C7E68" w:rsidP="0081155F">
      <w:pPr>
        <w:numPr>
          <w:ilvl w:val="0"/>
          <w:numId w:val="9"/>
        </w:numPr>
        <w:tabs>
          <w:tab w:val="left" w:pos="851"/>
        </w:tabs>
        <w:spacing w:before="180"/>
        <w:ind w:left="426" w:hanging="426"/>
      </w:pPr>
      <w:r>
        <w:t xml:space="preserve">An early map </w:t>
      </w:r>
      <w:r w:rsidR="001620EA">
        <w:t xml:space="preserve">of Northumberland </w:t>
      </w:r>
      <w:r>
        <w:t xml:space="preserve">by </w:t>
      </w:r>
      <w:r w:rsidR="00E878E5">
        <w:t xml:space="preserve">Armstrong </w:t>
      </w:r>
      <w:r>
        <w:t xml:space="preserve">(1769) </w:t>
      </w:r>
      <w:r w:rsidR="00E878E5">
        <w:t>does not show the Order route</w:t>
      </w:r>
      <w:r w:rsidR="000C5E90">
        <w:rPr>
          <w:rStyle w:val="FootnoteReference"/>
        </w:rPr>
        <w:footnoteReference w:id="5"/>
      </w:r>
      <w:r w:rsidR="00E878E5">
        <w:t xml:space="preserve"> although the Fenton to </w:t>
      </w:r>
      <w:proofErr w:type="spellStart"/>
      <w:r w:rsidR="00E878E5">
        <w:t>Barmoor</w:t>
      </w:r>
      <w:proofErr w:type="spellEnd"/>
      <w:r w:rsidR="00E878E5">
        <w:t xml:space="preserve"> and </w:t>
      </w:r>
      <w:proofErr w:type="spellStart"/>
      <w:r w:rsidR="00E878E5">
        <w:t>Lowick</w:t>
      </w:r>
      <w:proofErr w:type="spellEnd"/>
      <w:r w:rsidR="00E878E5">
        <w:t xml:space="preserve"> </w:t>
      </w:r>
      <w:r w:rsidR="00BD40AB">
        <w:t xml:space="preserve">road </w:t>
      </w:r>
      <w:r w:rsidR="00E878E5">
        <w:t xml:space="preserve">is shown with double dashed lines, connecting with </w:t>
      </w:r>
      <w:r w:rsidR="00527A71">
        <w:t xml:space="preserve">the Doddington to </w:t>
      </w:r>
      <w:proofErr w:type="spellStart"/>
      <w:r w:rsidR="00527A71">
        <w:t>Barmoor</w:t>
      </w:r>
      <w:proofErr w:type="spellEnd"/>
      <w:r w:rsidR="00527A71">
        <w:t xml:space="preserve"> road (B6525) somewhere near to its </w:t>
      </w:r>
      <w:proofErr w:type="gramStart"/>
      <w:r w:rsidR="00527A71">
        <w:t>present day</w:t>
      </w:r>
      <w:proofErr w:type="gramEnd"/>
      <w:r w:rsidR="00527A71">
        <w:t xml:space="preserve"> junction. Whilst this </w:t>
      </w:r>
      <w:r w:rsidR="00BD40AB">
        <w:t>obviously can</w:t>
      </w:r>
      <w:r w:rsidR="00527A71">
        <w:t xml:space="preserve">not confirm the existence of the </w:t>
      </w:r>
      <w:r w:rsidR="00F12402">
        <w:t>Order route and its continuation south eastwards</w:t>
      </w:r>
      <w:r w:rsidR="001620EA">
        <w:t xml:space="preserve"> </w:t>
      </w:r>
      <w:r w:rsidR="00527A71">
        <w:t>in the late eighteenth century, it appears that the road</w:t>
      </w:r>
      <w:r w:rsidR="001620EA">
        <w:t>s</w:t>
      </w:r>
      <w:r w:rsidR="00527A71">
        <w:t xml:space="preserve"> to which it connect</w:t>
      </w:r>
      <w:r w:rsidR="00F12402">
        <w:t>ed</w:t>
      </w:r>
      <w:r w:rsidR="00527A71">
        <w:t xml:space="preserve"> w</w:t>
      </w:r>
      <w:r w:rsidR="001620EA">
        <w:t>ere</w:t>
      </w:r>
      <w:r w:rsidR="00527A71">
        <w:t xml:space="preserve"> certainly in use.  </w:t>
      </w:r>
    </w:p>
    <w:p w14:paraId="0ACCB2AF" w14:textId="7B66BF91" w:rsidR="00BD40AB" w:rsidRDefault="00BD40AB" w:rsidP="0081155F">
      <w:pPr>
        <w:numPr>
          <w:ilvl w:val="0"/>
          <w:numId w:val="9"/>
        </w:numPr>
        <w:tabs>
          <w:tab w:val="left" w:pos="851"/>
        </w:tabs>
        <w:spacing w:before="180"/>
        <w:ind w:left="426" w:hanging="426"/>
      </w:pPr>
      <w:r>
        <w:t>Maps by Fryer in 1820 and Cary (1820-1832) both show th</w:t>
      </w:r>
      <w:r w:rsidR="008865CF">
        <w:t>e whole road</w:t>
      </w:r>
      <w:r>
        <w:t xml:space="preserve"> as part of the local network</w:t>
      </w:r>
      <w:r w:rsidR="005A42DB">
        <w:t>, passing ‘Nesbitt Buildings’ and ‘Hanging Hall’</w:t>
      </w:r>
      <w:r w:rsidR="00E843C7">
        <w:rPr>
          <w:rStyle w:val="FootnoteReference"/>
        </w:rPr>
        <w:footnoteReference w:id="6"/>
      </w:r>
      <w:r>
        <w:t>.</w:t>
      </w:r>
      <w:r w:rsidR="005A42DB">
        <w:t xml:space="preserve"> Yet Greenwood’s map published in 1828 omitted both this and the Fenton-</w:t>
      </w:r>
      <w:proofErr w:type="spellStart"/>
      <w:r w:rsidR="005A42DB">
        <w:t>Barmoor</w:t>
      </w:r>
      <w:proofErr w:type="spellEnd"/>
      <w:r w:rsidR="005A42DB">
        <w:t xml:space="preserve"> </w:t>
      </w:r>
      <w:r w:rsidR="005A42DB">
        <w:lastRenderedPageBreak/>
        <w:t>road; on this map a road to Nesbitt Buildings (in the vicinity of the present Fenton House)</w:t>
      </w:r>
      <w:r w:rsidR="001620EA">
        <w:t xml:space="preserve"> </w:t>
      </w:r>
      <w:r w:rsidR="005A42DB">
        <w:t>is shown from Nesbitt</w:t>
      </w:r>
      <w:r w:rsidR="001620EA">
        <w:t>,</w:t>
      </w:r>
      <w:r w:rsidR="005A42DB">
        <w:t xml:space="preserve"> and a group of buildings </w:t>
      </w:r>
      <w:r w:rsidR="001620EA">
        <w:t xml:space="preserve">close to point A </w:t>
      </w:r>
      <w:r w:rsidR="005A42DB">
        <w:t>(later labelled as ‘Hanging Hall’ by the OS</w:t>
      </w:r>
      <w:r w:rsidR="00E843C7">
        <w:t>)</w:t>
      </w:r>
      <w:r w:rsidR="005A42DB">
        <w:t xml:space="preserve"> was shown as being reached via the present Fenton Hill.</w:t>
      </w:r>
      <w:r w:rsidR="00E843C7">
        <w:t xml:space="preserve"> The physical existence of the </w:t>
      </w:r>
      <w:r w:rsidR="00F12402">
        <w:t xml:space="preserve">whole </w:t>
      </w:r>
      <w:r w:rsidR="00E843C7">
        <w:t>road at the time of Greenwood’s map does not seem to be in doubt as it</w:t>
      </w:r>
      <w:r w:rsidR="001620EA">
        <w:t xml:space="preserve"> was recorded by Fryer before 1828 and </w:t>
      </w:r>
      <w:r w:rsidR="00E843C7">
        <w:t xml:space="preserve">is clearly shown on the first edition OS map in the </w:t>
      </w:r>
      <w:proofErr w:type="spellStart"/>
      <w:r w:rsidR="00E843C7">
        <w:t>mid 1860s</w:t>
      </w:r>
      <w:proofErr w:type="spellEnd"/>
      <w:r w:rsidR="001620EA">
        <w:t>.  Y</w:t>
      </w:r>
      <w:r w:rsidR="00E843C7">
        <w:t>et there is no clue to its omission</w:t>
      </w:r>
      <w:r w:rsidR="00F12402">
        <w:t xml:space="preserve"> by Greenwood</w:t>
      </w:r>
      <w:r w:rsidR="00E843C7">
        <w:t xml:space="preserve">. </w:t>
      </w:r>
      <w:r w:rsidR="001620EA">
        <w:t xml:space="preserve"> </w:t>
      </w:r>
    </w:p>
    <w:p w14:paraId="66FEB0FD" w14:textId="1F15A50A" w:rsidR="009C7E68" w:rsidRDefault="00E843C7" w:rsidP="008B2231">
      <w:pPr>
        <w:numPr>
          <w:ilvl w:val="0"/>
          <w:numId w:val="9"/>
        </w:numPr>
        <w:tabs>
          <w:tab w:val="left" w:pos="851"/>
        </w:tabs>
        <w:spacing w:before="180"/>
        <w:ind w:left="426" w:hanging="426"/>
      </w:pPr>
      <w:r>
        <w:t>Given this surprising inconsistency between Fryer/Cary and Greenwood, I i</w:t>
      </w:r>
      <w:r w:rsidR="009C7E68">
        <w:t xml:space="preserve">nvited comments </w:t>
      </w:r>
      <w:r>
        <w:t xml:space="preserve">from interested parties, seeking </w:t>
      </w:r>
      <w:r w:rsidR="001620EA">
        <w:t>views</w:t>
      </w:r>
      <w:r>
        <w:t xml:space="preserve"> on the </w:t>
      </w:r>
      <w:r w:rsidR="009C7E68">
        <w:t xml:space="preserve">conflicts between </w:t>
      </w:r>
      <w:r>
        <w:t xml:space="preserve">these maps </w:t>
      </w:r>
      <w:r w:rsidR="009C7E68">
        <w:t>and the respective weight to be attached to each</w:t>
      </w:r>
      <w:r>
        <w:t xml:space="preserve">. </w:t>
      </w:r>
      <w:r w:rsidR="009C7E68">
        <w:t xml:space="preserve"> </w:t>
      </w:r>
    </w:p>
    <w:p w14:paraId="439A914E" w14:textId="4A23B32C" w:rsidR="0055247A" w:rsidRDefault="0055247A" w:rsidP="0081155F">
      <w:pPr>
        <w:numPr>
          <w:ilvl w:val="0"/>
          <w:numId w:val="9"/>
        </w:numPr>
        <w:tabs>
          <w:tab w:val="left" w:pos="851"/>
        </w:tabs>
        <w:spacing w:before="180"/>
        <w:ind w:left="426" w:hanging="426"/>
      </w:pPr>
      <w:r>
        <w:t xml:space="preserve">NCC points out that Greenwood is usually the more accurate of commercial </w:t>
      </w:r>
      <w:proofErr w:type="gramStart"/>
      <w:r>
        <w:t>map</w:t>
      </w:r>
      <w:r w:rsidR="00E843C7">
        <w:t>-makers</w:t>
      </w:r>
      <w:proofErr w:type="gramEnd"/>
      <w:r>
        <w:t xml:space="preserve"> of the time but n</w:t>
      </w:r>
      <w:r w:rsidR="00E843C7">
        <w:t>o</w:t>
      </w:r>
      <w:r>
        <w:t xml:space="preserve">t infallible. </w:t>
      </w:r>
      <w:r w:rsidR="001620EA">
        <w:t>The council</w:t>
      </w:r>
      <w:r w:rsidR="00E843C7">
        <w:t xml:space="preserve"> recognises t</w:t>
      </w:r>
      <w:r>
        <w:t>here is no obvious reason why the Order route and the connectin</w:t>
      </w:r>
      <w:r w:rsidR="00E843C7">
        <w:t>g</w:t>
      </w:r>
      <w:r>
        <w:t xml:space="preserve"> </w:t>
      </w:r>
      <w:proofErr w:type="spellStart"/>
      <w:r>
        <w:t>Kimmerston</w:t>
      </w:r>
      <w:proofErr w:type="spellEnd"/>
      <w:r>
        <w:t xml:space="preserve"> to Bar Moor road should be omitted altogether. </w:t>
      </w:r>
    </w:p>
    <w:p w14:paraId="4483AC62" w14:textId="4D87AFB4" w:rsidR="00622FE1" w:rsidRDefault="00E843C7" w:rsidP="0081155F">
      <w:pPr>
        <w:numPr>
          <w:ilvl w:val="0"/>
          <w:numId w:val="9"/>
        </w:numPr>
        <w:tabs>
          <w:tab w:val="left" w:pos="851"/>
        </w:tabs>
        <w:spacing w:before="180"/>
        <w:ind w:left="426" w:hanging="426"/>
      </w:pPr>
      <w:r>
        <w:t xml:space="preserve">The </w:t>
      </w:r>
      <w:r w:rsidR="000A3CDF">
        <w:t>BHS suggests that Greenwood may h</w:t>
      </w:r>
      <w:r>
        <w:t>a</w:t>
      </w:r>
      <w:r w:rsidR="000A3CDF">
        <w:t>v</w:t>
      </w:r>
      <w:r>
        <w:t>e</w:t>
      </w:r>
      <w:r w:rsidR="000A3CDF">
        <w:t xml:space="preserve"> considered t</w:t>
      </w:r>
      <w:r w:rsidR="001620EA">
        <w:t>he route</w:t>
      </w:r>
      <w:r w:rsidR="000A3CDF">
        <w:t xml:space="preserve"> to be less tha</w:t>
      </w:r>
      <w:r w:rsidR="00FE5015">
        <w:t>n</w:t>
      </w:r>
      <w:r w:rsidR="000A3CDF">
        <w:t xml:space="preserve"> a public carriageway</w:t>
      </w:r>
      <w:r w:rsidR="00891708">
        <w:t>, in particular a</w:t>
      </w:r>
      <w:r w:rsidR="000A3CDF">
        <w:t xml:space="preserve"> bridleway.</w:t>
      </w:r>
      <w:r w:rsidR="00891708">
        <w:t xml:space="preserve"> </w:t>
      </w:r>
      <w:proofErr w:type="gramStart"/>
      <w:r w:rsidR="00157147">
        <w:t>Nevertheless</w:t>
      </w:r>
      <w:proofErr w:type="gramEnd"/>
      <w:r w:rsidR="00157147">
        <w:t xml:space="preserve"> i</w:t>
      </w:r>
      <w:r w:rsidR="00891708">
        <w:t xml:space="preserve">t is the Society’s view that </w:t>
      </w:r>
      <w:r w:rsidR="00157147">
        <w:t xml:space="preserve">the Order route </w:t>
      </w:r>
      <w:r w:rsidR="00891708">
        <w:t xml:space="preserve">was </w:t>
      </w:r>
      <w:r w:rsidR="00622FE1">
        <w:t>p</w:t>
      </w:r>
      <w:r w:rsidR="00891708">
        <w:t xml:space="preserve">art of a </w:t>
      </w:r>
      <w:r w:rsidR="00622FE1">
        <w:t>pre-existing through</w:t>
      </w:r>
      <w:r w:rsidR="001620EA">
        <w:t>-</w:t>
      </w:r>
      <w:r w:rsidR="00622FE1">
        <w:t>road</w:t>
      </w:r>
      <w:r w:rsidR="00891708">
        <w:t>.</w:t>
      </w:r>
      <w:r w:rsidR="00622FE1">
        <w:t xml:space="preserve"> </w:t>
      </w:r>
      <w:r w:rsidR="00157147">
        <w:t xml:space="preserve">It also points out that Fenton House </w:t>
      </w:r>
      <w:r w:rsidR="001620EA">
        <w:t xml:space="preserve">was </w:t>
      </w:r>
      <w:r w:rsidR="00157147">
        <w:t>not built until c1875 so is not shown on the early commercial maps</w:t>
      </w:r>
    </w:p>
    <w:p w14:paraId="1A00AC37" w14:textId="4B2F272C" w:rsidR="00891708" w:rsidRDefault="00891708" w:rsidP="0081155F">
      <w:pPr>
        <w:numPr>
          <w:ilvl w:val="0"/>
          <w:numId w:val="9"/>
        </w:numPr>
        <w:tabs>
          <w:tab w:val="left" w:pos="851"/>
        </w:tabs>
        <w:spacing w:before="180"/>
        <w:ind w:left="426" w:hanging="426"/>
      </w:pPr>
      <w:r>
        <w:t>On behalf of the TRF</w:t>
      </w:r>
      <w:r w:rsidR="001620EA">
        <w:t>,</w:t>
      </w:r>
      <w:r>
        <w:t xml:space="preserve"> Mr Kind</w:t>
      </w:r>
      <w:r w:rsidR="00622FE1">
        <w:t xml:space="preserve"> points to a number of present </w:t>
      </w:r>
      <w:proofErr w:type="gramStart"/>
      <w:r w:rsidR="00622FE1">
        <w:t>day</w:t>
      </w:r>
      <w:proofErr w:type="gramEnd"/>
      <w:r w:rsidR="00622FE1">
        <w:t xml:space="preserve"> recognised public roads in the </w:t>
      </w:r>
      <w:proofErr w:type="spellStart"/>
      <w:r w:rsidR="00622FE1">
        <w:t>locaility</w:t>
      </w:r>
      <w:proofErr w:type="spellEnd"/>
      <w:r w:rsidR="00622FE1">
        <w:t xml:space="preserve"> that were also omitted by Greenwood</w:t>
      </w:r>
      <w:r>
        <w:t>. He accept</w:t>
      </w:r>
      <w:r w:rsidR="00FE5015">
        <w:t>s</w:t>
      </w:r>
      <w:r>
        <w:t xml:space="preserve"> that </w:t>
      </w:r>
      <w:r w:rsidR="00622FE1">
        <w:t xml:space="preserve">their collective omission cannot be </w:t>
      </w:r>
      <w:proofErr w:type="gramStart"/>
      <w:r w:rsidR="00622FE1">
        <w:t xml:space="preserve">explained, </w:t>
      </w:r>
      <w:r>
        <w:t>but</w:t>
      </w:r>
      <w:proofErr w:type="gramEnd"/>
      <w:r>
        <w:t xml:space="preserve"> submit</w:t>
      </w:r>
      <w:r w:rsidR="00FE5015">
        <w:t>s</w:t>
      </w:r>
      <w:r>
        <w:t xml:space="preserve"> that the absence of </w:t>
      </w:r>
      <w:r w:rsidR="00622FE1">
        <w:t xml:space="preserve">the Order route </w:t>
      </w:r>
      <w:r>
        <w:t xml:space="preserve">is </w:t>
      </w:r>
      <w:r w:rsidR="00622FE1">
        <w:t>therefore of less significance</w:t>
      </w:r>
      <w:r>
        <w:t xml:space="preserve"> than had it been the only one missing.</w:t>
      </w:r>
    </w:p>
    <w:p w14:paraId="7375D5B4" w14:textId="08294D7D" w:rsidR="00891708" w:rsidRDefault="00891708" w:rsidP="0081155F">
      <w:pPr>
        <w:numPr>
          <w:ilvl w:val="0"/>
          <w:numId w:val="9"/>
        </w:numPr>
        <w:tabs>
          <w:tab w:val="left" w:pos="851"/>
        </w:tabs>
        <w:spacing w:before="180"/>
        <w:ind w:left="426" w:hanging="426"/>
      </w:pPr>
      <w:r>
        <w:t xml:space="preserve">I </w:t>
      </w:r>
      <w:r w:rsidR="005A5644">
        <w:t>recognise</w:t>
      </w:r>
      <w:r>
        <w:t xml:space="preserve"> that Greenwood is usually </w:t>
      </w:r>
      <w:r w:rsidR="00CB5875">
        <w:t xml:space="preserve">quite </w:t>
      </w:r>
      <w:r>
        <w:t>reliabl</w:t>
      </w:r>
      <w:r w:rsidR="00CB5875">
        <w:t xml:space="preserve">e is representing the highway network with a reasonable degree of accuracy; </w:t>
      </w:r>
      <w:proofErr w:type="gramStart"/>
      <w:r w:rsidR="005A5644">
        <w:t>indeed</w:t>
      </w:r>
      <w:proofErr w:type="gramEnd"/>
      <w:r w:rsidR="005A5644">
        <w:t xml:space="preserve"> </w:t>
      </w:r>
      <w:r w:rsidR="00CB5875">
        <w:t xml:space="preserve">it is for this reason that the </w:t>
      </w:r>
      <w:r w:rsidR="00157147">
        <w:t xml:space="preserve">complete </w:t>
      </w:r>
      <w:r w:rsidR="00CB5875">
        <w:t xml:space="preserve">absence of the </w:t>
      </w:r>
      <w:r w:rsidR="00FE5015">
        <w:t xml:space="preserve">whole </w:t>
      </w:r>
      <w:r w:rsidR="00CB5875">
        <w:t xml:space="preserve">route </w:t>
      </w:r>
      <w:r w:rsidR="00157147">
        <w:t>from</w:t>
      </w:r>
      <w:r w:rsidR="00CB5875">
        <w:t xml:space="preserve"> the 1828 map is so puzzling.</w:t>
      </w:r>
    </w:p>
    <w:p w14:paraId="553A1694" w14:textId="4C087062" w:rsidR="00CB5875" w:rsidRDefault="005A5644" w:rsidP="0081155F">
      <w:pPr>
        <w:numPr>
          <w:ilvl w:val="0"/>
          <w:numId w:val="9"/>
        </w:numPr>
        <w:tabs>
          <w:tab w:val="left" w:pos="851"/>
        </w:tabs>
        <w:spacing w:before="180"/>
        <w:ind w:left="426" w:hanging="426"/>
      </w:pPr>
      <w:r>
        <w:t>T</w:t>
      </w:r>
      <w:r w:rsidR="00157147">
        <w:t>he road is not marked on the map attached to the Fenton Tithe Award of 1849 either</w:t>
      </w:r>
      <w:r>
        <w:t>,</w:t>
      </w:r>
      <w:r w:rsidR="00157147">
        <w:t xml:space="preserve"> although ‘Hanging Hall’ is shown alongside the </w:t>
      </w:r>
      <w:r w:rsidR="00640EB2">
        <w:t>track</w:t>
      </w:r>
      <w:r w:rsidR="00157147">
        <w:t xml:space="preserve"> that now carries Bridleway 11 which continued to Fenton Hill.  </w:t>
      </w:r>
    </w:p>
    <w:p w14:paraId="12441CF1" w14:textId="5A9D4D11" w:rsidR="006A35A8" w:rsidRDefault="006A35A8" w:rsidP="006A35A8">
      <w:pPr>
        <w:numPr>
          <w:ilvl w:val="0"/>
          <w:numId w:val="9"/>
        </w:numPr>
        <w:tabs>
          <w:tab w:val="left" w:pos="851"/>
        </w:tabs>
        <w:spacing w:before="180"/>
        <w:ind w:left="426" w:hanging="426"/>
      </w:pPr>
      <w:r>
        <w:t xml:space="preserve">Yet the </w:t>
      </w:r>
      <w:r w:rsidR="003C7585">
        <w:t xml:space="preserve">whole </w:t>
      </w:r>
      <w:r>
        <w:t xml:space="preserve">road from point </w:t>
      </w:r>
      <w:r w:rsidR="00640EB2">
        <w:t>Z</w:t>
      </w:r>
      <w:r>
        <w:t xml:space="preserve"> via A to the B6565 </w:t>
      </w:r>
      <w:r w:rsidR="00640EB2">
        <w:t>ha</w:t>
      </w:r>
      <w:r>
        <w:t xml:space="preserve">s </w:t>
      </w:r>
      <w:r w:rsidR="00640EB2">
        <w:t xml:space="preserve">been </w:t>
      </w:r>
      <w:r>
        <w:t xml:space="preserve">shown consistently </w:t>
      </w:r>
      <w:r w:rsidR="00E93DB7">
        <w:t xml:space="preserve">for </w:t>
      </w:r>
      <w:r w:rsidR="00640EB2">
        <w:t>over</w:t>
      </w:r>
      <w:r w:rsidR="00E93DB7">
        <w:t xml:space="preserve"> a century </w:t>
      </w:r>
      <w:r>
        <w:t xml:space="preserve">on all OS editions (1864, 1899, 1924-25, 1957, 1965, 1988) although none of these </w:t>
      </w:r>
      <w:r w:rsidR="005A5644">
        <w:t xml:space="preserve">maps </w:t>
      </w:r>
      <w:r>
        <w:t xml:space="preserve">confirm its status </w:t>
      </w:r>
      <w:r w:rsidR="005A5644">
        <w:t>as</w:t>
      </w:r>
      <w:r>
        <w:t xml:space="preserve"> a </w:t>
      </w:r>
      <w:r w:rsidRPr="00640EB2">
        <w:rPr>
          <w:i/>
          <w:iCs/>
        </w:rPr>
        <w:t>public</w:t>
      </w:r>
      <w:r>
        <w:t xml:space="preserve"> way. </w:t>
      </w:r>
    </w:p>
    <w:p w14:paraId="26AEEC49" w14:textId="7A3F5FDF" w:rsidR="006A35A8" w:rsidRDefault="006A35A8" w:rsidP="006A35A8">
      <w:pPr>
        <w:numPr>
          <w:ilvl w:val="0"/>
          <w:numId w:val="9"/>
        </w:numPr>
        <w:tabs>
          <w:tab w:val="left" w:pos="851"/>
        </w:tabs>
        <w:spacing w:before="180"/>
        <w:ind w:left="426" w:hanging="426"/>
      </w:pPr>
      <w:r>
        <w:t xml:space="preserve">The </w:t>
      </w:r>
      <w:r w:rsidR="005A5644">
        <w:t xml:space="preserve">OS </w:t>
      </w:r>
      <w:r>
        <w:t xml:space="preserve">Book of Reference </w:t>
      </w:r>
      <w:r w:rsidR="00E93DB7">
        <w:t xml:space="preserve">which accompanied the OS first edition map draws attention to the fact that in the mid-nineteenth century the Order route and its continuation passed through three townships: Fenton, Nesbitt and Doddington. Both public roads and private roads are listed within each of these </w:t>
      </w:r>
      <w:r w:rsidR="00FE5015">
        <w:t>townships</w:t>
      </w:r>
      <w:r w:rsidR="00E93DB7">
        <w:t xml:space="preserve"> but </w:t>
      </w:r>
      <w:r w:rsidR="00355D80">
        <w:t xml:space="preserve">disappointingly </w:t>
      </w:r>
      <w:r w:rsidR="00E93DB7">
        <w:t>it has not been possible to marry up the reference numbers with the corresponding land</w:t>
      </w:r>
      <w:r w:rsidR="00355D80">
        <w:t xml:space="preserve"> </w:t>
      </w:r>
      <w:r w:rsidR="00E93DB7">
        <w:t>parcels on the first edition 25” maps.</w:t>
      </w:r>
    </w:p>
    <w:p w14:paraId="0F4829AD" w14:textId="2ED45650" w:rsidR="00891708" w:rsidRDefault="006A35A8" w:rsidP="0081155F">
      <w:pPr>
        <w:numPr>
          <w:ilvl w:val="0"/>
          <w:numId w:val="9"/>
        </w:numPr>
        <w:tabs>
          <w:tab w:val="left" w:pos="851"/>
        </w:tabs>
        <w:spacing w:before="180"/>
        <w:ind w:left="426" w:hanging="426"/>
      </w:pPr>
      <w:r>
        <w:t xml:space="preserve">I have noted various aspects of these maps which </w:t>
      </w:r>
      <w:r w:rsidR="00640EB2">
        <w:t>might</w:t>
      </w:r>
      <w:r>
        <w:t xml:space="preserve"> possibly offer clues to the past</w:t>
      </w:r>
      <w:r w:rsidR="000370F5">
        <w:t>,</w:t>
      </w:r>
      <w:r w:rsidR="00355D80">
        <w:t xml:space="preserve"> including the position of Hanging Hall and Nesbitt Buildings, the Order route being open to the moor on the eastern side until the late-1800s, the establishment of Fenton House in the late nineteenth century</w:t>
      </w:r>
      <w:r w:rsidR="000370F5">
        <w:t xml:space="preserve">; </w:t>
      </w:r>
      <w:r w:rsidR="00355D80">
        <w:t xml:space="preserve">all may be relevant to the status of the </w:t>
      </w:r>
      <w:r w:rsidR="00640EB2">
        <w:t xml:space="preserve">whole </w:t>
      </w:r>
      <w:r w:rsidR="00355D80">
        <w:t xml:space="preserve">road but there is not sufficient detail to reveal it. Further there </w:t>
      </w:r>
      <w:r w:rsidR="000370F5">
        <w:t xml:space="preserve">are </w:t>
      </w:r>
      <w:r w:rsidR="00355D80">
        <w:t xml:space="preserve">aspects of the </w:t>
      </w:r>
      <w:r w:rsidR="00B90117">
        <w:t xml:space="preserve">landscape here which suggest </w:t>
      </w:r>
      <w:r w:rsidR="000370F5">
        <w:t xml:space="preserve">that </w:t>
      </w:r>
      <w:r w:rsidR="00B90117">
        <w:t xml:space="preserve">the land </w:t>
      </w:r>
      <w:proofErr w:type="spellStart"/>
      <w:r w:rsidR="00B90117">
        <w:t>inclosure</w:t>
      </w:r>
      <w:proofErr w:type="spellEnd"/>
      <w:r w:rsidR="00B90117">
        <w:t xml:space="preserve"> movement of the late eighteenth/early nineteenth centuries may have had influence, yet no </w:t>
      </w:r>
      <w:proofErr w:type="spellStart"/>
      <w:r w:rsidR="00B90117">
        <w:t>inclosure</w:t>
      </w:r>
      <w:proofErr w:type="spellEnd"/>
      <w:r w:rsidR="00B90117">
        <w:t xml:space="preserve"> award or map has been discovered.</w:t>
      </w:r>
    </w:p>
    <w:p w14:paraId="1AB2DFA5" w14:textId="2CD0E248" w:rsidR="00BA24B4" w:rsidRDefault="00BA24B4" w:rsidP="0081155F">
      <w:pPr>
        <w:numPr>
          <w:ilvl w:val="0"/>
          <w:numId w:val="9"/>
        </w:numPr>
        <w:tabs>
          <w:tab w:val="left" w:pos="851"/>
        </w:tabs>
        <w:spacing w:before="180"/>
        <w:ind w:left="426" w:hanging="426"/>
      </w:pPr>
      <w:r>
        <w:lastRenderedPageBreak/>
        <w:t>The records compiled under the 1910 Finance Act are indecisive as regards the status of the way. The Order route is not excluded from adjacent hereditaments as might be expected if it were a</w:t>
      </w:r>
      <w:r w:rsidR="00B909D0">
        <w:t xml:space="preserve"> recognised </w:t>
      </w:r>
      <w:r>
        <w:t xml:space="preserve">vehicular highway. </w:t>
      </w:r>
    </w:p>
    <w:p w14:paraId="317C4388" w14:textId="6E4B1AB3" w:rsidR="00B90117" w:rsidRDefault="00B90117" w:rsidP="009C7E68">
      <w:pPr>
        <w:numPr>
          <w:ilvl w:val="0"/>
          <w:numId w:val="9"/>
        </w:numPr>
        <w:tabs>
          <w:tab w:val="left" w:pos="851"/>
        </w:tabs>
        <w:spacing w:before="180"/>
        <w:ind w:left="426" w:hanging="426"/>
      </w:pPr>
      <w:r>
        <w:t xml:space="preserve">The only evidence of an early road remains the two </w:t>
      </w:r>
      <w:r w:rsidR="000370F5">
        <w:t>(</w:t>
      </w:r>
      <w:r>
        <w:t>similar</w:t>
      </w:r>
      <w:r w:rsidR="000370F5">
        <w:t>)</w:t>
      </w:r>
      <w:r>
        <w:t xml:space="preserve"> commercial maps which swing the balance </w:t>
      </w:r>
      <w:r w:rsidR="00BA24B4">
        <w:t xml:space="preserve">of probability </w:t>
      </w:r>
      <w:r w:rsidR="00640EB2">
        <w:t xml:space="preserve">very </w:t>
      </w:r>
      <w:r>
        <w:t>slightly towards an historical public way and the OS mapping which confirms its physical existence ever since that period.</w:t>
      </w:r>
      <w:r w:rsidR="000370F5">
        <w:t xml:space="preserve"> </w:t>
      </w:r>
      <w:r>
        <w:t>On its own this would fall a long way short of the evidence required to prove a</w:t>
      </w:r>
      <w:r w:rsidR="000370F5">
        <w:t xml:space="preserve"> </w:t>
      </w:r>
      <w:r w:rsidR="001C4700">
        <w:t>public carriageway.</w:t>
      </w:r>
      <w:r>
        <w:t xml:space="preserve"> </w:t>
      </w:r>
    </w:p>
    <w:p w14:paraId="22F06A3F" w14:textId="76A472CA" w:rsidR="001C4700" w:rsidRDefault="001C4700" w:rsidP="001C4700">
      <w:pPr>
        <w:numPr>
          <w:ilvl w:val="0"/>
          <w:numId w:val="9"/>
        </w:numPr>
        <w:tabs>
          <w:tab w:val="left" w:pos="851"/>
        </w:tabs>
        <w:spacing w:before="180"/>
        <w:ind w:left="426" w:hanging="426"/>
      </w:pPr>
      <w:r>
        <w:t xml:space="preserve">Yet it is recognised that the Order route X-A has been included in the highway authority’s list of maintainable highways since its record dated 1951 and </w:t>
      </w:r>
      <w:r w:rsidR="00BA24B4">
        <w:t xml:space="preserve">is on all </w:t>
      </w:r>
      <w:r>
        <w:t>those that followed including the 1958 road schedule (Glendale Rural District of Berwick Division), 1964 map and schedule (</w:t>
      </w:r>
      <w:proofErr w:type="spellStart"/>
      <w:r>
        <w:t>Wooler</w:t>
      </w:r>
      <w:proofErr w:type="spellEnd"/>
      <w:r>
        <w:t xml:space="preserve"> Division), 1974 list</w:t>
      </w:r>
      <w:r w:rsidRPr="00A634B0">
        <w:t xml:space="preserve"> </w:t>
      </w:r>
      <w:r>
        <w:t>(</w:t>
      </w:r>
      <w:proofErr w:type="spellStart"/>
      <w:r>
        <w:t>Wooler</w:t>
      </w:r>
      <w:proofErr w:type="spellEnd"/>
      <w:r>
        <w:t xml:space="preserve"> Division)</w:t>
      </w:r>
      <w:r w:rsidR="00FE5015">
        <w:t xml:space="preserve"> and the</w:t>
      </w:r>
      <w:r>
        <w:t xml:space="preserve"> 2006 NCC list.</w:t>
      </w:r>
    </w:p>
    <w:p w14:paraId="478B3408" w14:textId="3C57B3C7" w:rsidR="009C7E68" w:rsidRDefault="001C4700" w:rsidP="008B2231">
      <w:pPr>
        <w:numPr>
          <w:ilvl w:val="0"/>
          <w:numId w:val="9"/>
        </w:numPr>
        <w:tabs>
          <w:tab w:val="left" w:pos="851"/>
        </w:tabs>
        <w:spacing w:before="180"/>
        <w:ind w:left="426" w:hanging="426"/>
      </w:pPr>
      <w:proofErr w:type="gramStart"/>
      <w:r>
        <w:t>However</w:t>
      </w:r>
      <w:proofErr w:type="gramEnd"/>
      <w:r>
        <w:t xml:space="preserve"> it is equally clear that this cul-de-sac was not included in the </w:t>
      </w:r>
      <w:r w:rsidR="009C7E68">
        <w:t>Glendale R</w:t>
      </w:r>
      <w:r>
        <w:t xml:space="preserve">ural </w:t>
      </w:r>
      <w:r w:rsidR="009C7E68">
        <w:t>D</w:t>
      </w:r>
      <w:r>
        <w:t xml:space="preserve">istrict </w:t>
      </w:r>
      <w:r w:rsidR="009C7E68">
        <w:t>C</w:t>
      </w:r>
      <w:r>
        <w:t>ouncil</w:t>
      </w:r>
      <w:r w:rsidR="009C7E68">
        <w:t xml:space="preserve"> handover map or the list of “</w:t>
      </w:r>
      <w:proofErr w:type="spellStart"/>
      <w:r w:rsidR="009C7E68">
        <w:t>Unclassifed</w:t>
      </w:r>
      <w:proofErr w:type="spellEnd"/>
      <w:r w:rsidR="009C7E68">
        <w:t xml:space="preserve"> Roads in Glendale Rural District” published in minutes of </w:t>
      </w:r>
      <w:r w:rsidR="00BA24B4">
        <w:t xml:space="preserve">the </w:t>
      </w:r>
      <w:r w:rsidR="009C7E68">
        <w:t xml:space="preserve">NCC Bridges and Roads </w:t>
      </w:r>
      <w:r w:rsidR="00BA24B4">
        <w:t>C</w:t>
      </w:r>
      <w:r w:rsidR="009C7E68">
        <w:t>ommittee 26 June 1939</w:t>
      </w:r>
      <w:r>
        <w:t xml:space="preserve">. </w:t>
      </w:r>
      <w:r w:rsidR="0055247A">
        <w:t xml:space="preserve">Neither is it on the list (published in August </w:t>
      </w:r>
      <w:r w:rsidR="0055247A" w:rsidRPr="00BA24B4">
        <w:t>19</w:t>
      </w:r>
      <w:r w:rsidR="00BA24B4" w:rsidRPr="00BA24B4">
        <w:t>3</w:t>
      </w:r>
      <w:r w:rsidR="0055247A" w:rsidRPr="00BA24B4">
        <w:t>9</w:t>
      </w:r>
      <w:r w:rsidRPr="00BA24B4">
        <w:t>)</w:t>
      </w:r>
      <w:r w:rsidR="0055247A">
        <w:t xml:space="preserve"> of unclassified roads related to the Restriction of Ribbon Development Act 1935</w:t>
      </w:r>
      <w:r>
        <w:t>.</w:t>
      </w:r>
      <w:r w:rsidR="009C7E68">
        <w:t xml:space="preserve"> </w:t>
      </w:r>
    </w:p>
    <w:p w14:paraId="5BCDE232" w14:textId="1604D587" w:rsidR="000C5E90" w:rsidRPr="00D062B7" w:rsidRDefault="0055247A" w:rsidP="0081155F">
      <w:pPr>
        <w:numPr>
          <w:ilvl w:val="0"/>
          <w:numId w:val="9"/>
        </w:numPr>
        <w:tabs>
          <w:tab w:val="left" w:pos="851"/>
        </w:tabs>
        <w:spacing w:before="180"/>
        <w:ind w:left="426" w:hanging="426"/>
      </w:pPr>
      <w:r>
        <w:t xml:space="preserve">NCC </w:t>
      </w:r>
      <w:r w:rsidR="001C4700">
        <w:t xml:space="preserve">candidly </w:t>
      </w:r>
      <w:r>
        <w:t xml:space="preserve">admits it does not know why the route was added in the 1950s or why it was identified as a cul-de-sac. </w:t>
      </w:r>
      <w:r w:rsidR="001C4700">
        <w:t xml:space="preserve">The authority has no evidence to explain this but suggests it </w:t>
      </w:r>
      <w:r w:rsidR="001C4700" w:rsidRPr="001C4700">
        <w:rPr>
          <w:i/>
          <w:iCs/>
        </w:rPr>
        <w:t>may</w:t>
      </w:r>
      <w:r w:rsidR="001C4700">
        <w:t xml:space="preserve"> have </w:t>
      </w:r>
      <w:r>
        <w:t xml:space="preserve">been </w:t>
      </w:r>
      <w:r w:rsidR="00640EB2">
        <w:t>recognised</w:t>
      </w:r>
      <w:r w:rsidR="001C4700">
        <w:t xml:space="preserve"> as a public vehicular </w:t>
      </w:r>
      <w:r>
        <w:t>through</w:t>
      </w:r>
      <w:r w:rsidR="001C4700">
        <w:t>-</w:t>
      </w:r>
      <w:r>
        <w:t>road but maint</w:t>
      </w:r>
      <w:r w:rsidR="001C4700">
        <w:t>ai</w:t>
      </w:r>
      <w:r>
        <w:t>na</w:t>
      </w:r>
      <w:r w:rsidR="001C4700">
        <w:t xml:space="preserve">ble </w:t>
      </w:r>
      <w:r w:rsidR="001C4700" w:rsidRPr="00D062B7">
        <w:t>by the public only between A and Z with responsibility for the remainder lying in private hands.</w:t>
      </w:r>
    </w:p>
    <w:p w14:paraId="68540BBB" w14:textId="1DC2A812" w:rsidR="001C4700" w:rsidRPr="00D062B7" w:rsidRDefault="00D062B7" w:rsidP="001C4700">
      <w:pPr>
        <w:numPr>
          <w:ilvl w:val="0"/>
          <w:numId w:val="9"/>
        </w:numPr>
        <w:tabs>
          <w:tab w:val="left" w:pos="851"/>
        </w:tabs>
        <w:spacing w:before="180"/>
        <w:ind w:left="426" w:hanging="426"/>
      </w:pPr>
      <w:r w:rsidRPr="00D062B7">
        <w:t>In 2014 t</w:t>
      </w:r>
      <w:r w:rsidR="001C4700" w:rsidRPr="00D062B7">
        <w:t>he landowner confirm</w:t>
      </w:r>
      <w:r w:rsidRPr="00D062B7">
        <w:t>ed</w:t>
      </w:r>
      <w:r w:rsidR="001C4700" w:rsidRPr="00D062B7">
        <w:t xml:space="preserve"> that t</w:t>
      </w:r>
      <w:r w:rsidR="00552A45" w:rsidRPr="00D062B7">
        <w:t xml:space="preserve">he </w:t>
      </w:r>
      <w:r w:rsidR="00FE5015">
        <w:t>Order route</w:t>
      </w:r>
      <w:r w:rsidR="001C4700" w:rsidRPr="00D062B7">
        <w:t xml:space="preserve"> </w:t>
      </w:r>
      <w:r w:rsidR="008326C2" w:rsidRPr="00D062B7">
        <w:t>was</w:t>
      </w:r>
      <w:r w:rsidR="001C4700" w:rsidRPr="00D062B7">
        <w:t xml:space="preserve"> assumed t</w:t>
      </w:r>
      <w:r w:rsidR="008326C2" w:rsidRPr="00D062B7">
        <w:t>o</w:t>
      </w:r>
      <w:r w:rsidR="001C4700" w:rsidRPr="00D062B7">
        <w:t xml:space="preserve"> </w:t>
      </w:r>
      <w:r w:rsidR="008326C2" w:rsidRPr="00D062B7">
        <w:t>be</w:t>
      </w:r>
      <w:r w:rsidR="001C4700" w:rsidRPr="00D062B7">
        <w:t xml:space="preserve"> part of the adopted highway </w:t>
      </w:r>
      <w:r w:rsidR="008326C2" w:rsidRPr="00D062B7">
        <w:t xml:space="preserve">and that it </w:t>
      </w:r>
      <w:r w:rsidR="001C4700" w:rsidRPr="00D062B7">
        <w:t>has for many years been maintained by NCC wh</w:t>
      </w:r>
      <w:r w:rsidR="008326C2" w:rsidRPr="00D062B7">
        <w:t>ich</w:t>
      </w:r>
      <w:r w:rsidR="001C4700" w:rsidRPr="00D062B7">
        <w:t xml:space="preserve"> ha</w:t>
      </w:r>
      <w:r w:rsidR="008326C2" w:rsidRPr="00D062B7">
        <w:t>s</w:t>
      </w:r>
      <w:r w:rsidR="001C4700" w:rsidRPr="00D062B7">
        <w:t xml:space="preserve"> carried out road and verge works</w:t>
      </w:r>
      <w:r w:rsidR="00FE5015">
        <w:t xml:space="preserve">. </w:t>
      </w:r>
      <w:r w:rsidRPr="00D062B7">
        <w:t xml:space="preserve"> </w:t>
      </w:r>
      <w:r w:rsidR="001B325B">
        <w:t>(</w:t>
      </w:r>
      <w:r w:rsidR="00FE5015">
        <w:t xml:space="preserve">An objection </w:t>
      </w:r>
      <w:r w:rsidR="00FE5015" w:rsidRPr="00D062B7">
        <w:t xml:space="preserve">to the Order </w:t>
      </w:r>
      <w:r w:rsidR="00FE5015">
        <w:t xml:space="preserve">was later lodged </w:t>
      </w:r>
      <w:r w:rsidRPr="00D062B7">
        <w:t>on practical grounds</w:t>
      </w:r>
      <w:r w:rsidR="00FE5015">
        <w:t xml:space="preserve">, noting also that </w:t>
      </w:r>
      <w:r w:rsidRPr="00D062B7">
        <w:t>the land is included in the estate title.</w:t>
      </w:r>
      <w:r w:rsidR="001B325B">
        <w:t>)</w:t>
      </w:r>
      <w:r w:rsidRPr="00D062B7">
        <w:t xml:space="preserve"> </w:t>
      </w:r>
    </w:p>
    <w:p w14:paraId="73949399" w14:textId="1A4A9B25" w:rsidR="00552A45" w:rsidRDefault="00552A45" w:rsidP="0081155F">
      <w:pPr>
        <w:numPr>
          <w:ilvl w:val="0"/>
          <w:numId w:val="9"/>
        </w:numPr>
        <w:tabs>
          <w:tab w:val="left" w:pos="851"/>
        </w:tabs>
        <w:spacing w:before="180"/>
        <w:ind w:left="426" w:hanging="426"/>
      </w:pPr>
      <w:r w:rsidRPr="00D062B7">
        <w:t>At all stages in the preparation of the d</w:t>
      </w:r>
      <w:r w:rsidR="00A634B0" w:rsidRPr="00D062B7">
        <w:t>efinitive map and statement</w:t>
      </w:r>
      <w:r w:rsidRPr="00D062B7">
        <w:t xml:space="preserve"> in the 1950s it seems the Order route was noted as a public road and Bridleway 11 (initially numbered 5) was marked as connecting</w:t>
      </w:r>
      <w:r>
        <w:t xml:space="preserve"> at a gate near point A. This </w:t>
      </w:r>
      <w:proofErr w:type="spellStart"/>
      <w:r>
        <w:t>proceded</w:t>
      </w:r>
      <w:proofErr w:type="spellEnd"/>
      <w:r>
        <w:t xml:space="preserve"> </w:t>
      </w:r>
      <w:r w:rsidR="00D062B7">
        <w:t>without question, implying that Z-</w:t>
      </w:r>
      <w:r>
        <w:t xml:space="preserve">A was </w:t>
      </w:r>
      <w:r w:rsidR="00D062B7">
        <w:t xml:space="preserve">judged to be of </w:t>
      </w:r>
      <w:r>
        <w:t xml:space="preserve">at least of an equivalent status. </w:t>
      </w:r>
    </w:p>
    <w:p w14:paraId="2D1D4FDB" w14:textId="1C598933" w:rsidR="00680532" w:rsidRDefault="00B57193" w:rsidP="0081155F">
      <w:pPr>
        <w:numPr>
          <w:ilvl w:val="0"/>
          <w:numId w:val="9"/>
        </w:numPr>
        <w:tabs>
          <w:tab w:val="left" w:pos="851"/>
        </w:tabs>
        <w:spacing w:before="180"/>
        <w:ind w:left="426" w:hanging="426"/>
      </w:pPr>
      <w:r>
        <w:t xml:space="preserve">I am </w:t>
      </w:r>
      <w:r w:rsidR="00680532">
        <w:t>aware</w:t>
      </w:r>
      <w:r>
        <w:t xml:space="preserve"> that the highway authority’s records of maintenance liability are not definitive.</w:t>
      </w:r>
      <w:r w:rsidR="00680532">
        <w:t xml:space="preserve"> Although they are required to be kept by law, there are no prescribed statutory procedures for adding or removing routes from t</w:t>
      </w:r>
      <w:r w:rsidR="00F36E84">
        <w:t>hem</w:t>
      </w:r>
      <w:r w:rsidR="00680532">
        <w:t xml:space="preserve">. </w:t>
      </w:r>
    </w:p>
    <w:p w14:paraId="2D16412B" w14:textId="77777777" w:rsidR="00680532" w:rsidRDefault="00680532" w:rsidP="008B2231">
      <w:pPr>
        <w:numPr>
          <w:ilvl w:val="0"/>
          <w:numId w:val="9"/>
        </w:numPr>
        <w:tabs>
          <w:tab w:val="left" w:pos="851"/>
        </w:tabs>
        <w:spacing w:before="180"/>
        <w:ind w:left="426" w:hanging="426"/>
      </w:pPr>
      <w:r>
        <w:t xml:space="preserve">Mr Kind produced copies of records extracted from the minute books of NCC’s Highway Committee from 1929 to the 1960s. He had undertaken extensive research </w:t>
      </w:r>
      <w:proofErr w:type="gramStart"/>
      <w:r>
        <w:t>so as to</w:t>
      </w:r>
      <w:proofErr w:type="gramEnd"/>
      <w:r>
        <w:t xml:space="preserve"> better understand how the authority managed its unclassified roads during this period. </w:t>
      </w:r>
    </w:p>
    <w:p w14:paraId="2114EFEA" w14:textId="32D66406" w:rsidR="00680532" w:rsidRDefault="00680532" w:rsidP="00680532">
      <w:pPr>
        <w:numPr>
          <w:ilvl w:val="0"/>
          <w:numId w:val="9"/>
        </w:numPr>
        <w:tabs>
          <w:tab w:val="clear" w:pos="432"/>
          <w:tab w:val="left" w:pos="425"/>
          <w:tab w:val="left" w:pos="851"/>
        </w:tabs>
        <w:spacing w:before="180"/>
      </w:pPr>
      <w:r>
        <w:t>These</w:t>
      </w:r>
      <w:r w:rsidRPr="00196377">
        <w:t xml:space="preserve"> </w:t>
      </w:r>
      <w:r>
        <w:t xml:space="preserve">records reveal that </w:t>
      </w:r>
      <w:r w:rsidRPr="00196377">
        <w:t xml:space="preserve">NCC chose to manage the new highways for which it became responsible </w:t>
      </w:r>
      <w:r>
        <w:t>in 1929</w:t>
      </w:r>
      <w:r w:rsidR="004C1CB4">
        <w:rPr>
          <w:rStyle w:val="FootnoteReference"/>
        </w:rPr>
        <w:footnoteReference w:id="7"/>
      </w:r>
      <w:r>
        <w:t xml:space="preserve"> </w:t>
      </w:r>
      <w:r w:rsidRPr="00196377">
        <w:t xml:space="preserve">by initially delegating maintenance and improvement works back to the </w:t>
      </w:r>
      <w:r>
        <w:t xml:space="preserve">same </w:t>
      </w:r>
      <w:r w:rsidRPr="00196377">
        <w:t>district surveyors</w:t>
      </w:r>
      <w:r>
        <w:t xml:space="preserve"> who previously worked on unclassified roads.  Mr Kind submits that this shows a strong inference of knowledge and competence in the maintenance of unclassified roads at the </w:t>
      </w:r>
      <w:r>
        <w:lastRenderedPageBreak/>
        <w:t xml:space="preserve">time since the same surveyors continued to oversee the highways in their area for several </w:t>
      </w:r>
      <w:r w:rsidR="00683F41">
        <w:t xml:space="preserve">more </w:t>
      </w:r>
      <w:r>
        <w:t>years</w:t>
      </w:r>
      <w:r w:rsidR="003576D2">
        <w:t xml:space="preserve"> after the handover</w:t>
      </w:r>
      <w:r w:rsidR="004C1CB4">
        <w:t>. A</w:t>
      </w:r>
      <w:r>
        <w:t>dditions to the network of publicly maintainable highways (adoptions) were handled by the County Council</w:t>
      </w:r>
      <w:r w:rsidR="004C1CB4">
        <w:t xml:space="preserve"> but there is no record of the Order route being the subject of formal adoption.</w:t>
      </w:r>
      <w:r>
        <w:t xml:space="preserve"> </w:t>
      </w:r>
    </w:p>
    <w:p w14:paraId="536F242D" w14:textId="31F7D0D5" w:rsidR="00F977FF" w:rsidRPr="00F977FF" w:rsidRDefault="00F977FF" w:rsidP="008B2231">
      <w:pPr>
        <w:numPr>
          <w:ilvl w:val="0"/>
          <w:numId w:val="9"/>
        </w:numPr>
        <w:tabs>
          <w:tab w:val="left" w:pos="851"/>
        </w:tabs>
        <w:spacing w:before="180"/>
        <w:rPr>
          <w:szCs w:val="22"/>
        </w:rPr>
      </w:pPr>
      <w:r>
        <w:t xml:space="preserve">I have no cause to doubt Mr Kind’s submission that </w:t>
      </w:r>
      <w:r w:rsidRPr="00F977FF">
        <w:rPr>
          <w:szCs w:val="22"/>
        </w:rPr>
        <w:t xml:space="preserve">the highway engineers and surveyors employed by NCC (and </w:t>
      </w:r>
      <w:r>
        <w:rPr>
          <w:szCs w:val="22"/>
        </w:rPr>
        <w:t xml:space="preserve">Glendale </w:t>
      </w:r>
      <w:r w:rsidRPr="00F977FF">
        <w:rPr>
          <w:szCs w:val="22"/>
        </w:rPr>
        <w:t xml:space="preserve">District Council before that) were competent and that the authority complied with its various duties in relation to highway maintenance. That is demonstrated by the minutes of the meetings provided by </w:t>
      </w:r>
      <w:r>
        <w:rPr>
          <w:szCs w:val="22"/>
        </w:rPr>
        <w:t>him</w:t>
      </w:r>
      <w:r w:rsidRPr="00F977FF">
        <w:rPr>
          <w:szCs w:val="22"/>
        </w:rPr>
        <w:t xml:space="preserve">.  </w:t>
      </w:r>
    </w:p>
    <w:p w14:paraId="69CBBE2B" w14:textId="492812B5" w:rsidR="00F977FF" w:rsidRDefault="00F977FF" w:rsidP="00F977FF">
      <w:pPr>
        <w:numPr>
          <w:ilvl w:val="0"/>
          <w:numId w:val="9"/>
        </w:numPr>
        <w:tabs>
          <w:tab w:val="clear" w:pos="432"/>
          <w:tab w:val="left" w:pos="425"/>
          <w:tab w:val="left" w:pos="851"/>
        </w:tabs>
        <w:spacing w:before="180"/>
        <w:rPr>
          <w:szCs w:val="22"/>
        </w:rPr>
      </w:pPr>
      <w:r>
        <w:rPr>
          <w:szCs w:val="22"/>
        </w:rPr>
        <w:t xml:space="preserve">However, it also true that those same district highway officers prepared a map in 1932 showing publicly maintainable highways to be ‘handed over’ which omitted the Order route, and seven years later published a map and schedule listing unclassified roads which did likewise. </w:t>
      </w:r>
    </w:p>
    <w:p w14:paraId="3F216B0D" w14:textId="4769D45E" w:rsidR="00552A45" w:rsidRDefault="00F977FF" w:rsidP="0081155F">
      <w:pPr>
        <w:numPr>
          <w:ilvl w:val="0"/>
          <w:numId w:val="9"/>
        </w:numPr>
        <w:tabs>
          <w:tab w:val="left" w:pos="851"/>
        </w:tabs>
        <w:spacing w:before="180"/>
        <w:ind w:left="426" w:hanging="426"/>
      </w:pPr>
      <w:r>
        <w:t>In my view, it is not unreasonable to question the evidence that supported th</w:t>
      </w:r>
      <w:r w:rsidR="004D651E">
        <w:t xml:space="preserve">e </w:t>
      </w:r>
      <w:r>
        <w:t>addition</w:t>
      </w:r>
      <w:r w:rsidR="004D651E">
        <w:t xml:space="preserve"> to the 1951 map</w:t>
      </w:r>
      <w:r>
        <w:t>, particularly in an exercise like this which is seeking to determine the permanent legal status of the way, not solely who is to maintain it. To do otherwise would be to simply accept that the surveyors discovered something that persuaded them it was a publicly maintainable road but where there is no actual record of what that was. In my opinion, that would be to take any ‘presumption of regularity’ a step too far.</w:t>
      </w:r>
    </w:p>
    <w:p w14:paraId="2F73ADAA" w14:textId="37E8A448" w:rsidR="00F977FF" w:rsidRDefault="004D651E" w:rsidP="0081155F">
      <w:pPr>
        <w:numPr>
          <w:ilvl w:val="0"/>
          <w:numId w:val="9"/>
        </w:numPr>
        <w:tabs>
          <w:tab w:val="left" w:pos="851"/>
        </w:tabs>
        <w:spacing w:before="180"/>
        <w:ind w:left="426" w:hanging="426"/>
      </w:pPr>
      <w:r>
        <w:t>However, n</w:t>
      </w:r>
      <w:r w:rsidR="00F977FF">
        <w:t xml:space="preserve">o reason has been forthcoming to explain the purpose of </w:t>
      </w:r>
      <w:r>
        <w:t xml:space="preserve">a well-maintained </w:t>
      </w:r>
      <w:r w:rsidR="00F977FF">
        <w:t>cul-de-sac highway in this location</w:t>
      </w:r>
      <w:r>
        <w:t xml:space="preserve"> surfaced with tarmac</w:t>
      </w:r>
      <w:r w:rsidR="003576D2">
        <w:t xml:space="preserve"> at the public expense</w:t>
      </w:r>
      <w:r w:rsidR="00F977FF">
        <w:t xml:space="preserve">. </w:t>
      </w:r>
      <w:r w:rsidR="00D14CA0">
        <w:t xml:space="preserve">There is no rule against a highway leading to a dead-end in </w:t>
      </w:r>
      <w:r>
        <w:t>the</w:t>
      </w:r>
      <w:r w:rsidR="00D14CA0">
        <w:t xml:space="preserve"> countryside such as this but in determining whether a highway subsists in law, how, </w:t>
      </w:r>
      <w:proofErr w:type="gramStart"/>
      <w:r w:rsidR="00D14CA0">
        <w:t>when</w:t>
      </w:r>
      <w:proofErr w:type="gramEnd"/>
      <w:r w:rsidR="00D14CA0">
        <w:t xml:space="preserve"> and why it came about are reasonable questions to ask. </w:t>
      </w:r>
    </w:p>
    <w:p w14:paraId="6E6743EB" w14:textId="28ECFDCF" w:rsidR="00D14CA0" w:rsidRPr="00E45C22" w:rsidRDefault="00D14CA0" w:rsidP="00D14CA0">
      <w:pPr>
        <w:tabs>
          <w:tab w:val="left" w:pos="851"/>
        </w:tabs>
        <w:spacing w:before="180"/>
        <w:rPr>
          <w:b/>
          <w:bCs/>
          <w:i/>
          <w:iCs/>
        </w:rPr>
      </w:pPr>
      <w:r w:rsidRPr="00E45C22">
        <w:rPr>
          <w:b/>
          <w:bCs/>
          <w:i/>
          <w:iCs/>
        </w:rPr>
        <w:t>Summary</w:t>
      </w:r>
      <w:r w:rsidR="004D651E" w:rsidRPr="00E45C22">
        <w:rPr>
          <w:b/>
          <w:bCs/>
          <w:i/>
          <w:iCs/>
        </w:rPr>
        <w:t xml:space="preserve"> and conclusions</w:t>
      </w:r>
    </w:p>
    <w:p w14:paraId="03D686F8" w14:textId="55AFB4D6" w:rsidR="00E958A7" w:rsidRDefault="00D14CA0" w:rsidP="008B2231">
      <w:pPr>
        <w:numPr>
          <w:ilvl w:val="0"/>
          <w:numId w:val="9"/>
        </w:numPr>
        <w:tabs>
          <w:tab w:val="left" w:pos="851"/>
        </w:tabs>
        <w:spacing w:before="180"/>
        <w:ind w:left="426" w:hanging="426"/>
      </w:pPr>
      <w:r>
        <w:t>My overall impression f</w:t>
      </w:r>
      <w:r w:rsidR="00EF697B">
        <w:t>rom</w:t>
      </w:r>
      <w:r>
        <w:t xml:space="preserve"> the evidence is that </w:t>
      </w:r>
      <w:r w:rsidR="00E958A7">
        <w:t xml:space="preserve">historically </w:t>
      </w:r>
      <w:r>
        <w:t xml:space="preserve">the </w:t>
      </w:r>
      <w:r w:rsidR="00042452">
        <w:t>whole</w:t>
      </w:r>
      <w:r>
        <w:t xml:space="preserve"> route probably formed </w:t>
      </w:r>
      <w:r w:rsidR="00E958A7">
        <w:t xml:space="preserve">a link in the local highway network, being </w:t>
      </w:r>
      <w:proofErr w:type="gramStart"/>
      <w:r>
        <w:t>part of a</w:t>
      </w:r>
      <w:r w:rsidR="00104FCD">
        <w:t xml:space="preserve"> </w:t>
      </w:r>
      <w:r w:rsidR="004D651E">
        <w:t xml:space="preserve">minor </w:t>
      </w:r>
      <w:r w:rsidR="00104FCD">
        <w:t xml:space="preserve">public </w:t>
      </w:r>
      <w:r>
        <w:t>through-ro</w:t>
      </w:r>
      <w:r w:rsidR="00104FCD">
        <w:t>ad</w:t>
      </w:r>
      <w:proofErr w:type="gramEnd"/>
      <w:r>
        <w:t xml:space="preserve"> which connected with</w:t>
      </w:r>
      <w:r w:rsidR="00E958A7">
        <w:t xml:space="preserve"> </w:t>
      </w:r>
      <w:r w:rsidR="00104FCD">
        <w:t>highways</w:t>
      </w:r>
      <w:r>
        <w:t xml:space="preserve"> at both ends. </w:t>
      </w:r>
      <w:r w:rsidR="00EF697B">
        <w:t>T</w:t>
      </w:r>
      <w:r w:rsidR="004D651E">
        <w:t>h</w:t>
      </w:r>
      <w:r w:rsidR="00E958A7">
        <w:t>e two commercial maps from the early 1800s</w:t>
      </w:r>
      <w:r w:rsidR="00EF697B">
        <w:t xml:space="preserve"> suggest that at th</w:t>
      </w:r>
      <w:r w:rsidR="004D651E">
        <w:t>e</w:t>
      </w:r>
      <w:r w:rsidR="00EF697B">
        <w:t xml:space="preserve"> time it may have run across open moor land</w:t>
      </w:r>
      <w:r w:rsidR="00E958A7">
        <w:t xml:space="preserve">. </w:t>
      </w:r>
    </w:p>
    <w:p w14:paraId="0FAB5EC7" w14:textId="7BB4948E" w:rsidR="00104FCD" w:rsidRDefault="00D14CA0" w:rsidP="008B2231">
      <w:pPr>
        <w:numPr>
          <w:ilvl w:val="0"/>
          <w:numId w:val="9"/>
        </w:numPr>
        <w:tabs>
          <w:tab w:val="left" w:pos="851"/>
        </w:tabs>
        <w:spacing w:before="180"/>
        <w:ind w:left="426" w:hanging="426"/>
      </w:pPr>
      <w:r>
        <w:t xml:space="preserve">My suspicion is that changes were </w:t>
      </w:r>
      <w:r w:rsidR="004D651E">
        <w:t xml:space="preserve">then </w:t>
      </w:r>
      <w:r>
        <w:t>in motion</w:t>
      </w:r>
      <w:r w:rsidR="00E958A7">
        <w:t>,</w:t>
      </w:r>
      <w:r>
        <w:t xml:space="preserve"> perhaps associated with </w:t>
      </w:r>
      <w:proofErr w:type="spellStart"/>
      <w:r>
        <w:t>inclosure</w:t>
      </w:r>
      <w:proofErr w:type="spellEnd"/>
      <w:r>
        <w:t xml:space="preserve"> in the early part of that century</w:t>
      </w:r>
      <w:r w:rsidR="00E958A7">
        <w:t xml:space="preserve">, and </w:t>
      </w:r>
      <w:r w:rsidR="00104FCD">
        <w:t xml:space="preserve">that </w:t>
      </w:r>
      <w:r w:rsidR="00E958A7">
        <w:t xml:space="preserve">this </w:t>
      </w:r>
      <w:r w:rsidR="00104FCD">
        <w:t xml:space="preserve">led to Greenwood’s omission of several roads in the vicinity of Fenton, Nesbitt and Doddington from his survey. </w:t>
      </w:r>
      <w:proofErr w:type="gramStart"/>
      <w:r w:rsidR="00104FCD">
        <w:t>However</w:t>
      </w:r>
      <w:proofErr w:type="gramEnd"/>
      <w:r w:rsidR="00104FCD">
        <w:t xml:space="preserve"> I recognise that </w:t>
      </w:r>
      <w:r w:rsidR="00E958A7">
        <w:t xml:space="preserve">this </w:t>
      </w:r>
      <w:r w:rsidR="00104FCD">
        <w:t xml:space="preserve">theory </w:t>
      </w:r>
      <w:r w:rsidR="00E958A7">
        <w:t xml:space="preserve">has no direct </w:t>
      </w:r>
      <w:r w:rsidR="00104FCD">
        <w:t>support</w:t>
      </w:r>
      <w:r w:rsidR="00E958A7">
        <w:t xml:space="preserve"> from </w:t>
      </w:r>
      <w:r w:rsidR="00104FCD">
        <w:t xml:space="preserve">the evidence before me and I do not rely on it. </w:t>
      </w:r>
      <w:r w:rsidR="004D651E">
        <w:t>But w</w:t>
      </w:r>
      <w:r w:rsidR="00104FCD">
        <w:t xml:space="preserve">hat is </w:t>
      </w:r>
      <w:r w:rsidR="004D651E">
        <w:t xml:space="preserve">quite </w:t>
      </w:r>
      <w:r w:rsidR="00104FCD">
        <w:t>clear is that</w:t>
      </w:r>
      <w:r w:rsidR="00E958A7">
        <w:t xml:space="preserve"> despite the Greenwood map,</w:t>
      </w:r>
      <w:r w:rsidR="00104FCD">
        <w:t xml:space="preserve"> the </w:t>
      </w:r>
      <w:r w:rsidR="00042452">
        <w:t xml:space="preserve">whole </w:t>
      </w:r>
      <w:r w:rsidR="00104FCD">
        <w:t xml:space="preserve">road has continued to physically exist for </w:t>
      </w:r>
      <w:r w:rsidR="00E958A7">
        <w:t xml:space="preserve">approaching two </w:t>
      </w:r>
      <w:r w:rsidR="00104FCD">
        <w:t>centur</w:t>
      </w:r>
      <w:r w:rsidR="00E958A7">
        <w:t>ies</w:t>
      </w:r>
      <w:r w:rsidR="00104FCD">
        <w:t xml:space="preserve"> and for the most part </w:t>
      </w:r>
      <w:r w:rsidR="00042452">
        <w:t xml:space="preserve">has </w:t>
      </w:r>
      <w:r w:rsidR="00104FCD">
        <w:t xml:space="preserve">been enclosed on both sides throughout its length. That fact does not preclude it from being private but the </w:t>
      </w:r>
      <w:r w:rsidR="008B2231">
        <w:t xml:space="preserve">unchallenged </w:t>
      </w:r>
      <w:r w:rsidR="00E958A7">
        <w:t xml:space="preserve">public interest in the </w:t>
      </w:r>
      <w:r w:rsidR="00104FCD">
        <w:t xml:space="preserve">maintenance </w:t>
      </w:r>
      <w:r w:rsidR="008B2231">
        <w:t xml:space="preserve">of Z-A </w:t>
      </w:r>
      <w:r w:rsidR="004D651E">
        <w:t xml:space="preserve">over 50 years or more </w:t>
      </w:r>
      <w:r w:rsidR="008B2231">
        <w:t xml:space="preserve">(albeit its origin is unexplained) adds weight to the </w:t>
      </w:r>
      <w:r w:rsidR="00042452">
        <w:t xml:space="preserve">case for </w:t>
      </w:r>
      <w:r w:rsidR="008B2231">
        <w:t>public vehicular rights, even if only applicable to the northernmost section.</w:t>
      </w:r>
    </w:p>
    <w:p w14:paraId="3609D33C" w14:textId="7FEC4326" w:rsidR="008B2231" w:rsidRDefault="008B2231" w:rsidP="008B2231">
      <w:pPr>
        <w:numPr>
          <w:ilvl w:val="0"/>
          <w:numId w:val="9"/>
        </w:numPr>
        <w:tabs>
          <w:tab w:val="left" w:pos="851"/>
        </w:tabs>
        <w:spacing w:before="180"/>
        <w:ind w:left="426" w:hanging="426"/>
      </w:pPr>
      <w:r>
        <w:t xml:space="preserve">Although there is some mention of use by the public, on foot and horseback, of the continuation south eastwards from point A, I have insufficient evidence before me to prompt my further investigation into this </w:t>
      </w:r>
      <w:r w:rsidR="004D651E">
        <w:t>section</w:t>
      </w:r>
      <w:r>
        <w:t>.</w:t>
      </w:r>
    </w:p>
    <w:p w14:paraId="274C9DEC" w14:textId="139CF3A5" w:rsidR="004F60F6" w:rsidRDefault="008B2231" w:rsidP="0081155F">
      <w:pPr>
        <w:numPr>
          <w:ilvl w:val="0"/>
          <w:numId w:val="9"/>
        </w:numPr>
        <w:tabs>
          <w:tab w:val="left" w:pos="851"/>
        </w:tabs>
        <w:spacing w:before="180"/>
        <w:ind w:left="426" w:hanging="426"/>
      </w:pPr>
      <w:r>
        <w:t xml:space="preserve">I am wholly satisfied that the route Z-A is of at least bridleway status and have considered whether to propose a modification to the Order to reflect this. </w:t>
      </w:r>
      <w:proofErr w:type="gramStart"/>
      <w:r>
        <w:lastRenderedPageBreak/>
        <w:t>However</w:t>
      </w:r>
      <w:proofErr w:type="gramEnd"/>
      <w:r>
        <w:t xml:space="preserve"> that would ignore the acceptance </w:t>
      </w:r>
      <w:r w:rsidR="004F60F6">
        <w:t>by</w:t>
      </w:r>
      <w:r>
        <w:t xml:space="preserve"> the landowner of publicly</w:t>
      </w:r>
      <w:r w:rsidR="004D651E">
        <w:t>-</w:t>
      </w:r>
      <w:r>
        <w:t xml:space="preserve">funded maintenance carried out over many years to ensure the route is to vehicular standard. </w:t>
      </w:r>
      <w:proofErr w:type="gramStart"/>
      <w:r>
        <w:t>Therefore</w:t>
      </w:r>
      <w:proofErr w:type="gramEnd"/>
      <w:r>
        <w:t xml:space="preserve"> on balance I </w:t>
      </w:r>
      <w:r w:rsidR="004F60F6">
        <w:t>conclude that, although very finely balanced in this case, the scales fall in favour of recording this route Z-A as a vehicular highway, albeit an apparent cul-de-sac with no clear public interest at point A.</w:t>
      </w:r>
    </w:p>
    <w:p w14:paraId="4B9DB6F4" w14:textId="334FC8A2" w:rsidR="00104FCD" w:rsidRDefault="00790D0A" w:rsidP="0081155F">
      <w:pPr>
        <w:numPr>
          <w:ilvl w:val="0"/>
          <w:numId w:val="9"/>
        </w:numPr>
        <w:tabs>
          <w:tab w:val="left" w:pos="851"/>
        </w:tabs>
        <w:spacing w:before="180"/>
        <w:ind w:left="426" w:hanging="426"/>
      </w:pPr>
      <w:r>
        <w:t xml:space="preserve">To summarise, on a balance of probability I conclude that the evidence is sufficient to show </w:t>
      </w:r>
      <w:r w:rsidR="00640A90">
        <w:t xml:space="preserve">that </w:t>
      </w:r>
      <w:r>
        <w:t xml:space="preserve">a public right of way for vehicles </w:t>
      </w:r>
      <w:r w:rsidR="00640A90">
        <w:t xml:space="preserve">subsists </w:t>
      </w:r>
      <w:r>
        <w:t xml:space="preserve">between points Z and A. </w:t>
      </w:r>
    </w:p>
    <w:p w14:paraId="68E39C64" w14:textId="34CDFCD4" w:rsidR="00790D0A" w:rsidRDefault="00790D0A" w:rsidP="0081155F">
      <w:pPr>
        <w:numPr>
          <w:ilvl w:val="0"/>
          <w:numId w:val="9"/>
        </w:numPr>
        <w:tabs>
          <w:tab w:val="left" w:pos="851"/>
        </w:tabs>
        <w:spacing w:before="180"/>
        <w:ind w:left="426" w:hanging="426"/>
      </w:pPr>
      <w:r>
        <w:t xml:space="preserve">The depiction of the Order route in the list of maintainable highways held by NCC is not disputed and therefore </w:t>
      </w:r>
      <w:r w:rsidR="00042452">
        <w:t>MPV</w:t>
      </w:r>
      <w:r>
        <w:t xml:space="preserve"> rights for the public are unaffected by the 2006 Act so that rights continue to exist for all types of vehicle. </w:t>
      </w:r>
    </w:p>
    <w:p w14:paraId="741F96D2" w14:textId="3A8D04D8" w:rsidR="00790D0A" w:rsidRDefault="00790D0A" w:rsidP="0081155F">
      <w:pPr>
        <w:numPr>
          <w:ilvl w:val="0"/>
          <w:numId w:val="9"/>
        </w:numPr>
        <w:tabs>
          <w:tab w:val="left" w:pos="851"/>
        </w:tabs>
        <w:spacing w:before="180"/>
        <w:ind w:left="426" w:hanging="426"/>
      </w:pPr>
      <w:r>
        <w:t>On behalf of the TRF</w:t>
      </w:r>
      <w:r w:rsidR="009B283F">
        <w:t>,</w:t>
      </w:r>
      <w:r>
        <w:t xml:space="preserve"> Mr Kind has challenged NCC’s conclusion that the route qualif</w:t>
      </w:r>
      <w:r w:rsidR="009B283F">
        <w:t>ies</w:t>
      </w:r>
      <w:r>
        <w:t xml:space="preserve"> for inclusion in the definitive record as a BOAT. He argues that there is no evidence to show that the Order route is other than an ordinary minor vehicular public road. </w:t>
      </w:r>
    </w:p>
    <w:p w14:paraId="13195A23" w14:textId="313F6FD7" w:rsidR="00790D0A" w:rsidRDefault="006A6147" w:rsidP="00645656">
      <w:pPr>
        <w:numPr>
          <w:ilvl w:val="0"/>
          <w:numId w:val="9"/>
        </w:numPr>
        <w:tabs>
          <w:tab w:val="left" w:pos="851"/>
        </w:tabs>
        <w:spacing w:before="180"/>
        <w:ind w:left="426" w:hanging="426"/>
      </w:pPr>
      <w:r>
        <w:t>T</w:t>
      </w:r>
      <w:r w:rsidR="009B283F">
        <w:t xml:space="preserve">he question </w:t>
      </w:r>
      <w:r w:rsidR="00790D0A">
        <w:t>is whether</w:t>
      </w:r>
      <w:r w:rsidR="009B283F">
        <w:t xml:space="preserve"> the route fits the statutory description as set out in paragraph </w:t>
      </w:r>
      <w:r w:rsidR="009B283F">
        <w:fldChar w:fldCharType="begin"/>
      </w:r>
      <w:r w:rsidR="009B283F">
        <w:instrText xml:space="preserve"> REF _Ref534964066 \r \h </w:instrText>
      </w:r>
      <w:r w:rsidR="009B283F">
        <w:fldChar w:fldCharType="separate"/>
      </w:r>
      <w:r w:rsidR="00A50C4D">
        <w:t>8</w:t>
      </w:r>
      <w:r w:rsidR="009B283F">
        <w:fldChar w:fldCharType="end"/>
      </w:r>
      <w:r w:rsidR="009B283F">
        <w:t xml:space="preserve"> above. </w:t>
      </w:r>
      <w:r w:rsidR="00D71C80">
        <w:t>W</w:t>
      </w:r>
      <w:r w:rsidR="009B283F" w:rsidRPr="00D71C80">
        <w:rPr>
          <w:szCs w:val="22"/>
        </w:rPr>
        <w:t>hen deciding whether a way ought to be shown on the definitive map and statement as a BOAT, paragraph 4.38 of Circular 1/09 advises authorities to “</w:t>
      </w:r>
      <w:r w:rsidR="009B283F" w:rsidRPr="00D71C80">
        <w:rPr>
          <w:i/>
          <w:szCs w:val="22"/>
        </w:rPr>
        <w:t xml:space="preserve">examine the </w:t>
      </w:r>
      <w:r w:rsidR="009B283F" w:rsidRPr="00D71C80">
        <w:rPr>
          <w:b/>
          <w:i/>
          <w:szCs w:val="22"/>
        </w:rPr>
        <w:t>characteristics</w:t>
      </w:r>
      <w:r w:rsidR="009B283F" w:rsidRPr="00D71C80">
        <w:rPr>
          <w:i/>
          <w:szCs w:val="22"/>
        </w:rPr>
        <w:t xml:space="preserve"> of the way. Relevant case law suggests that, for a carriageway to be a BOAT, it is not a necessary precondition for there to be equestrian or pedestrian use or that such use is greater than vehicular use.  The test also relates to its </w:t>
      </w:r>
      <w:r w:rsidR="009B283F" w:rsidRPr="00D71C80">
        <w:rPr>
          <w:b/>
          <w:i/>
          <w:szCs w:val="22"/>
        </w:rPr>
        <w:t>character</w:t>
      </w:r>
      <w:r w:rsidR="009B283F" w:rsidRPr="00D71C80">
        <w:rPr>
          <w:i/>
          <w:szCs w:val="22"/>
        </w:rPr>
        <w:t xml:space="preserve"> or </w:t>
      </w:r>
      <w:r w:rsidR="009B283F" w:rsidRPr="00D71C80">
        <w:rPr>
          <w:b/>
          <w:i/>
          <w:szCs w:val="22"/>
        </w:rPr>
        <w:t>type</w:t>
      </w:r>
      <w:r w:rsidR="009B283F" w:rsidRPr="00D71C80">
        <w:rPr>
          <w:i/>
          <w:szCs w:val="22"/>
        </w:rPr>
        <w:t xml:space="preserve"> and whether it is more </w:t>
      </w:r>
      <w:r w:rsidR="009B283F" w:rsidRPr="00D71C80">
        <w:rPr>
          <w:b/>
          <w:i/>
          <w:szCs w:val="22"/>
        </w:rPr>
        <w:t>suitable</w:t>
      </w:r>
      <w:r w:rsidR="009B283F" w:rsidRPr="00D71C80">
        <w:rPr>
          <w:i/>
          <w:szCs w:val="22"/>
        </w:rPr>
        <w:t xml:space="preserve"> for use by walkers and horse riders than vehicles</w:t>
      </w:r>
      <w:r w:rsidR="009B283F" w:rsidRPr="00D71C80">
        <w:rPr>
          <w:szCs w:val="22"/>
        </w:rPr>
        <w:t>.”</w:t>
      </w:r>
      <w:r w:rsidR="009B283F">
        <w:rPr>
          <w:rStyle w:val="FootnoteReference"/>
          <w:szCs w:val="22"/>
        </w:rPr>
        <w:footnoteReference w:id="8"/>
      </w:r>
    </w:p>
    <w:p w14:paraId="661D972E" w14:textId="271D8691" w:rsidR="009B283F" w:rsidRDefault="00D71C80" w:rsidP="009B283F">
      <w:pPr>
        <w:numPr>
          <w:ilvl w:val="0"/>
          <w:numId w:val="9"/>
        </w:numPr>
        <w:tabs>
          <w:tab w:val="left" w:pos="851"/>
        </w:tabs>
        <w:spacing w:before="180"/>
        <w:ind w:left="426" w:hanging="426"/>
      </w:pPr>
      <w:r>
        <w:t xml:space="preserve">This reflects the </w:t>
      </w:r>
      <w:r w:rsidRPr="00501A64">
        <w:rPr>
          <w:i/>
        </w:rPr>
        <w:t>Masters</w:t>
      </w:r>
      <w:r>
        <w:rPr>
          <w:rStyle w:val="FootnoteReference"/>
          <w:i/>
        </w:rPr>
        <w:footnoteReference w:id="9"/>
      </w:r>
      <w:r>
        <w:rPr>
          <w:i/>
        </w:rPr>
        <w:t xml:space="preserve"> </w:t>
      </w:r>
      <w:r w:rsidRPr="00501A64">
        <w:t xml:space="preserve">case where, in his judgement, </w:t>
      </w:r>
      <w:proofErr w:type="spellStart"/>
      <w:r w:rsidRPr="00501A64">
        <w:t>Roch</w:t>
      </w:r>
      <w:proofErr w:type="spellEnd"/>
      <w:r w:rsidRPr="00501A64">
        <w:t xml:space="preserve"> LJ concluded that “</w:t>
      </w:r>
      <w:r w:rsidRPr="00501A64">
        <w:rPr>
          <w:rFonts w:cs="Verdana"/>
          <w:i/>
        </w:rPr>
        <w:t xml:space="preserve">The purpose of the definition </w:t>
      </w:r>
      <w:r w:rsidRPr="00501A64">
        <w:rPr>
          <w:rFonts w:cs="Verdana"/>
        </w:rPr>
        <w:t>(in the 1981 Act)</w:t>
      </w:r>
      <w:r w:rsidRPr="00501A64">
        <w:rPr>
          <w:rFonts w:cs="Verdana"/>
          <w:i/>
        </w:rPr>
        <w:t xml:space="preserve"> was to identify the way Parliament intended should be shown on the definitive map and statement by its </w:t>
      </w:r>
      <w:r w:rsidRPr="00501A64">
        <w:rPr>
          <w:rFonts w:cs="Verdana"/>
          <w:b/>
          <w:i/>
        </w:rPr>
        <w:t>type</w:t>
      </w:r>
      <w:r w:rsidRPr="00501A64">
        <w:rPr>
          <w:rFonts w:cs="Verdana"/>
          <w:i/>
        </w:rPr>
        <w:t xml:space="preserve"> or </w:t>
      </w:r>
      <w:r w:rsidRPr="00501A64">
        <w:rPr>
          <w:rFonts w:cs="Verdana"/>
          <w:b/>
          <w:i/>
        </w:rPr>
        <w:t>character</w:t>
      </w:r>
      <w:r>
        <w:rPr>
          <w:rFonts w:cs="Verdana"/>
          <w:b/>
          <w:i/>
        </w:rPr>
        <w:t xml:space="preserve">”. </w:t>
      </w:r>
    </w:p>
    <w:p w14:paraId="28587B89" w14:textId="16D0B79C" w:rsidR="00D71C80" w:rsidRDefault="00D71C80" w:rsidP="0081155F">
      <w:pPr>
        <w:numPr>
          <w:ilvl w:val="0"/>
          <w:numId w:val="9"/>
        </w:numPr>
        <w:tabs>
          <w:tab w:val="left" w:pos="851"/>
        </w:tabs>
        <w:spacing w:before="180"/>
        <w:ind w:left="426" w:hanging="426"/>
      </w:pPr>
      <w:r>
        <w:t>Although the provision of a tarmac surface does suggest a road capable of forming part of the ordinary road network, its nature as a vehicular cul-de-sac with no place of public interest at point A, and its onward connection only for bridleway traffic, satisfies me that this route has the character of the type of road envisaged for inclusion on the definitive map as a BOAT.</w:t>
      </w:r>
    </w:p>
    <w:p w14:paraId="60209D75" w14:textId="5258948E" w:rsidR="00640A90" w:rsidRDefault="00640A90" w:rsidP="0081155F">
      <w:pPr>
        <w:numPr>
          <w:ilvl w:val="0"/>
          <w:numId w:val="9"/>
        </w:numPr>
        <w:tabs>
          <w:tab w:val="left" w:pos="851"/>
        </w:tabs>
        <w:spacing w:before="180"/>
        <w:ind w:left="426" w:hanging="426"/>
      </w:pPr>
      <w:r>
        <w:t>I therefore conclude that the Order route should be recorded on the definitive map and statement as a BOAT, that the consequential administrative changes to the connecting bridleway are required and that Order should be confirmed.</w:t>
      </w:r>
    </w:p>
    <w:p w14:paraId="4DDE2DB8" w14:textId="54585A31" w:rsidR="00230244" w:rsidRPr="00E45C22" w:rsidRDefault="00D71C80" w:rsidP="00D71C80">
      <w:pPr>
        <w:tabs>
          <w:tab w:val="left" w:pos="851"/>
        </w:tabs>
        <w:spacing w:before="180"/>
        <w:rPr>
          <w:b/>
          <w:bCs/>
          <w:i/>
          <w:iCs/>
        </w:rPr>
      </w:pPr>
      <w:r w:rsidRPr="00E45C22">
        <w:rPr>
          <w:b/>
          <w:bCs/>
          <w:i/>
          <w:iCs/>
        </w:rPr>
        <w:t>Other matters</w:t>
      </w:r>
    </w:p>
    <w:p w14:paraId="4BB47513" w14:textId="46CFE849" w:rsidR="003911E2" w:rsidRDefault="00D71C80" w:rsidP="0081155F">
      <w:pPr>
        <w:numPr>
          <w:ilvl w:val="0"/>
          <w:numId w:val="9"/>
        </w:numPr>
        <w:tabs>
          <w:tab w:val="left" w:pos="851"/>
        </w:tabs>
        <w:spacing w:before="180"/>
        <w:ind w:left="426" w:hanging="426"/>
      </w:pPr>
      <w:r>
        <w:t xml:space="preserve">The landowner has challenged the width of the Order route as stated in the Order schedule. This would </w:t>
      </w:r>
      <w:r w:rsidR="003C4D25">
        <w:t>define the width as</w:t>
      </w:r>
      <w:r>
        <w:t xml:space="preserve"> varying between 10 and 15.5 metres</w:t>
      </w:r>
      <w:r w:rsidR="000C795C">
        <w:t>, the measurement recorded by NCC between boundaries on each side</w:t>
      </w:r>
      <w:r>
        <w:t>.</w:t>
      </w:r>
      <w:r w:rsidR="003911E2">
        <w:t xml:space="preserve"> It is argued that the surfaced road is nearer 3-3.5m and that this is the width that this is the extent of the carriageway. </w:t>
      </w:r>
    </w:p>
    <w:p w14:paraId="10E0577D" w14:textId="68CBFCB4" w:rsidR="00A66B2E" w:rsidRDefault="003911E2" w:rsidP="0081155F">
      <w:pPr>
        <w:numPr>
          <w:ilvl w:val="0"/>
          <w:numId w:val="9"/>
        </w:numPr>
        <w:tabs>
          <w:tab w:val="left" w:pos="851"/>
        </w:tabs>
        <w:spacing w:before="180"/>
        <w:ind w:left="426" w:hanging="426"/>
      </w:pPr>
      <w:r>
        <w:lastRenderedPageBreak/>
        <w:t xml:space="preserve">In response NCC highlights the (rebuttable) presumption that the highway extends from boundary to boundary, thereby including the grass verges which are included for </w:t>
      </w:r>
      <w:r w:rsidR="00A66B2E">
        <w:t xml:space="preserve">use by </w:t>
      </w:r>
      <w:r>
        <w:t>pedestrians and horse riders</w:t>
      </w:r>
      <w:r w:rsidR="003C4D25">
        <w:t xml:space="preserve">, particularly </w:t>
      </w:r>
      <w:r>
        <w:t xml:space="preserve">when a motor vehicle is using the carriageway. </w:t>
      </w:r>
    </w:p>
    <w:p w14:paraId="534B1ED6" w14:textId="0C7B67ED" w:rsidR="00424481" w:rsidRPr="00A66B2E" w:rsidRDefault="00A66B2E" w:rsidP="00A66B2E">
      <w:pPr>
        <w:numPr>
          <w:ilvl w:val="0"/>
          <w:numId w:val="9"/>
        </w:numPr>
        <w:tabs>
          <w:tab w:val="left" w:pos="851"/>
        </w:tabs>
        <w:spacing w:before="180"/>
        <w:ind w:left="426" w:hanging="426"/>
      </w:pPr>
      <w:r>
        <w:t>I agree with NCC’s interpretation and do not consider it necessary to make any amendment to the Order as regards width.</w:t>
      </w:r>
      <w:r w:rsidR="000C795C">
        <w:t xml:space="preserve"> </w:t>
      </w:r>
      <w:r w:rsidR="00D71C80">
        <w:t xml:space="preserve"> </w:t>
      </w:r>
      <w:bookmarkEnd w:id="6"/>
    </w:p>
    <w:p w14:paraId="2BD599FB" w14:textId="2A71CA0C" w:rsidR="004012A8" w:rsidRPr="00B448A1" w:rsidRDefault="00B4050B" w:rsidP="004012A8">
      <w:pPr>
        <w:tabs>
          <w:tab w:val="left" w:pos="851"/>
        </w:tabs>
        <w:spacing w:before="180"/>
        <w:rPr>
          <w:b/>
          <w:szCs w:val="22"/>
        </w:rPr>
      </w:pPr>
      <w:r w:rsidRPr="002D402B">
        <w:rPr>
          <w:b/>
        </w:rPr>
        <w:t>Conclusion</w:t>
      </w:r>
      <w:bookmarkStart w:id="12" w:name="_Ref308089356"/>
      <w:r w:rsidR="00D00F4B">
        <w:rPr>
          <w:b/>
        </w:rPr>
        <w:t xml:space="preserve"> </w:t>
      </w:r>
    </w:p>
    <w:p w14:paraId="263A56C3" w14:textId="1A145A95" w:rsidR="00D10C08" w:rsidRDefault="00AA73BB" w:rsidP="002D1842">
      <w:pPr>
        <w:numPr>
          <w:ilvl w:val="0"/>
          <w:numId w:val="9"/>
        </w:numPr>
        <w:tabs>
          <w:tab w:val="clear" w:pos="432"/>
          <w:tab w:val="left" w:pos="851"/>
        </w:tabs>
        <w:spacing w:before="180"/>
        <w:ind w:left="426" w:hanging="426"/>
        <w:rPr>
          <w:szCs w:val="22"/>
        </w:rPr>
      </w:pPr>
      <w:r w:rsidRPr="00BE4594">
        <w:rPr>
          <w:szCs w:val="22"/>
        </w:rPr>
        <w:t xml:space="preserve">Having regard to </w:t>
      </w:r>
      <w:r>
        <w:rPr>
          <w:szCs w:val="22"/>
        </w:rPr>
        <w:t xml:space="preserve">the above and </w:t>
      </w:r>
      <w:r w:rsidRPr="00BE4594">
        <w:rPr>
          <w:szCs w:val="22"/>
        </w:rPr>
        <w:t xml:space="preserve">all </w:t>
      </w:r>
      <w:r>
        <w:rPr>
          <w:szCs w:val="22"/>
        </w:rPr>
        <w:t xml:space="preserve">other </w:t>
      </w:r>
      <w:r w:rsidRPr="00BE4594">
        <w:rPr>
          <w:szCs w:val="22"/>
        </w:rPr>
        <w:t xml:space="preserve">matters </w:t>
      </w:r>
      <w:r w:rsidRPr="00922A1E">
        <w:rPr>
          <w:szCs w:val="22"/>
        </w:rPr>
        <w:t xml:space="preserve">raised in the written representations, I </w:t>
      </w:r>
      <w:r w:rsidR="00424481">
        <w:rPr>
          <w:szCs w:val="22"/>
        </w:rPr>
        <w:t xml:space="preserve">conclude that </w:t>
      </w:r>
      <w:r w:rsidRPr="00922A1E">
        <w:rPr>
          <w:szCs w:val="22"/>
        </w:rPr>
        <w:t xml:space="preserve">the Order </w:t>
      </w:r>
      <w:r w:rsidR="00424481">
        <w:rPr>
          <w:szCs w:val="22"/>
        </w:rPr>
        <w:t>should be confirmed.</w:t>
      </w:r>
      <w:r w:rsidR="00D10C08">
        <w:rPr>
          <w:szCs w:val="22"/>
        </w:rPr>
        <w:t xml:space="preserve">  </w:t>
      </w:r>
    </w:p>
    <w:bookmarkEnd w:id="12"/>
    <w:p w14:paraId="2BD599FD" w14:textId="77777777" w:rsidR="004012A8" w:rsidRPr="004012A8" w:rsidRDefault="002D1842" w:rsidP="004012A8">
      <w:pPr>
        <w:tabs>
          <w:tab w:val="left" w:pos="851"/>
        </w:tabs>
        <w:spacing w:before="180"/>
        <w:rPr>
          <w:b/>
          <w:szCs w:val="22"/>
        </w:rPr>
      </w:pPr>
      <w:r w:rsidRPr="009319F6">
        <w:rPr>
          <w:b/>
        </w:rPr>
        <w:t>Formal Decision</w:t>
      </w:r>
    </w:p>
    <w:p w14:paraId="6284CD29" w14:textId="5C76DF73" w:rsidR="00A53FD2" w:rsidRPr="00924454" w:rsidRDefault="00A53FD2" w:rsidP="00A53FD2">
      <w:pPr>
        <w:pStyle w:val="Style1"/>
        <w:numPr>
          <w:ilvl w:val="0"/>
          <w:numId w:val="9"/>
        </w:numPr>
        <w:rPr>
          <w:color w:val="auto"/>
        </w:rPr>
      </w:pPr>
      <w:r w:rsidRPr="008D79C5">
        <w:rPr>
          <w:color w:val="auto"/>
          <w:szCs w:val="22"/>
        </w:rPr>
        <w:t>I confirm the Order</w:t>
      </w:r>
      <w:r w:rsidR="0087102B">
        <w:rPr>
          <w:color w:val="auto"/>
          <w:szCs w:val="22"/>
        </w:rPr>
        <w:t>.</w:t>
      </w:r>
    </w:p>
    <w:p w14:paraId="2BD599FF" w14:textId="77777777" w:rsidR="002D1842" w:rsidRDefault="002D1842" w:rsidP="00C1084C">
      <w:pPr>
        <w:pStyle w:val="Style1"/>
        <w:numPr>
          <w:ilvl w:val="0"/>
          <w:numId w:val="0"/>
        </w:numPr>
        <w:tabs>
          <w:tab w:val="clear" w:pos="432"/>
        </w:tabs>
        <w:spacing w:before="120"/>
        <w:ind w:left="432" w:hanging="75"/>
        <w:rPr>
          <w:color w:val="auto"/>
        </w:rPr>
      </w:pPr>
    </w:p>
    <w:p w14:paraId="2BD59A00" w14:textId="77777777" w:rsidR="00A921D1" w:rsidRDefault="00A921D1" w:rsidP="00DD0F33">
      <w:pPr>
        <w:pStyle w:val="Style1"/>
        <w:numPr>
          <w:ilvl w:val="0"/>
          <w:numId w:val="0"/>
        </w:numPr>
        <w:spacing w:before="240"/>
        <w:jc w:val="both"/>
        <w:rPr>
          <w:rFonts w:ascii="Monotype Corsiva" w:hAnsi="Monotype Corsiva"/>
          <w:sz w:val="36"/>
          <w:szCs w:val="36"/>
        </w:rPr>
      </w:pPr>
      <w:r>
        <w:rPr>
          <w:rFonts w:ascii="Monotype Corsiva" w:hAnsi="Monotype Corsiva"/>
          <w:sz w:val="36"/>
          <w:szCs w:val="36"/>
        </w:rPr>
        <w:t xml:space="preserve">Sue Arnott </w:t>
      </w:r>
    </w:p>
    <w:p w14:paraId="2BD59A01" w14:textId="77777777" w:rsidR="00B5340D" w:rsidRDefault="00A921D1" w:rsidP="00F73AF4">
      <w:pPr>
        <w:pStyle w:val="Style1"/>
        <w:numPr>
          <w:ilvl w:val="0"/>
          <w:numId w:val="0"/>
        </w:numPr>
        <w:spacing w:before="60"/>
        <w:jc w:val="both"/>
        <w:rPr>
          <w:b/>
        </w:rPr>
      </w:pPr>
      <w:r w:rsidRPr="00AA0937">
        <w:rPr>
          <w:b/>
        </w:rPr>
        <w:t>Inspector</w:t>
      </w:r>
    </w:p>
    <w:p w14:paraId="2BD59A02" w14:textId="3A998829" w:rsidR="00435C18" w:rsidRDefault="00435C18"/>
    <w:p w14:paraId="2F095055" w14:textId="135B92A4" w:rsidR="00F71DF1" w:rsidRDefault="00F71DF1"/>
    <w:p w14:paraId="3B15552D" w14:textId="3C7170A5" w:rsidR="00F71DF1" w:rsidRDefault="00F71DF1"/>
    <w:sectPr w:rsidR="00F71DF1" w:rsidSect="0070467C">
      <w:headerReference w:type="default" r:id="rId13"/>
      <w:footerReference w:type="even" r:id="rId14"/>
      <w:footerReference w:type="default" r:id="rId15"/>
      <w:headerReference w:type="first" r:id="rId16"/>
      <w:footerReference w:type="first" r:id="rId17"/>
      <w:pgSz w:w="11906" w:h="16838" w:code="9"/>
      <w:pgMar w:top="680" w:right="1077" w:bottom="1276" w:left="1525" w:header="556" w:footer="81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E1581" w14:textId="77777777" w:rsidR="006037C8" w:rsidRDefault="006037C8" w:rsidP="00F62916">
      <w:r>
        <w:separator/>
      </w:r>
    </w:p>
  </w:endnote>
  <w:endnote w:type="continuationSeparator" w:id="0">
    <w:p w14:paraId="7F2ECD60" w14:textId="77777777" w:rsidR="006037C8" w:rsidRDefault="006037C8" w:rsidP="00F62916">
      <w:r>
        <w:continuationSeparator/>
      </w:r>
    </w:p>
  </w:endnote>
  <w:endnote w:type="continuationNotice" w:id="1">
    <w:p w14:paraId="618D546C" w14:textId="77777777" w:rsidR="006037C8" w:rsidRDefault="006037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9A4C" w14:textId="77777777" w:rsidR="008B2231" w:rsidRDefault="008B22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BD59A4D" w14:textId="77777777" w:rsidR="008B2231" w:rsidRDefault="008B223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9A4E" w14:textId="77777777" w:rsidR="008B2231" w:rsidRDefault="008B2231">
    <w:pPr>
      <w:pStyle w:val="Noindent"/>
      <w:spacing w:before="120"/>
      <w:jc w:val="center"/>
      <w:rPr>
        <w:rStyle w:val="PageNumber"/>
      </w:rPr>
    </w:pPr>
    <w:r>
      <w:rPr>
        <w:noProof/>
        <w:sz w:val="18"/>
      </w:rPr>
      <mc:AlternateContent>
        <mc:Choice Requires="wps">
          <w:drawing>
            <wp:anchor distT="0" distB="0" distL="114300" distR="114300" simplePos="0" relativeHeight="251661824" behindDoc="0" locked="0" layoutInCell="1" allowOverlap="1" wp14:anchorId="2BD59A55" wp14:editId="2BD59A5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6032AB"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2BD59A4F" w14:textId="77777777" w:rsidR="008B2231" w:rsidRDefault="008B2231" w:rsidP="00E27376">
    <w:pPr>
      <w:pStyle w:val="Noinden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9A51" w14:textId="77777777" w:rsidR="008B2231" w:rsidRDefault="008B2231" w:rsidP="00646222">
    <w:pPr>
      <w:pStyle w:val="Noindent"/>
      <w:spacing w:before="120"/>
      <w:jc w:val="center"/>
      <w:rPr>
        <w:rStyle w:val="PageNumber"/>
      </w:rPr>
    </w:pPr>
    <w:r>
      <w:rPr>
        <w:noProof/>
        <w:sz w:val="18"/>
      </w:rPr>
      <mc:AlternateContent>
        <mc:Choice Requires="wps">
          <w:drawing>
            <wp:anchor distT="0" distB="0" distL="114300" distR="114300" simplePos="0" relativeHeight="251671040" behindDoc="0" locked="0" layoutInCell="1" allowOverlap="1" wp14:anchorId="2BD59A57" wp14:editId="2BD59A58">
              <wp:simplePos x="0" y="0"/>
              <wp:positionH relativeFrom="column">
                <wp:posOffset>-2540</wp:posOffset>
              </wp:positionH>
              <wp:positionV relativeFrom="paragraph">
                <wp:posOffset>159385</wp:posOffset>
              </wp:positionV>
              <wp:extent cx="5943600" cy="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772280" id="Line 17"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lewgEAAGoDAAAOAAAAZHJzL2Uyb0RvYy54bWysU01z2yAQvXem/4HhXkt267TRWM7BaXpx&#10;W88k+QFrQBJTYBnAlv3vu+CPpO0tUx0YYHffvvcWLe4O1rC9ClGja/l0UnOmnECpXd/y56eHD184&#10;iwmcBINOtfyoIr9bvn+3GH2jZjigkSowAnGxGX3Lh5R8U1VRDMpCnKBXjoIdBguJjqGvZICR0K2p&#10;ZnV9U40YpA8oVIx0e38K8mXB7zol0s+uiyox03LilsoayrrNa7VcQNMH8IMWZxrwBhYWtKOmV6h7&#10;SMB2Qf8DZbUIGLFLE4G2wq7TQhUNpGZa/6XmcQCvihYyJ/qrTfH/wYof+01gWrZ8zpkDSyNaa6fY&#10;9HO2ZvSxoYyV24QsThzco1+j+BWZw9UArleF4tPRU900V1R/lORD9NRgO35HSTmwS1h8OnTBZkhy&#10;gB3KOI7XcahDYoIu57efPt7UNDVxiVXQXAp9iOmbQsvypuWGSBdg2K9jykSguaTkPg4ftDFl2sax&#10;seW389m8FEQ0WuZgTouh365MYHvI76V8RRVFXqcF3DlZwAYF8ut5n0Cb056aG3c2I+s/OblFedyE&#10;i0k00MLy/Pjyi3l9LtUvv8jy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BYsClewgEAAGoDAAAOAAAAAAAAAAAAAAAAAC4C&#10;AABkcnMvZTJvRG9jLnhtbFBLAQItABQABgAIAAAAIQCBS7ob2wAAAAcBAAAPAAAAAAAAAAAAAAAA&#10;ABwEAABkcnMvZG93bnJldi54bWxQSwUGAAAAAAQABADzAAAAJAU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DB448" w14:textId="77777777" w:rsidR="006037C8" w:rsidRDefault="006037C8" w:rsidP="00F62916">
      <w:r>
        <w:separator/>
      </w:r>
    </w:p>
  </w:footnote>
  <w:footnote w:type="continuationSeparator" w:id="0">
    <w:p w14:paraId="35E3C70A" w14:textId="77777777" w:rsidR="006037C8" w:rsidRDefault="006037C8" w:rsidP="00F62916">
      <w:r>
        <w:continuationSeparator/>
      </w:r>
    </w:p>
  </w:footnote>
  <w:footnote w:type="continuationNotice" w:id="1">
    <w:p w14:paraId="030E4A7A" w14:textId="77777777" w:rsidR="006037C8" w:rsidRDefault="006037C8"/>
  </w:footnote>
  <w:footnote w:id="2">
    <w:p w14:paraId="77754641" w14:textId="77777777" w:rsidR="008B2231" w:rsidRDefault="008B2231" w:rsidP="0081155F">
      <w:pPr>
        <w:pStyle w:val="FootnoteText"/>
      </w:pPr>
      <w:r>
        <w:rPr>
          <w:rStyle w:val="FootnoteReference"/>
        </w:rPr>
        <w:footnoteRef/>
      </w:r>
      <w:r>
        <w:t xml:space="preserve"> Section 66 of the 1981 Act</w:t>
      </w:r>
    </w:p>
  </w:footnote>
  <w:footnote w:id="3">
    <w:p w14:paraId="691519E8" w14:textId="77777777" w:rsidR="008B2231" w:rsidRPr="009504AB" w:rsidRDefault="008B2231" w:rsidP="0081155F">
      <w:pPr>
        <w:rPr>
          <w:sz w:val="16"/>
          <w:szCs w:val="16"/>
        </w:rPr>
      </w:pPr>
      <w:r w:rsidRPr="009504AB">
        <w:rPr>
          <w:rStyle w:val="FootnoteReference"/>
          <w:sz w:val="16"/>
          <w:szCs w:val="16"/>
        </w:rPr>
        <w:footnoteRef/>
      </w:r>
      <w:r w:rsidRPr="009504AB">
        <w:rPr>
          <w:sz w:val="16"/>
          <w:szCs w:val="16"/>
        </w:rPr>
        <w:t xml:space="preserve"> A</w:t>
      </w:r>
      <w:r>
        <w:rPr>
          <w:sz w:val="16"/>
          <w:szCs w:val="16"/>
        </w:rPr>
        <w:t xml:space="preserve"> characteristic of a BOAT </w:t>
      </w:r>
      <w:r w:rsidRPr="009504AB">
        <w:rPr>
          <w:sz w:val="16"/>
          <w:szCs w:val="16"/>
        </w:rPr>
        <w:t xml:space="preserve">established in the case of </w:t>
      </w:r>
      <w:r w:rsidRPr="005C65B8">
        <w:rPr>
          <w:i/>
          <w:sz w:val="16"/>
          <w:szCs w:val="16"/>
        </w:rPr>
        <w:t xml:space="preserve">Masters v SSETR [2000] 2 All ER 788, (CA) [2000] EWCA </w:t>
      </w:r>
      <w:proofErr w:type="spellStart"/>
      <w:r w:rsidRPr="005C65B8">
        <w:rPr>
          <w:i/>
          <w:sz w:val="16"/>
          <w:szCs w:val="16"/>
        </w:rPr>
        <w:t>Civ</w:t>
      </w:r>
      <w:proofErr w:type="spellEnd"/>
      <w:r w:rsidRPr="005C65B8">
        <w:rPr>
          <w:i/>
          <w:sz w:val="16"/>
          <w:szCs w:val="16"/>
        </w:rPr>
        <w:t xml:space="preserve"> 249, (CA)[2000] 4 All ER 458, (CA)[2001] QB 151</w:t>
      </w:r>
      <w:r>
        <w:rPr>
          <w:i/>
          <w:sz w:val="16"/>
          <w:szCs w:val="16"/>
        </w:rPr>
        <w:t xml:space="preserve"> </w:t>
      </w:r>
      <w:r w:rsidRPr="00412C0E">
        <w:rPr>
          <w:sz w:val="16"/>
          <w:szCs w:val="16"/>
        </w:rPr>
        <w:t>(the</w:t>
      </w:r>
      <w:r>
        <w:rPr>
          <w:i/>
          <w:sz w:val="16"/>
          <w:szCs w:val="16"/>
        </w:rPr>
        <w:t xml:space="preserve"> Masters </w:t>
      </w:r>
      <w:r w:rsidRPr="00412C0E">
        <w:rPr>
          <w:sz w:val="16"/>
          <w:szCs w:val="16"/>
        </w:rPr>
        <w:t>case).</w:t>
      </w:r>
    </w:p>
  </w:footnote>
  <w:footnote w:id="4">
    <w:p w14:paraId="7FD8C7AE" w14:textId="2AB974B4" w:rsidR="008B2231" w:rsidRDefault="008B2231">
      <w:pPr>
        <w:pStyle w:val="FootnoteText"/>
      </w:pPr>
      <w:r>
        <w:rPr>
          <w:rStyle w:val="FootnoteReference"/>
        </w:rPr>
        <w:footnoteRef/>
      </w:r>
      <w:r>
        <w:t xml:space="preserve"> Although I am aware that the Ramblers’ Association commented that the BOAT should continue to the B6525</w:t>
      </w:r>
      <w:r w:rsidR="002F790D">
        <w:t>.</w:t>
      </w:r>
    </w:p>
  </w:footnote>
  <w:footnote w:id="5">
    <w:p w14:paraId="48BFAA12" w14:textId="172CDDBD" w:rsidR="008B2231" w:rsidRDefault="008B2231">
      <w:pPr>
        <w:pStyle w:val="FootnoteText"/>
      </w:pPr>
      <w:r>
        <w:rPr>
          <w:rStyle w:val="FootnoteReference"/>
        </w:rPr>
        <w:footnoteRef/>
      </w:r>
      <w:r>
        <w:t xml:space="preserve"> I agree with NCC’s interpretation of this map. It is unfortunate that a crease in the map along the line of the Order route give</w:t>
      </w:r>
      <w:r w:rsidR="001620EA">
        <w:t>s</w:t>
      </w:r>
      <w:r>
        <w:t xml:space="preserve"> the impression of a road.</w:t>
      </w:r>
    </w:p>
  </w:footnote>
  <w:footnote w:id="6">
    <w:p w14:paraId="475BBA0F" w14:textId="1F38AC88" w:rsidR="008B2231" w:rsidRDefault="008B2231">
      <w:pPr>
        <w:pStyle w:val="FootnoteText"/>
      </w:pPr>
      <w:r>
        <w:rPr>
          <w:rStyle w:val="FootnoteReference"/>
        </w:rPr>
        <w:footnoteRef/>
      </w:r>
      <w:r>
        <w:t xml:space="preserve"> Both buildings are shown by Fryer and Cary in different positions to those on later OS </w:t>
      </w:r>
      <w:proofErr w:type="gramStart"/>
      <w:r>
        <w:t>maps</w:t>
      </w:r>
      <w:proofErr w:type="gramEnd"/>
      <w:r>
        <w:t xml:space="preserve"> but I attach little significance to this inaccurate labelling by the earlier mapmakers. In </w:t>
      </w:r>
      <w:proofErr w:type="gramStart"/>
      <w:r>
        <w:t>fact</w:t>
      </w:r>
      <w:proofErr w:type="gramEnd"/>
      <w:r>
        <w:t xml:space="preserve"> Armstrong’s map in 1769 also noted Hanging House but in a position </w:t>
      </w:r>
      <w:r w:rsidR="00F12402">
        <w:t xml:space="preserve">well </w:t>
      </w:r>
      <w:r>
        <w:t xml:space="preserve">to the east of the Order route. </w:t>
      </w:r>
    </w:p>
  </w:footnote>
  <w:footnote w:id="7">
    <w:p w14:paraId="50738B17" w14:textId="35D40F47" w:rsidR="008B2231" w:rsidRDefault="008B2231">
      <w:pPr>
        <w:pStyle w:val="FootnoteText"/>
      </w:pPr>
      <w:r>
        <w:rPr>
          <w:rStyle w:val="FootnoteReference"/>
        </w:rPr>
        <w:footnoteRef/>
      </w:r>
      <w:r>
        <w:t xml:space="preserve"> As provided in the Local Government Act 1929</w:t>
      </w:r>
    </w:p>
  </w:footnote>
  <w:footnote w:id="8">
    <w:p w14:paraId="4FAC791E" w14:textId="77777777" w:rsidR="009B283F" w:rsidRDefault="009B283F" w:rsidP="009B283F">
      <w:pPr>
        <w:pStyle w:val="FootnoteText"/>
      </w:pPr>
      <w:r>
        <w:rPr>
          <w:rStyle w:val="FootnoteReference"/>
        </w:rPr>
        <w:footnoteRef/>
      </w:r>
      <w:r>
        <w:t xml:space="preserve"> Emphasis added</w:t>
      </w:r>
    </w:p>
  </w:footnote>
  <w:footnote w:id="9">
    <w:p w14:paraId="32C02B70" w14:textId="12E129BB" w:rsidR="00D71C80" w:rsidRDefault="00D71C80">
      <w:pPr>
        <w:pStyle w:val="FootnoteText"/>
      </w:pPr>
      <w:r>
        <w:rPr>
          <w:rStyle w:val="FootnoteReference"/>
        </w:rPr>
        <w:footnoteRef/>
      </w:r>
      <w:r>
        <w:t xml:space="preserve"> </w:t>
      </w:r>
      <w:r w:rsidRPr="004F7B94">
        <w:rPr>
          <w:rFonts w:cs="Verdana"/>
          <w:i/>
          <w:iCs/>
          <w:szCs w:val="22"/>
        </w:rPr>
        <w:t xml:space="preserve">Masters-v-the Secretary of State for the Environment, </w:t>
      </w:r>
      <w:proofErr w:type="gramStart"/>
      <w:r w:rsidRPr="004F7B94">
        <w:rPr>
          <w:rFonts w:cs="Verdana"/>
          <w:i/>
          <w:iCs/>
          <w:szCs w:val="22"/>
        </w:rPr>
        <w:t>Transport</w:t>
      </w:r>
      <w:proofErr w:type="gramEnd"/>
      <w:r w:rsidRPr="004F7B94">
        <w:rPr>
          <w:rFonts w:cs="Verdana"/>
          <w:i/>
          <w:iCs/>
          <w:szCs w:val="22"/>
        </w:rPr>
        <w:t xml:space="preserve"> and the Regions</w:t>
      </w:r>
      <w:r>
        <w:t xml:space="preserve"> </w:t>
      </w:r>
      <w:r w:rsidRPr="004F7B94">
        <w:rPr>
          <w:rFonts w:cs="Verdana"/>
          <w:i/>
          <w:iCs/>
          <w:szCs w:val="22"/>
        </w:rPr>
        <w:t>[</w:t>
      </w:r>
      <w:r>
        <w:rPr>
          <w:rFonts w:cs="Verdana"/>
          <w:i/>
          <w:iCs/>
          <w:szCs w:val="22"/>
        </w:rPr>
        <w:t>on a</w:t>
      </w:r>
      <w:r w:rsidRPr="004F7B94">
        <w:rPr>
          <w:rFonts w:cs="Verdana"/>
          <w:i/>
          <w:iCs/>
          <w:szCs w:val="22"/>
        </w:rPr>
        <w:t>pplication of the Court of Appeal judgment] [2000] 4 All ER 458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9520"/>
    </w:tblGrid>
    <w:tr w:rsidR="008B2231" w14:paraId="2BD59A4A" w14:textId="77777777">
      <w:tc>
        <w:tcPr>
          <w:tcW w:w="9520" w:type="dxa"/>
        </w:tcPr>
        <w:p w14:paraId="2BD59A49" w14:textId="738CAEDB" w:rsidR="008B2231" w:rsidRDefault="008B2231" w:rsidP="00181D21">
          <w:pPr>
            <w:pStyle w:val="Footer"/>
          </w:pPr>
          <w:r>
            <w:t>Order Decision ROW/3235802</w:t>
          </w:r>
        </w:p>
      </w:tc>
    </w:tr>
  </w:tbl>
  <w:p w14:paraId="2BD59A4B" w14:textId="77777777" w:rsidR="008B2231" w:rsidRDefault="008B2231" w:rsidP="005363CE">
    <w:pPr>
      <w:pStyle w:val="Footer"/>
      <w:spacing w:after="120"/>
    </w:pPr>
    <w:r>
      <w:rPr>
        <w:noProof/>
      </w:rPr>
      <mc:AlternateContent>
        <mc:Choice Requires="wps">
          <w:drawing>
            <wp:anchor distT="0" distB="0" distL="114300" distR="114300" simplePos="0" relativeHeight="251658752" behindDoc="0" locked="0" layoutInCell="1" allowOverlap="1" wp14:anchorId="2BD59A53" wp14:editId="2BD59A54">
              <wp:simplePos x="0" y="0"/>
              <wp:positionH relativeFrom="column">
                <wp:posOffset>0</wp:posOffset>
              </wp:positionH>
              <wp:positionV relativeFrom="paragraph">
                <wp:posOffset>114300</wp:posOffset>
              </wp:positionV>
              <wp:extent cx="5943600" cy="0"/>
              <wp:effectExtent l="0" t="0" r="0" b="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5D1E3D"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68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SqYwQEAAGoDAAAOAAAAZHJzL2Uyb0RvYy54bWysU01vGyEQvVfqf0Dc613HidWuvM7BaXpx&#10;W0tJf8AYWC8KMAiwd/3vO+CPpO2tyh4QMDNv3nvDLu5Ha9hBhajRtXw6qTlTTqDUbtfyX8+Pnz5z&#10;FhM4CQadavlRRX6//PhhMfhG3WCPRqrACMTFZvAt71PyTVVF0SsLcYJeOQp2GCwkOoZdJQMMhG5N&#10;dVPX82rAIH1AoWKk24dTkC8LftcpkX52XVSJmZYTt1TWUNZtXqvlAppdAN9rcaYB/8HCgnbU9Ar1&#10;AAnYPuh/oKwWASN2aSLQVth1WqiigdRM67/UPPXgVdFC5kR/tSm+H6z4cdgEpmXLZ5w5sDSitXaK&#10;TW+zNYOPDWWs3CZkcWJ0T36N4iUyh6se3E4Vis9HT3XTXFH9UZIP0VOD7fAdJeXAPmHxaeyCzZDk&#10;ABvLOI7XcagxMUGXd19uZ/OapiYusQqaS6EPMX1TaFnetNwQ6QIMh3VMmQg0l5Tcx+GjNqZM2zg2&#10;tHw+u6tLQUSjZQ7mtBh225UJ7AD5vZSvqKLI27SAeycLWK9Afj3vE2hz2lNz485mZP0nJ7coj5tw&#10;MYkGWlieH19+MW/Ppfr1F1n+BgAA//8DAFBLAwQUAAYACAAAACEADfnnj9kAAAAGAQAADwAAAGRy&#10;cy9kb3ducmV2LnhtbEyPQU/DMAyF70j8h8hI3FhaUKdRmk4IqYgLBzbEOWu8tlriVE3WFH49Rhzg&#10;ZPs96/lztV2cFTNOYfCkIF9lIJBabwbqFLzvm5sNiBA1GW09oYJPDLCtLy8qXRqf6A3nXewEh1Ao&#10;tYI+xrGUMrQ9Oh1WfkRi7+gnpyOPUyfNpBOHOytvs2wtnR6IL/R6xKce29Pu7BRQHj9sSjHN01fx&#10;XORF85K9NkpdXy2PDyAiLvFvGX7wGR1qZjr4M5kgrAJ+JLK64cru/d2am8OvIOtK/sevvwEAAP//&#10;AwBQSwECLQAUAAYACAAAACEAtoM4kv4AAADhAQAAEwAAAAAAAAAAAAAAAAAAAAAAW0NvbnRlbnRf&#10;VHlwZXNdLnhtbFBLAQItABQABgAIAAAAIQA4/SH/1gAAAJQBAAALAAAAAAAAAAAAAAAAAC8BAABf&#10;cmVscy8ucmVsc1BLAQItABQABgAIAAAAIQBCGSqYwQEAAGoDAAAOAAAAAAAAAAAAAAAAAC4CAABk&#10;cnMvZTJvRG9jLnhtbFBLAQItABQABgAIAAAAIQAN+eeP2QAAAAYBAAAPAAAAAAAAAAAAAAAAABsE&#10;AABkcnMvZG93bnJldi54bWxQSwUGAAAAAAQABADzAAAAIQUAAAAA&#10;" strokeweight=".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59A50" w14:textId="77777777" w:rsidR="008B2231" w:rsidRDefault="008B2231">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079B7A7A"/>
    <w:multiLevelType w:val="hybridMultilevel"/>
    <w:tmpl w:val="C89EF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C0679"/>
    <w:multiLevelType w:val="hybridMultilevel"/>
    <w:tmpl w:val="A3EE5428"/>
    <w:lvl w:ilvl="0" w:tplc="08090001">
      <w:start w:val="1"/>
      <w:numFmt w:val="bullet"/>
      <w:lvlText w:val=""/>
      <w:lvlJc w:val="left"/>
      <w:pPr>
        <w:tabs>
          <w:tab w:val="num" w:pos="1077"/>
        </w:tabs>
        <w:ind w:left="1077" w:hanging="360"/>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3711888"/>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4AA02A7"/>
    <w:multiLevelType w:val="hybridMultilevel"/>
    <w:tmpl w:val="26724594"/>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5" w15:restartNumberingAfterBreak="0">
    <w:nsid w:val="293D3EBE"/>
    <w:multiLevelType w:val="hybridMultilevel"/>
    <w:tmpl w:val="8B081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A2C1256"/>
    <w:multiLevelType w:val="multilevel"/>
    <w:tmpl w:val="5946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526695"/>
    <w:multiLevelType w:val="multilevel"/>
    <w:tmpl w:val="D562B57E"/>
    <w:lvl w:ilvl="0">
      <w:start w:val="1"/>
      <w:numFmt w:val="decimal"/>
      <w:lvlText w:val="%1."/>
      <w:lvlJc w:val="left"/>
      <w:pPr>
        <w:tabs>
          <w:tab w:val="num" w:pos="720"/>
        </w:tabs>
        <w:ind w:left="360" w:hanging="360"/>
      </w:pPr>
    </w:lvl>
    <w:lvl w:ilvl="1">
      <w:start w:val="1"/>
      <w:numFmt w:val="lowerLetter"/>
      <w:lvlText w:val="(%2)"/>
      <w:lvlJc w:val="left"/>
      <w:pPr>
        <w:tabs>
          <w:tab w:val="num" w:pos="1440"/>
        </w:tabs>
        <w:ind w:left="720" w:hanging="360"/>
      </w:pPr>
    </w:lvl>
    <w:lvl w:ilvl="2">
      <w:start w:val="1"/>
      <w:numFmt w:val="lowerRoman"/>
      <w:lvlText w:val="(%3)"/>
      <w:lvlJc w:val="left"/>
      <w:pPr>
        <w:tabs>
          <w:tab w:val="num" w:pos="2177"/>
        </w:tabs>
        <w:ind w:left="1134" w:hanging="397"/>
      </w:pPr>
    </w:lvl>
    <w:lvl w:ilvl="3">
      <w:start w:val="1"/>
      <w:numFmt w:val="lowerRoman"/>
      <w:lvlText w:val="%4"/>
      <w:lvlJc w:val="left"/>
      <w:pPr>
        <w:tabs>
          <w:tab w:val="num" w:pos="1911"/>
        </w:tabs>
        <w:ind w:left="1446" w:hanging="255"/>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8"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42340E8D"/>
    <w:multiLevelType w:val="hybridMultilevel"/>
    <w:tmpl w:val="D5C0A42E"/>
    <w:lvl w:ilvl="0" w:tplc="08090001">
      <w:start w:val="1"/>
      <w:numFmt w:val="bullet"/>
      <w:lvlText w:val=""/>
      <w:lvlJc w:val="left"/>
      <w:pPr>
        <w:ind w:left="1155" w:hanging="360"/>
      </w:pPr>
      <w:rPr>
        <w:rFonts w:ascii="Symbol" w:hAnsi="Symbol" w:hint="default"/>
      </w:rPr>
    </w:lvl>
    <w:lvl w:ilvl="1" w:tplc="08090003" w:tentative="1">
      <w:start w:val="1"/>
      <w:numFmt w:val="bullet"/>
      <w:lvlText w:val="o"/>
      <w:lvlJc w:val="left"/>
      <w:pPr>
        <w:ind w:left="1875" w:hanging="360"/>
      </w:pPr>
      <w:rPr>
        <w:rFonts w:ascii="Courier New" w:hAnsi="Courier New" w:cs="Courier New" w:hint="default"/>
      </w:rPr>
    </w:lvl>
    <w:lvl w:ilvl="2" w:tplc="08090005" w:tentative="1">
      <w:start w:val="1"/>
      <w:numFmt w:val="bullet"/>
      <w:lvlText w:val=""/>
      <w:lvlJc w:val="left"/>
      <w:pPr>
        <w:ind w:left="2595" w:hanging="360"/>
      </w:pPr>
      <w:rPr>
        <w:rFonts w:ascii="Wingdings" w:hAnsi="Wingdings" w:hint="default"/>
      </w:rPr>
    </w:lvl>
    <w:lvl w:ilvl="3" w:tplc="08090001" w:tentative="1">
      <w:start w:val="1"/>
      <w:numFmt w:val="bullet"/>
      <w:lvlText w:val=""/>
      <w:lvlJc w:val="left"/>
      <w:pPr>
        <w:ind w:left="3315" w:hanging="360"/>
      </w:pPr>
      <w:rPr>
        <w:rFonts w:ascii="Symbol" w:hAnsi="Symbol" w:hint="default"/>
      </w:rPr>
    </w:lvl>
    <w:lvl w:ilvl="4" w:tplc="08090003" w:tentative="1">
      <w:start w:val="1"/>
      <w:numFmt w:val="bullet"/>
      <w:lvlText w:val="o"/>
      <w:lvlJc w:val="left"/>
      <w:pPr>
        <w:ind w:left="4035" w:hanging="360"/>
      </w:pPr>
      <w:rPr>
        <w:rFonts w:ascii="Courier New" w:hAnsi="Courier New" w:cs="Courier New" w:hint="default"/>
      </w:rPr>
    </w:lvl>
    <w:lvl w:ilvl="5" w:tplc="08090005" w:tentative="1">
      <w:start w:val="1"/>
      <w:numFmt w:val="bullet"/>
      <w:lvlText w:val=""/>
      <w:lvlJc w:val="left"/>
      <w:pPr>
        <w:ind w:left="4755" w:hanging="360"/>
      </w:pPr>
      <w:rPr>
        <w:rFonts w:ascii="Wingdings" w:hAnsi="Wingdings" w:hint="default"/>
      </w:rPr>
    </w:lvl>
    <w:lvl w:ilvl="6" w:tplc="08090001" w:tentative="1">
      <w:start w:val="1"/>
      <w:numFmt w:val="bullet"/>
      <w:lvlText w:val=""/>
      <w:lvlJc w:val="left"/>
      <w:pPr>
        <w:ind w:left="5475" w:hanging="360"/>
      </w:pPr>
      <w:rPr>
        <w:rFonts w:ascii="Symbol" w:hAnsi="Symbol" w:hint="default"/>
      </w:rPr>
    </w:lvl>
    <w:lvl w:ilvl="7" w:tplc="08090003" w:tentative="1">
      <w:start w:val="1"/>
      <w:numFmt w:val="bullet"/>
      <w:lvlText w:val="o"/>
      <w:lvlJc w:val="left"/>
      <w:pPr>
        <w:ind w:left="6195" w:hanging="360"/>
      </w:pPr>
      <w:rPr>
        <w:rFonts w:ascii="Courier New" w:hAnsi="Courier New" w:cs="Courier New" w:hint="default"/>
      </w:rPr>
    </w:lvl>
    <w:lvl w:ilvl="8" w:tplc="08090005" w:tentative="1">
      <w:start w:val="1"/>
      <w:numFmt w:val="bullet"/>
      <w:lvlText w:val=""/>
      <w:lvlJc w:val="left"/>
      <w:pPr>
        <w:ind w:left="6915" w:hanging="360"/>
      </w:pPr>
      <w:rPr>
        <w:rFonts w:ascii="Wingdings" w:hAnsi="Wingdings" w:hint="default"/>
      </w:rPr>
    </w:lvl>
  </w:abstractNum>
  <w:abstractNum w:abstractNumId="10" w15:restartNumberingAfterBreak="0">
    <w:nsid w:val="44A829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A0443CC"/>
    <w:multiLevelType w:val="hybridMultilevel"/>
    <w:tmpl w:val="9D16D33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1C7CEC"/>
    <w:multiLevelType w:val="hybridMultilevel"/>
    <w:tmpl w:val="677209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14" w15:restartNumberingAfterBreak="0">
    <w:nsid w:val="5E716C85"/>
    <w:multiLevelType w:val="multilevel"/>
    <w:tmpl w:val="61D0CB98"/>
    <w:lvl w:ilvl="0">
      <w:start w:val="1"/>
      <w:numFmt w:val="decimal"/>
      <w:lvlText w:val="%1."/>
      <w:lvlJc w:val="left"/>
      <w:pPr>
        <w:tabs>
          <w:tab w:val="num" w:pos="432"/>
        </w:tabs>
        <w:ind w:left="432" w:hanging="432"/>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E641FC"/>
    <w:multiLevelType w:val="hybridMultilevel"/>
    <w:tmpl w:val="2A66CED2"/>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6"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18"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19" w15:restartNumberingAfterBreak="0">
    <w:nsid w:val="743E3620"/>
    <w:multiLevelType w:val="hybridMultilevel"/>
    <w:tmpl w:val="6A440BD2"/>
    <w:lvl w:ilvl="0" w:tplc="08090001">
      <w:start w:val="1"/>
      <w:numFmt w:val="bullet"/>
      <w:lvlText w:val=""/>
      <w:lvlJc w:val="left"/>
      <w:pPr>
        <w:ind w:left="1215" w:hanging="360"/>
      </w:pPr>
      <w:rPr>
        <w:rFonts w:ascii="Symbol" w:hAnsi="Symbol"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20" w15:restartNumberingAfterBreak="0">
    <w:nsid w:val="786B6A1A"/>
    <w:multiLevelType w:val="multilevel"/>
    <w:tmpl w:val="59465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7"/>
  </w:num>
  <w:num w:numId="2">
    <w:abstractNumId w:val="17"/>
  </w:num>
  <w:num w:numId="3">
    <w:abstractNumId w:val="18"/>
  </w:num>
  <w:num w:numId="4">
    <w:abstractNumId w:val="0"/>
  </w:num>
  <w:num w:numId="5">
    <w:abstractNumId w:val="8"/>
  </w:num>
  <w:num w:numId="6">
    <w:abstractNumId w:val="16"/>
  </w:num>
  <w:num w:numId="7">
    <w:abstractNumId w:val="21"/>
  </w:num>
  <w:num w:numId="8">
    <w:abstractNumId w:val="13"/>
  </w:num>
  <w:num w:numId="9">
    <w:abstractNumId w:val="3"/>
  </w:num>
  <w:num w:numId="10">
    <w:abstractNumId w:val="12"/>
  </w:num>
  <w:num w:numId="11">
    <w:abstractNumId w:val="11"/>
  </w:num>
  <w:num w:numId="12">
    <w:abstractNumId w:val="10"/>
  </w:num>
  <w:num w:numId="13">
    <w:abstractNumId w:val="1"/>
  </w:num>
  <w:num w:numId="14">
    <w:abstractNumId w:val="5"/>
  </w:num>
  <w:num w:numId="15">
    <w:abstractNumId w:val="2"/>
  </w:num>
  <w:num w:numId="16">
    <w:abstractNumId w:val="14"/>
  </w:num>
  <w:num w:numId="17">
    <w:abstractNumId w:val="20"/>
    <w:lvlOverride w:ilvl="0">
      <w:startOverride w:val="8"/>
    </w:lvlOverride>
  </w:num>
  <w:num w:numId="18">
    <w:abstractNumId w:val="6"/>
  </w:num>
  <w:num w:numId="19">
    <w:abstractNumId w:val="19"/>
  </w:num>
  <w:num w:numId="20">
    <w:abstractNumId w:val="15"/>
  </w:num>
  <w:num w:numId="21">
    <w:abstractNumId w:val="9"/>
  </w:num>
  <w:num w:numId="22">
    <w:abstractNumId w:val="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B4050B"/>
    <w:rsid w:val="000002BD"/>
    <w:rsid w:val="000014AE"/>
    <w:rsid w:val="000029BD"/>
    <w:rsid w:val="0000335F"/>
    <w:rsid w:val="00003A46"/>
    <w:rsid w:val="00003EAD"/>
    <w:rsid w:val="00005354"/>
    <w:rsid w:val="00005B08"/>
    <w:rsid w:val="00005B14"/>
    <w:rsid w:val="00006846"/>
    <w:rsid w:val="00006BD7"/>
    <w:rsid w:val="00007CDA"/>
    <w:rsid w:val="00010D99"/>
    <w:rsid w:val="000162E5"/>
    <w:rsid w:val="00016725"/>
    <w:rsid w:val="00016AA4"/>
    <w:rsid w:val="00020646"/>
    <w:rsid w:val="00022CDB"/>
    <w:rsid w:val="000233ED"/>
    <w:rsid w:val="000245FF"/>
    <w:rsid w:val="00025B67"/>
    <w:rsid w:val="00026BDA"/>
    <w:rsid w:val="000279F5"/>
    <w:rsid w:val="00030357"/>
    <w:rsid w:val="00032014"/>
    <w:rsid w:val="00032A48"/>
    <w:rsid w:val="0003304E"/>
    <w:rsid w:val="00033E22"/>
    <w:rsid w:val="00033F07"/>
    <w:rsid w:val="000342E5"/>
    <w:rsid w:val="00034C44"/>
    <w:rsid w:val="000370F5"/>
    <w:rsid w:val="00037ADE"/>
    <w:rsid w:val="00040359"/>
    <w:rsid w:val="000403F7"/>
    <w:rsid w:val="00040F5B"/>
    <w:rsid w:val="00041247"/>
    <w:rsid w:val="00041312"/>
    <w:rsid w:val="000423C0"/>
    <w:rsid w:val="00042452"/>
    <w:rsid w:val="00042977"/>
    <w:rsid w:val="00046145"/>
    <w:rsid w:val="0004625F"/>
    <w:rsid w:val="000467EF"/>
    <w:rsid w:val="000468AE"/>
    <w:rsid w:val="000473C6"/>
    <w:rsid w:val="00050761"/>
    <w:rsid w:val="0005116C"/>
    <w:rsid w:val="00051C72"/>
    <w:rsid w:val="00053135"/>
    <w:rsid w:val="00053263"/>
    <w:rsid w:val="0005735E"/>
    <w:rsid w:val="00057372"/>
    <w:rsid w:val="00061077"/>
    <w:rsid w:val="000617AB"/>
    <w:rsid w:val="00061E8D"/>
    <w:rsid w:val="00062E2F"/>
    <w:rsid w:val="00064487"/>
    <w:rsid w:val="00064706"/>
    <w:rsid w:val="00070C9F"/>
    <w:rsid w:val="00071B97"/>
    <w:rsid w:val="00074345"/>
    <w:rsid w:val="00074B7C"/>
    <w:rsid w:val="00074EAA"/>
    <w:rsid w:val="00076448"/>
    <w:rsid w:val="000768D7"/>
    <w:rsid w:val="00077358"/>
    <w:rsid w:val="00081044"/>
    <w:rsid w:val="000813F0"/>
    <w:rsid w:val="00081D7A"/>
    <w:rsid w:val="00082C9C"/>
    <w:rsid w:val="0008594C"/>
    <w:rsid w:val="000865F7"/>
    <w:rsid w:val="00087DEC"/>
    <w:rsid w:val="00087E70"/>
    <w:rsid w:val="00090060"/>
    <w:rsid w:val="00090935"/>
    <w:rsid w:val="0009181B"/>
    <w:rsid w:val="000919EA"/>
    <w:rsid w:val="0009206A"/>
    <w:rsid w:val="000929D3"/>
    <w:rsid w:val="00092AE2"/>
    <w:rsid w:val="000932F3"/>
    <w:rsid w:val="00094365"/>
    <w:rsid w:val="00094395"/>
    <w:rsid w:val="000947BA"/>
    <w:rsid w:val="00094B66"/>
    <w:rsid w:val="0009555A"/>
    <w:rsid w:val="00095D7C"/>
    <w:rsid w:val="0009673F"/>
    <w:rsid w:val="0009721F"/>
    <w:rsid w:val="000974BF"/>
    <w:rsid w:val="000979A8"/>
    <w:rsid w:val="000A1415"/>
    <w:rsid w:val="000A1593"/>
    <w:rsid w:val="000A198C"/>
    <w:rsid w:val="000A383B"/>
    <w:rsid w:val="000A3CDF"/>
    <w:rsid w:val="000A4AEB"/>
    <w:rsid w:val="000A4DDC"/>
    <w:rsid w:val="000A591A"/>
    <w:rsid w:val="000A601B"/>
    <w:rsid w:val="000A64AE"/>
    <w:rsid w:val="000A69A0"/>
    <w:rsid w:val="000A6A3A"/>
    <w:rsid w:val="000A7C28"/>
    <w:rsid w:val="000B2A4F"/>
    <w:rsid w:val="000B2FC0"/>
    <w:rsid w:val="000B36D9"/>
    <w:rsid w:val="000B494A"/>
    <w:rsid w:val="000B51A5"/>
    <w:rsid w:val="000B6F76"/>
    <w:rsid w:val="000B7F45"/>
    <w:rsid w:val="000C16B0"/>
    <w:rsid w:val="000C16BF"/>
    <w:rsid w:val="000C1CF7"/>
    <w:rsid w:val="000C1DCC"/>
    <w:rsid w:val="000C2431"/>
    <w:rsid w:val="000C2C31"/>
    <w:rsid w:val="000C3F13"/>
    <w:rsid w:val="000C46D0"/>
    <w:rsid w:val="000C4C01"/>
    <w:rsid w:val="000C52EE"/>
    <w:rsid w:val="000C5333"/>
    <w:rsid w:val="000C5E02"/>
    <w:rsid w:val="000C5E90"/>
    <w:rsid w:val="000C698E"/>
    <w:rsid w:val="000C7315"/>
    <w:rsid w:val="000C795C"/>
    <w:rsid w:val="000C7FB5"/>
    <w:rsid w:val="000D0673"/>
    <w:rsid w:val="000D069B"/>
    <w:rsid w:val="000D1324"/>
    <w:rsid w:val="000D16D4"/>
    <w:rsid w:val="000D1D4D"/>
    <w:rsid w:val="000D2164"/>
    <w:rsid w:val="000D23CD"/>
    <w:rsid w:val="000D38B8"/>
    <w:rsid w:val="000D3F5F"/>
    <w:rsid w:val="000D4226"/>
    <w:rsid w:val="000D6984"/>
    <w:rsid w:val="000D6C0C"/>
    <w:rsid w:val="000E0E6F"/>
    <w:rsid w:val="000E271A"/>
    <w:rsid w:val="000E2D1F"/>
    <w:rsid w:val="000E44C1"/>
    <w:rsid w:val="000E4ECB"/>
    <w:rsid w:val="000E5E44"/>
    <w:rsid w:val="000E6B65"/>
    <w:rsid w:val="000E7981"/>
    <w:rsid w:val="000F0C6F"/>
    <w:rsid w:val="000F17CA"/>
    <w:rsid w:val="000F1A11"/>
    <w:rsid w:val="000F3E4D"/>
    <w:rsid w:val="000F477D"/>
    <w:rsid w:val="000F4960"/>
    <w:rsid w:val="000F5BAE"/>
    <w:rsid w:val="000F5D8B"/>
    <w:rsid w:val="000F6192"/>
    <w:rsid w:val="000F7621"/>
    <w:rsid w:val="001000CB"/>
    <w:rsid w:val="001011DF"/>
    <w:rsid w:val="0010186A"/>
    <w:rsid w:val="00102121"/>
    <w:rsid w:val="00102151"/>
    <w:rsid w:val="00103123"/>
    <w:rsid w:val="00103F25"/>
    <w:rsid w:val="00104904"/>
    <w:rsid w:val="00104CEC"/>
    <w:rsid w:val="00104FCD"/>
    <w:rsid w:val="00105AB4"/>
    <w:rsid w:val="00110956"/>
    <w:rsid w:val="00111160"/>
    <w:rsid w:val="00111A68"/>
    <w:rsid w:val="00111B99"/>
    <w:rsid w:val="00113650"/>
    <w:rsid w:val="00114BA5"/>
    <w:rsid w:val="00115410"/>
    <w:rsid w:val="00115502"/>
    <w:rsid w:val="001162F3"/>
    <w:rsid w:val="001163F6"/>
    <w:rsid w:val="00117848"/>
    <w:rsid w:val="00117C2E"/>
    <w:rsid w:val="0012442B"/>
    <w:rsid w:val="00125C18"/>
    <w:rsid w:val="00126005"/>
    <w:rsid w:val="0012757A"/>
    <w:rsid w:val="0013256B"/>
    <w:rsid w:val="001343B7"/>
    <w:rsid w:val="00134D4E"/>
    <w:rsid w:val="00135FED"/>
    <w:rsid w:val="00140AD2"/>
    <w:rsid w:val="0014560B"/>
    <w:rsid w:val="00145618"/>
    <w:rsid w:val="0014655D"/>
    <w:rsid w:val="001471FB"/>
    <w:rsid w:val="00147CDC"/>
    <w:rsid w:val="00152AAD"/>
    <w:rsid w:val="00152C92"/>
    <w:rsid w:val="00152CCC"/>
    <w:rsid w:val="00153187"/>
    <w:rsid w:val="001534A6"/>
    <w:rsid w:val="00154A91"/>
    <w:rsid w:val="001569BF"/>
    <w:rsid w:val="00157147"/>
    <w:rsid w:val="00157BE5"/>
    <w:rsid w:val="0016003B"/>
    <w:rsid w:val="00161F56"/>
    <w:rsid w:val="001620EA"/>
    <w:rsid w:val="00162D36"/>
    <w:rsid w:val="00162F61"/>
    <w:rsid w:val="00163A11"/>
    <w:rsid w:val="00163E9E"/>
    <w:rsid w:val="00165475"/>
    <w:rsid w:val="00165E11"/>
    <w:rsid w:val="00166D7E"/>
    <w:rsid w:val="00167AA2"/>
    <w:rsid w:val="0017054C"/>
    <w:rsid w:val="00170844"/>
    <w:rsid w:val="00171B5D"/>
    <w:rsid w:val="0017253F"/>
    <w:rsid w:val="00172873"/>
    <w:rsid w:val="00172A3B"/>
    <w:rsid w:val="0017316A"/>
    <w:rsid w:val="00177C5D"/>
    <w:rsid w:val="0018044D"/>
    <w:rsid w:val="0018159B"/>
    <w:rsid w:val="00181D21"/>
    <w:rsid w:val="00184A6B"/>
    <w:rsid w:val="00185FDC"/>
    <w:rsid w:val="00186BC6"/>
    <w:rsid w:val="001907AD"/>
    <w:rsid w:val="0019279F"/>
    <w:rsid w:val="0019297E"/>
    <w:rsid w:val="001963C7"/>
    <w:rsid w:val="00197B5B"/>
    <w:rsid w:val="001A0342"/>
    <w:rsid w:val="001A1C2D"/>
    <w:rsid w:val="001A21B5"/>
    <w:rsid w:val="001A25D0"/>
    <w:rsid w:val="001A2917"/>
    <w:rsid w:val="001A2943"/>
    <w:rsid w:val="001A3401"/>
    <w:rsid w:val="001A3E42"/>
    <w:rsid w:val="001A5B27"/>
    <w:rsid w:val="001A5CD8"/>
    <w:rsid w:val="001A5F72"/>
    <w:rsid w:val="001A6A78"/>
    <w:rsid w:val="001A6D46"/>
    <w:rsid w:val="001A6F4B"/>
    <w:rsid w:val="001A7B01"/>
    <w:rsid w:val="001A7E47"/>
    <w:rsid w:val="001B06B7"/>
    <w:rsid w:val="001B14A0"/>
    <w:rsid w:val="001B2EB0"/>
    <w:rsid w:val="001B325B"/>
    <w:rsid w:val="001B32B6"/>
    <w:rsid w:val="001B34F6"/>
    <w:rsid w:val="001B43BD"/>
    <w:rsid w:val="001B648A"/>
    <w:rsid w:val="001B704A"/>
    <w:rsid w:val="001B7268"/>
    <w:rsid w:val="001B7AE1"/>
    <w:rsid w:val="001C0A70"/>
    <w:rsid w:val="001C2215"/>
    <w:rsid w:val="001C2C3A"/>
    <w:rsid w:val="001C2CA8"/>
    <w:rsid w:val="001C3702"/>
    <w:rsid w:val="001C3A46"/>
    <w:rsid w:val="001C4700"/>
    <w:rsid w:val="001C4C6A"/>
    <w:rsid w:val="001C5911"/>
    <w:rsid w:val="001C5B5A"/>
    <w:rsid w:val="001D0081"/>
    <w:rsid w:val="001D0935"/>
    <w:rsid w:val="001D0BAF"/>
    <w:rsid w:val="001D237F"/>
    <w:rsid w:val="001D26DE"/>
    <w:rsid w:val="001D3D65"/>
    <w:rsid w:val="001D4CCA"/>
    <w:rsid w:val="001D64F1"/>
    <w:rsid w:val="001D6A5A"/>
    <w:rsid w:val="001D71A2"/>
    <w:rsid w:val="001E0A5E"/>
    <w:rsid w:val="001E0D44"/>
    <w:rsid w:val="001E2F27"/>
    <w:rsid w:val="001E3B43"/>
    <w:rsid w:val="001E4612"/>
    <w:rsid w:val="001E6DD5"/>
    <w:rsid w:val="001E6F86"/>
    <w:rsid w:val="001E798E"/>
    <w:rsid w:val="001E7B77"/>
    <w:rsid w:val="001E7CBB"/>
    <w:rsid w:val="001F0959"/>
    <w:rsid w:val="001F26B1"/>
    <w:rsid w:val="001F3E60"/>
    <w:rsid w:val="001F5D8B"/>
    <w:rsid w:val="001F5E5B"/>
    <w:rsid w:val="00200C84"/>
    <w:rsid w:val="002016F8"/>
    <w:rsid w:val="00202CB5"/>
    <w:rsid w:val="00202F57"/>
    <w:rsid w:val="00204232"/>
    <w:rsid w:val="00207816"/>
    <w:rsid w:val="0021260F"/>
    <w:rsid w:val="00212C8F"/>
    <w:rsid w:val="0021371C"/>
    <w:rsid w:val="00214BAF"/>
    <w:rsid w:val="00215869"/>
    <w:rsid w:val="002162E2"/>
    <w:rsid w:val="00216841"/>
    <w:rsid w:val="002168F0"/>
    <w:rsid w:val="00216A6D"/>
    <w:rsid w:val="00222D01"/>
    <w:rsid w:val="00224A5B"/>
    <w:rsid w:val="00224E3D"/>
    <w:rsid w:val="00224F36"/>
    <w:rsid w:val="00226110"/>
    <w:rsid w:val="00227A8F"/>
    <w:rsid w:val="00230244"/>
    <w:rsid w:val="00231BB9"/>
    <w:rsid w:val="00232DD0"/>
    <w:rsid w:val="00232EE1"/>
    <w:rsid w:val="002332DA"/>
    <w:rsid w:val="00233B8E"/>
    <w:rsid w:val="0023587D"/>
    <w:rsid w:val="00236341"/>
    <w:rsid w:val="00236DC9"/>
    <w:rsid w:val="00236FA0"/>
    <w:rsid w:val="0024003E"/>
    <w:rsid w:val="002412A9"/>
    <w:rsid w:val="00241305"/>
    <w:rsid w:val="0024166E"/>
    <w:rsid w:val="00242A5E"/>
    <w:rsid w:val="002437E0"/>
    <w:rsid w:val="00244285"/>
    <w:rsid w:val="00244437"/>
    <w:rsid w:val="0024495F"/>
    <w:rsid w:val="0024685E"/>
    <w:rsid w:val="00246C37"/>
    <w:rsid w:val="002473A7"/>
    <w:rsid w:val="00247900"/>
    <w:rsid w:val="0025107A"/>
    <w:rsid w:val="002528C9"/>
    <w:rsid w:val="0025325B"/>
    <w:rsid w:val="0025338F"/>
    <w:rsid w:val="002552A6"/>
    <w:rsid w:val="0025637A"/>
    <w:rsid w:val="00256C29"/>
    <w:rsid w:val="0025793B"/>
    <w:rsid w:val="00257DC9"/>
    <w:rsid w:val="00257F3F"/>
    <w:rsid w:val="00260229"/>
    <w:rsid w:val="00260A86"/>
    <w:rsid w:val="00260B0D"/>
    <w:rsid w:val="0026107C"/>
    <w:rsid w:val="00262C4A"/>
    <w:rsid w:val="00264F50"/>
    <w:rsid w:val="0026539A"/>
    <w:rsid w:val="00265446"/>
    <w:rsid w:val="00265DC0"/>
    <w:rsid w:val="00265EA1"/>
    <w:rsid w:val="002667A2"/>
    <w:rsid w:val="00271892"/>
    <w:rsid w:val="00271BC7"/>
    <w:rsid w:val="00271BF5"/>
    <w:rsid w:val="00271EC7"/>
    <w:rsid w:val="002725B7"/>
    <w:rsid w:val="002729F6"/>
    <w:rsid w:val="002737DA"/>
    <w:rsid w:val="00276DA1"/>
    <w:rsid w:val="00282D07"/>
    <w:rsid w:val="00283C13"/>
    <w:rsid w:val="00284F8B"/>
    <w:rsid w:val="002851F5"/>
    <w:rsid w:val="00286762"/>
    <w:rsid w:val="002869D4"/>
    <w:rsid w:val="002903CE"/>
    <w:rsid w:val="00295691"/>
    <w:rsid w:val="002959CB"/>
    <w:rsid w:val="002974BD"/>
    <w:rsid w:val="002A079F"/>
    <w:rsid w:val="002A0925"/>
    <w:rsid w:val="002A12A8"/>
    <w:rsid w:val="002A1DF5"/>
    <w:rsid w:val="002A3AA3"/>
    <w:rsid w:val="002A3E29"/>
    <w:rsid w:val="002A438D"/>
    <w:rsid w:val="002A706C"/>
    <w:rsid w:val="002A747D"/>
    <w:rsid w:val="002A7CC2"/>
    <w:rsid w:val="002A7FB7"/>
    <w:rsid w:val="002B2911"/>
    <w:rsid w:val="002B3BAB"/>
    <w:rsid w:val="002B3E25"/>
    <w:rsid w:val="002B4038"/>
    <w:rsid w:val="002B54A6"/>
    <w:rsid w:val="002B7061"/>
    <w:rsid w:val="002B772A"/>
    <w:rsid w:val="002C0538"/>
    <w:rsid w:val="002C068A"/>
    <w:rsid w:val="002C16C5"/>
    <w:rsid w:val="002C2041"/>
    <w:rsid w:val="002C33C1"/>
    <w:rsid w:val="002C5B89"/>
    <w:rsid w:val="002C6238"/>
    <w:rsid w:val="002C64CD"/>
    <w:rsid w:val="002C6A53"/>
    <w:rsid w:val="002C6C75"/>
    <w:rsid w:val="002D1842"/>
    <w:rsid w:val="002D1FBB"/>
    <w:rsid w:val="002D3CE7"/>
    <w:rsid w:val="002D402B"/>
    <w:rsid w:val="002D5F53"/>
    <w:rsid w:val="002D6334"/>
    <w:rsid w:val="002D6820"/>
    <w:rsid w:val="002E0FAE"/>
    <w:rsid w:val="002E1782"/>
    <w:rsid w:val="002E1EE9"/>
    <w:rsid w:val="002E2558"/>
    <w:rsid w:val="002E3538"/>
    <w:rsid w:val="002E681A"/>
    <w:rsid w:val="002F005C"/>
    <w:rsid w:val="002F0130"/>
    <w:rsid w:val="002F028C"/>
    <w:rsid w:val="002F0A62"/>
    <w:rsid w:val="002F114E"/>
    <w:rsid w:val="002F183F"/>
    <w:rsid w:val="002F233C"/>
    <w:rsid w:val="002F48C7"/>
    <w:rsid w:val="002F5915"/>
    <w:rsid w:val="002F790D"/>
    <w:rsid w:val="00300A42"/>
    <w:rsid w:val="00301BAD"/>
    <w:rsid w:val="00302339"/>
    <w:rsid w:val="0030255F"/>
    <w:rsid w:val="00303810"/>
    <w:rsid w:val="0030500E"/>
    <w:rsid w:val="00305B22"/>
    <w:rsid w:val="00307CC6"/>
    <w:rsid w:val="00307D75"/>
    <w:rsid w:val="00313210"/>
    <w:rsid w:val="00314623"/>
    <w:rsid w:val="00314DE2"/>
    <w:rsid w:val="003160BD"/>
    <w:rsid w:val="0031643A"/>
    <w:rsid w:val="00316773"/>
    <w:rsid w:val="003206FD"/>
    <w:rsid w:val="0032142D"/>
    <w:rsid w:val="0032146D"/>
    <w:rsid w:val="0032208F"/>
    <w:rsid w:val="00322973"/>
    <w:rsid w:val="00322B19"/>
    <w:rsid w:val="00322CCF"/>
    <w:rsid w:val="00322D49"/>
    <w:rsid w:val="00323C16"/>
    <w:rsid w:val="003306D2"/>
    <w:rsid w:val="003307B7"/>
    <w:rsid w:val="0033150F"/>
    <w:rsid w:val="0033198F"/>
    <w:rsid w:val="003332D1"/>
    <w:rsid w:val="0033484E"/>
    <w:rsid w:val="003350FE"/>
    <w:rsid w:val="003355C8"/>
    <w:rsid w:val="003360D0"/>
    <w:rsid w:val="00336FBF"/>
    <w:rsid w:val="00340211"/>
    <w:rsid w:val="00341487"/>
    <w:rsid w:val="003419F6"/>
    <w:rsid w:val="003429EE"/>
    <w:rsid w:val="003433EF"/>
    <w:rsid w:val="00343458"/>
    <w:rsid w:val="00343A1F"/>
    <w:rsid w:val="00344294"/>
    <w:rsid w:val="00344CD1"/>
    <w:rsid w:val="0034671E"/>
    <w:rsid w:val="003511B0"/>
    <w:rsid w:val="003527ED"/>
    <w:rsid w:val="00353528"/>
    <w:rsid w:val="003539FB"/>
    <w:rsid w:val="00354324"/>
    <w:rsid w:val="00355D80"/>
    <w:rsid w:val="003567AA"/>
    <w:rsid w:val="003572FD"/>
    <w:rsid w:val="00357461"/>
    <w:rsid w:val="003576D2"/>
    <w:rsid w:val="00357F75"/>
    <w:rsid w:val="0036008A"/>
    <w:rsid w:val="00360664"/>
    <w:rsid w:val="00361890"/>
    <w:rsid w:val="00362360"/>
    <w:rsid w:val="003623D8"/>
    <w:rsid w:val="00362566"/>
    <w:rsid w:val="00362ABA"/>
    <w:rsid w:val="003641BC"/>
    <w:rsid w:val="00364E17"/>
    <w:rsid w:val="003667B3"/>
    <w:rsid w:val="00370FCF"/>
    <w:rsid w:val="003714FF"/>
    <w:rsid w:val="00373025"/>
    <w:rsid w:val="003738D0"/>
    <w:rsid w:val="00373E20"/>
    <w:rsid w:val="00374D77"/>
    <w:rsid w:val="00375600"/>
    <w:rsid w:val="00375DEF"/>
    <w:rsid w:val="003761D3"/>
    <w:rsid w:val="00376CE4"/>
    <w:rsid w:val="00380136"/>
    <w:rsid w:val="00380259"/>
    <w:rsid w:val="0038161F"/>
    <w:rsid w:val="003821DA"/>
    <w:rsid w:val="003825F5"/>
    <w:rsid w:val="00384737"/>
    <w:rsid w:val="00384D56"/>
    <w:rsid w:val="00387E9E"/>
    <w:rsid w:val="0039050F"/>
    <w:rsid w:val="003911E2"/>
    <w:rsid w:val="0039259F"/>
    <w:rsid w:val="003941CF"/>
    <w:rsid w:val="00394AF8"/>
    <w:rsid w:val="0039572E"/>
    <w:rsid w:val="00397E2D"/>
    <w:rsid w:val="003A2B5C"/>
    <w:rsid w:val="003A2F85"/>
    <w:rsid w:val="003A5D59"/>
    <w:rsid w:val="003A6EEB"/>
    <w:rsid w:val="003A6FF6"/>
    <w:rsid w:val="003A7D5B"/>
    <w:rsid w:val="003B0312"/>
    <w:rsid w:val="003B1525"/>
    <w:rsid w:val="003B1F5B"/>
    <w:rsid w:val="003B2441"/>
    <w:rsid w:val="003B2FE6"/>
    <w:rsid w:val="003B4940"/>
    <w:rsid w:val="003C0752"/>
    <w:rsid w:val="003C3118"/>
    <w:rsid w:val="003C3C05"/>
    <w:rsid w:val="003C4263"/>
    <w:rsid w:val="003C4D25"/>
    <w:rsid w:val="003C5361"/>
    <w:rsid w:val="003C59CD"/>
    <w:rsid w:val="003C5FA7"/>
    <w:rsid w:val="003C7585"/>
    <w:rsid w:val="003D0A80"/>
    <w:rsid w:val="003D34E6"/>
    <w:rsid w:val="003D357A"/>
    <w:rsid w:val="003D4EDD"/>
    <w:rsid w:val="003D5606"/>
    <w:rsid w:val="003D6CD4"/>
    <w:rsid w:val="003E0D9F"/>
    <w:rsid w:val="003E13F2"/>
    <w:rsid w:val="003E202B"/>
    <w:rsid w:val="003E425E"/>
    <w:rsid w:val="003E637D"/>
    <w:rsid w:val="003E6ADD"/>
    <w:rsid w:val="003E776E"/>
    <w:rsid w:val="003E779C"/>
    <w:rsid w:val="003F01FF"/>
    <w:rsid w:val="003F0606"/>
    <w:rsid w:val="003F0ABC"/>
    <w:rsid w:val="003F20BC"/>
    <w:rsid w:val="003F295E"/>
    <w:rsid w:val="003F29FE"/>
    <w:rsid w:val="003F2A3E"/>
    <w:rsid w:val="003F3C40"/>
    <w:rsid w:val="003F6D2D"/>
    <w:rsid w:val="003F6FE5"/>
    <w:rsid w:val="00400C39"/>
    <w:rsid w:val="004012A8"/>
    <w:rsid w:val="00401729"/>
    <w:rsid w:val="00401995"/>
    <w:rsid w:val="004019CD"/>
    <w:rsid w:val="0040202B"/>
    <w:rsid w:val="0040293F"/>
    <w:rsid w:val="00402E0B"/>
    <w:rsid w:val="00403EA8"/>
    <w:rsid w:val="004047E3"/>
    <w:rsid w:val="004057ED"/>
    <w:rsid w:val="00405B38"/>
    <w:rsid w:val="0040734E"/>
    <w:rsid w:val="00407B68"/>
    <w:rsid w:val="00412554"/>
    <w:rsid w:val="00412C0E"/>
    <w:rsid w:val="00413E1B"/>
    <w:rsid w:val="004142E3"/>
    <w:rsid w:val="00414500"/>
    <w:rsid w:val="00414B79"/>
    <w:rsid w:val="00415370"/>
    <w:rsid w:val="004156B8"/>
    <w:rsid w:val="004156F0"/>
    <w:rsid w:val="00417433"/>
    <w:rsid w:val="00417DF3"/>
    <w:rsid w:val="00420177"/>
    <w:rsid w:val="00421025"/>
    <w:rsid w:val="00422254"/>
    <w:rsid w:val="00422A44"/>
    <w:rsid w:val="00422F8F"/>
    <w:rsid w:val="00424481"/>
    <w:rsid w:val="00424BA1"/>
    <w:rsid w:val="004260DB"/>
    <w:rsid w:val="00427B66"/>
    <w:rsid w:val="00430C64"/>
    <w:rsid w:val="0043217F"/>
    <w:rsid w:val="004323A9"/>
    <w:rsid w:val="004331F4"/>
    <w:rsid w:val="00433E0C"/>
    <w:rsid w:val="00434749"/>
    <w:rsid w:val="004354F9"/>
    <w:rsid w:val="00435C18"/>
    <w:rsid w:val="00436F6A"/>
    <w:rsid w:val="00437F0D"/>
    <w:rsid w:val="0044229F"/>
    <w:rsid w:val="0044286B"/>
    <w:rsid w:val="00442DDA"/>
    <w:rsid w:val="004430D3"/>
    <w:rsid w:val="004446CA"/>
    <w:rsid w:val="00444CA9"/>
    <w:rsid w:val="004454EA"/>
    <w:rsid w:val="0044595B"/>
    <w:rsid w:val="00446BEF"/>
    <w:rsid w:val="004474DE"/>
    <w:rsid w:val="00450283"/>
    <w:rsid w:val="004531E9"/>
    <w:rsid w:val="00453D03"/>
    <w:rsid w:val="00453E15"/>
    <w:rsid w:val="004556E1"/>
    <w:rsid w:val="00455D88"/>
    <w:rsid w:val="00456438"/>
    <w:rsid w:val="00457B8D"/>
    <w:rsid w:val="00462208"/>
    <w:rsid w:val="00464831"/>
    <w:rsid w:val="00464F49"/>
    <w:rsid w:val="0046509E"/>
    <w:rsid w:val="004663B9"/>
    <w:rsid w:val="00466BC9"/>
    <w:rsid w:val="0047402D"/>
    <w:rsid w:val="004740B2"/>
    <w:rsid w:val="004748F7"/>
    <w:rsid w:val="00474B98"/>
    <w:rsid w:val="00476FE7"/>
    <w:rsid w:val="00477F54"/>
    <w:rsid w:val="0048041A"/>
    <w:rsid w:val="004805FE"/>
    <w:rsid w:val="004822A7"/>
    <w:rsid w:val="00483009"/>
    <w:rsid w:val="0048396A"/>
    <w:rsid w:val="00484E8F"/>
    <w:rsid w:val="00485EF7"/>
    <w:rsid w:val="00486B09"/>
    <w:rsid w:val="00486EBC"/>
    <w:rsid w:val="00487EEF"/>
    <w:rsid w:val="00490317"/>
    <w:rsid w:val="00491CB1"/>
    <w:rsid w:val="00492A3F"/>
    <w:rsid w:val="004949E8"/>
    <w:rsid w:val="00494F51"/>
    <w:rsid w:val="004971BC"/>
    <w:rsid w:val="004976CF"/>
    <w:rsid w:val="004A1583"/>
    <w:rsid w:val="004A1C27"/>
    <w:rsid w:val="004A2557"/>
    <w:rsid w:val="004A26A6"/>
    <w:rsid w:val="004A2EB8"/>
    <w:rsid w:val="004A322D"/>
    <w:rsid w:val="004A37E1"/>
    <w:rsid w:val="004A6327"/>
    <w:rsid w:val="004A63AB"/>
    <w:rsid w:val="004A681B"/>
    <w:rsid w:val="004B0A4E"/>
    <w:rsid w:val="004B0E9D"/>
    <w:rsid w:val="004B55B2"/>
    <w:rsid w:val="004B5973"/>
    <w:rsid w:val="004B60C7"/>
    <w:rsid w:val="004B7306"/>
    <w:rsid w:val="004B7D15"/>
    <w:rsid w:val="004C01CB"/>
    <w:rsid w:val="004C07AB"/>
    <w:rsid w:val="004C07CB"/>
    <w:rsid w:val="004C08E6"/>
    <w:rsid w:val="004C1670"/>
    <w:rsid w:val="004C1CB4"/>
    <w:rsid w:val="004C2ED2"/>
    <w:rsid w:val="004C3ABC"/>
    <w:rsid w:val="004C4746"/>
    <w:rsid w:val="004C4B3C"/>
    <w:rsid w:val="004C6FE0"/>
    <w:rsid w:val="004C73F4"/>
    <w:rsid w:val="004C77F7"/>
    <w:rsid w:val="004C7E83"/>
    <w:rsid w:val="004D16F2"/>
    <w:rsid w:val="004D1747"/>
    <w:rsid w:val="004D193C"/>
    <w:rsid w:val="004D23BA"/>
    <w:rsid w:val="004D2FD4"/>
    <w:rsid w:val="004D3D5C"/>
    <w:rsid w:val="004D3DCB"/>
    <w:rsid w:val="004D651E"/>
    <w:rsid w:val="004D7738"/>
    <w:rsid w:val="004E036A"/>
    <w:rsid w:val="004E085F"/>
    <w:rsid w:val="004E1407"/>
    <w:rsid w:val="004E1D83"/>
    <w:rsid w:val="004E22CD"/>
    <w:rsid w:val="004E40C6"/>
    <w:rsid w:val="004E45F1"/>
    <w:rsid w:val="004E6091"/>
    <w:rsid w:val="004F0900"/>
    <w:rsid w:val="004F0D48"/>
    <w:rsid w:val="004F1256"/>
    <w:rsid w:val="004F4C17"/>
    <w:rsid w:val="004F5526"/>
    <w:rsid w:val="004F5E8D"/>
    <w:rsid w:val="004F60F6"/>
    <w:rsid w:val="004F7C7E"/>
    <w:rsid w:val="00500E0B"/>
    <w:rsid w:val="00502FC2"/>
    <w:rsid w:val="0050338C"/>
    <w:rsid w:val="0050401B"/>
    <w:rsid w:val="00507326"/>
    <w:rsid w:val="005077A4"/>
    <w:rsid w:val="005078A6"/>
    <w:rsid w:val="005114AF"/>
    <w:rsid w:val="00512486"/>
    <w:rsid w:val="00512AF5"/>
    <w:rsid w:val="00512B6E"/>
    <w:rsid w:val="00513406"/>
    <w:rsid w:val="00513616"/>
    <w:rsid w:val="005158FF"/>
    <w:rsid w:val="005167AA"/>
    <w:rsid w:val="00517B69"/>
    <w:rsid w:val="00520453"/>
    <w:rsid w:val="0052092F"/>
    <w:rsid w:val="00521666"/>
    <w:rsid w:val="00521EE3"/>
    <w:rsid w:val="005221A9"/>
    <w:rsid w:val="0052347F"/>
    <w:rsid w:val="0052379F"/>
    <w:rsid w:val="00524FAC"/>
    <w:rsid w:val="00525DF3"/>
    <w:rsid w:val="00525E78"/>
    <w:rsid w:val="0052734E"/>
    <w:rsid w:val="00527A71"/>
    <w:rsid w:val="00527E14"/>
    <w:rsid w:val="00530938"/>
    <w:rsid w:val="00530B5A"/>
    <w:rsid w:val="005329AD"/>
    <w:rsid w:val="00532EC9"/>
    <w:rsid w:val="00532F2A"/>
    <w:rsid w:val="00533006"/>
    <w:rsid w:val="00535AFC"/>
    <w:rsid w:val="00535E56"/>
    <w:rsid w:val="005363CE"/>
    <w:rsid w:val="0053715D"/>
    <w:rsid w:val="00540029"/>
    <w:rsid w:val="00542B4C"/>
    <w:rsid w:val="005431C3"/>
    <w:rsid w:val="005436E7"/>
    <w:rsid w:val="00543C88"/>
    <w:rsid w:val="00546525"/>
    <w:rsid w:val="005468DD"/>
    <w:rsid w:val="00550047"/>
    <w:rsid w:val="00550F3C"/>
    <w:rsid w:val="00551064"/>
    <w:rsid w:val="00551B4B"/>
    <w:rsid w:val="005522ED"/>
    <w:rsid w:val="0055247A"/>
    <w:rsid w:val="00552A45"/>
    <w:rsid w:val="0055459B"/>
    <w:rsid w:val="0056143A"/>
    <w:rsid w:val="00561676"/>
    <w:rsid w:val="00561E69"/>
    <w:rsid w:val="00562722"/>
    <w:rsid w:val="005636CD"/>
    <w:rsid w:val="0056634F"/>
    <w:rsid w:val="00566C33"/>
    <w:rsid w:val="00566EF3"/>
    <w:rsid w:val="00571406"/>
    <w:rsid w:val="005718AF"/>
    <w:rsid w:val="00571EDB"/>
    <w:rsid w:val="00571FD4"/>
    <w:rsid w:val="00572879"/>
    <w:rsid w:val="00572959"/>
    <w:rsid w:val="00576012"/>
    <w:rsid w:val="005760B9"/>
    <w:rsid w:val="00576A35"/>
    <w:rsid w:val="00576CBA"/>
    <w:rsid w:val="005776E9"/>
    <w:rsid w:val="005860C6"/>
    <w:rsid w:val="0058615B"/>
    <w:rsid w:val="00586681"/>
    <w:rsid w:val="00586D38"/>
    <w:rsid w:val="00587D18"/>
    <w:rsid w:val="00590376"/>
    <w:rsid w:val="00591A43"/>
    <w:rsid w:val="00592474"/>
    <w:rsid w:val="005931E8"/>
    <w:rsid w:val="00593A17"/>
    <w:rsid w:val="00595F8C"/>
    <w:rsid w:val="005961AB"/>
    <w:rsid w:val="005964C3"/>
    <w:rsid w:val="00597BB1"/>
    <w:rsid w:val="005A0CA9"/>
    <w:rsid w:val="005A3467"/>
    <w:rsid w:val="005A3A64"/>
    <w:rsid w:val="005A42DB"/>
    <w:rsid w:val="005A461D"/>
    <w:rsid w:val="005A51D5"/>
    <w:rsid w:val="005A5644"/>
    <w:rsid w:val="005A56CC"/>
    <w:rsid w:val="005A5E37"/>
    <w:rsid w:val="005A5EE9"/>
    <w:rsid w:val="005A7548"/>
    <w:rsid w:val="005B132C"/>
    <w:rsid w:val="005B24BD"/>
    <w:rsid w:val="005B473F"/>
    <w:rsid w:val="005B4959"/>
    <w:rsid w:val="005B4B72"/>
    <w:rsid w:val="005B4B7A"/>
    <w:rsid w:val="005B5BCF"/>
    <w:rsid w:val="005C1DD1"/>
    <w:rsid w:val="005C444E"/>
    <w:rsid w:val="005C65B8"/>
    <w:rsid w:val="005C763F"/>
    <w:rsid w:val="005C7AB2"/>
    <w:rsid w:val="005D1819"/>
    <w:rsid w:val="005D4460"/>
    <w:rsid w:val="005D44F9"/>
    <w:rsid w:val="005D463D"/>
    <w:rsid w:val="005D739B"/>
    <w:rsid w:val="005D739E"/>
    <w:rsid w:val="005E30CB"/>
    <w:rsid w:val="005E34FF"/>
    <w:rsid w:val="005E4046"/>
    <w:rsid w:val="005E4319"/>
    <w:rsid w:val="005E497C"/>
    <w:rsid w:val="005E52F9"/>
    <w:rsid w:val="005E5A4B"/>
    <w:rsid w:val="005E69A6"/>
    <w:rsid w:val="005F020C"/>
    <w:rsid w:val="005F042E"/>
    <w:rsid w:val="005F10C0"/>
    <w:rsid w:val="005F1261"/>
    <w:rsid w:val="005F25F0"/>
    <w:rsid w:val="005F37C4"/>
    <w:rsid w:val="005F3A4E"/>
    <w:rsid w:val="005F507E"/>
    <w:rsid w:val="005F71C7"/>
    <w:rsid w:val="005F774E"/>
    <w:rsid w:val="00600B1A"/>
    <w:rsid w:val="00602315"/>
    <w:rsid w:val="006037C8"/>
    <w:rsid w:val="00603C08"/>
    <w:rsid w:val="00603D09"/>
    <w:rsid w:val="00603F8B"/>
    <w:rsid w:val="00605A6F"/>
    <w:rsid w:val="00605FFA"/>
    <w:rsid w:val="0060606E"/>
    <w:rsid w:val="00607CB5"/>
    <w:rsid w:val="00614E46"/>
    <w:rsid w:val="00615E9B"/>
    <w:rsid w:val="0061769B"/>
    <w:rsid w:val="00617820"/>
    <w:rsid w:val="00620E58"/>
    <w:rsid w:val="00621A64"/>
    <w:rsid w:val="0062201D"/>
    <w:rsid w:val="00622894"/>
    <w:rsid w:val="00622FE1"/>
    <w:rsid w:val="006251A9"/>
    <w:rsid w:val="006257B9"/>
    <w:rsid w:val="006259B0"/>
    <w:rsid w:val="0062660E"/>
    <w:rsid w:val="006276B6"/>
    <w:rsid w:val="006278FC"/>
    <w:rsid w:val="00627EC3"/>
    <w:rsid w:val="00630251"/>
    <w:rsid w:val="006319E6"/>
    <w:rsid w:val="00631E96"/>
    <w:rsid w:val="00631EA4"/>
    <w:rsid w:val="0063264D"/>
    <w:rsid w:val="006328DD"/>
    <w:rsid w:val="00632C7B"/>
    <w:rsid w:val="00632F24"/>
    <w:rsid w:val="00636F6D"/>
    <w:rsid w:val="0063719C"/>
    <w:rsid w:val="00640301"/>
    <w:rsid w:val="006407B2"/>
    <w:rsid w:val="00640A90"/>
    <w:rsid w:val="00640EB2"/>
    <w:rsid w:val="00641074"/>
    <w:rsid w:val="00642030"/>
    <w:rsid w:val="00643528"/>
    <w:rsid w:val="00643655"/>
    <w:rsid w:val="00645E68"/>
    <w:rsid w:val="00646222"/>
    <w:rsid w:val="006475CB"/>
    <w:rsid w:val="00647D82"/>
    <w:rsid w:val="00647DA5"/>
    <w:rsid w:val="00652E9A"/>
    <w:rsid w:val="00653EFA"/>
    <w:rsid w:val="00654816"/>
    <w:rsid w:val="00655B05"/>
    <w:rsid w:val="00656F93"/>
    <w:rsid w:val="0065719B"/>
    <w:rsid w:val="00657A3A"/>
    <w:rsid w:val="00657BE0"/>
    <w:rsid w:val="0066081F"/>
    <w:rsid w:val="006618C5"/>
    <w:rsid w:val="00662CBB"/>
    <w:rsid w:val="006630E3"/>
    <w:rsid w:val="0066322F"/>
    <w:rsid w:val="006636D5"/>
    <w:rsid w:val="00663942"/>
    <w:rsid w:val="006639A3"/>
    <w:rsid w:val="00664025"/>
    <w:rsid w:val="00664B84"/>
    <w:rsid w:val="0067126B"/>
    <w:rsid w:val="006724A3"/>
    <w:rsid w:val="00672BA3"/>
    <w:rsid w:val="0067690F"/>
    <w:rsid w:val="00676966"/>
    <w:rsid w:val="00676ED7"/>
    <w:rsid w:val="00677306"/>
    <w:rsid w:val="00677A63"/>
    <w:rsid w:val="00677CA1"/>
    <w:rsid w:val="00677DDF"/>
    <w:rsid w:val="00680532"/>
    <w:rsid w:val="00680DA9"/>
    <w:rsid w:val="00681685"/>
    <w:rsid w:val="00682A6F"/>
    <w:rsid w:val="00683B98"/>
    <w:rsid w:val="00683F41"/>
    <w:rsid w:val="006905AD"/>
    <w:rsid w:val="00692A87"/>
    <w:rsid w:val="0069559D"/>
    <w:rsid w:val="00696B7E"/>
    <w:rsid w:val="00697460"/>
    <w:rsid w:val="00697616"/>
    <w:rsid w:val="006A09E6"/>
    <w:rsid w:val="006A35A8"/>
    <w:rsid w:val="006A3B02"/>
    <w:rsid w:val="006A3D00"/>
    <w:rsid w:val="006A530A"/>
    <w:rsid w:val="006A6147"/>
    <w:rsid w:val="006A749A"/>
    <w:rsid w:val="006A7A43"/>
    <w:rsid w:val="006B141C"/>
    <w:rsid w:val="006B1BFA"/>
    <w:rsid w:val="006B2F6D"/>
    <w:rsid w:val="006B37FC"/>
    <w:rsid w:val="006B5520"/>
    <w:rsid w:val="006B593F"/>
    <w:rsid w:val="006B5957"/>
    <w:rsid w:val="006B5BA6"/>
    <w:rsid w:val="006B6D14"/>
    <w:rsid w:val="006B7F90"/>
    <w:rsid w:val="006C00A7"/>
    <w:rsid w:val="006C0F29"/>
    <w:rsid w:val="006C16F0"/>
    <w:rsid w:val="006C225A"/>
    <w:rsid w:val="006C3370"/>
    <w:rsid w:val="006C3851"/>
    <w:rsid w:val="006C3BCD"/>
    <w:rsid w:val="006C3FB5"/>
    <w:rsid w:val="006C693F"/>
    <w:rsid w:val="006C7B9D"/>
    <w:rsid w:val="006D083D"/>
    <w:rsid w:val="006D133F"/>
    <w:rsid w:val="006D2285"/>
    <w:rsid w:val="006D2842"/>
    <w:rsid w:val="006D350F"/>
    <w:rsid w:val="006D3583"/>
    <w:rsid w:val="006D49C9"/>
    <w:rsid w:val="006D513A"/>
    <w:rsid w:val="006D56D8"/>
    <w:rsid w:val="006D59EC"/>
    <w:rsid w:val="006D5EDA"/>
    <w:rsid w:val="006E151C"/>
    <w:rsid w:val="006E3306"/>
    <w:rsid w:val="006E4BF7"/>
    <w:rsid w:val="006E530B"/>
    <w:rsid w:val="006E656E"/>
    <w:rsid w:val="006E6749"/>
    <w:rsid w:val="006F12CC"/>
    <w:rsid w:val="006F1444"/>
    <w:rsid w:val="006F23E2"/>
    <w:rsid w:val="006F2759"/>
    <w:rsid w:val="006F31DB"/>
    <w:rsid w:val="006F5BB4"/>
    <w:rsid w:val="006F6496"/>
    <w:rsid w:val="007015C3"/>
    <w:rsid w:val="00703860"/>
    <w:rsid w:val="00703B9A"/>
    <w:rsid w:val="00704111"/>
    <w:rsid w:val="0070467C"/>
    <w:rsid w:val="00704E1A"/>
    <w:rsid w:val="00710DBD"/>
    <w:rsid w:val="00711123"/>
    <w:rsid w:val="00711895"/>
    <w:rsid w:val="00711EB0"/>
    <w:rsid w:val="00713132"/>
    <w:rsid w:val="00713F1B"/>
    <w:rsid w:val="00714464"/>
    <w:rsid w:val="00715C78"/>
    <w:rsid w:val="00717E0F"/>
    <w:rsid w:val="00720094"/>
    <w:rsid w:val="0072009E"/>
    <w:rsid w:val="00720887"/>
    <w:rsid w:val="00720EDD"/>
    <w:rsid w:val="007215CA"/>
    <w:rsid w:val="00721A9F"/>
    <w:rsid w:val="00722541"/>
    <w:rsid w:val="00722FBA"/>
    <w:rsid w:val="0072369F"/>
    <w:rsid w:val="00723AB5"/>
    <w:rsid w:val="00723AB7"/>
    <w:rsid w:val="0072405B"/>
    <w:rsid w:val="00724AC4"/>
    <w:rsid w:val="00726207"/>
    <w:rsid w:val="00726AA6"/>
    <w:rsid w:val="00727382"/>
    <w:rsid w:val="0072780E"/>
    <w:rsid w:val="00730048"/>
    <w:rsid w:val="00731A45"/>
    <w:rsid w:val="0073445C"/>
    <w:rsid w:val="00735565"/>
    <w:rsid w:val="00735DC4"/>
    <w:rsid w:val="0073619B"/>
    <w:rsid w:val="00737C17"/>
    <w:rsid w:val="00741A7B"/>
    <w:rsid w:val="00742B9B"/>
    <w:rsid w:val="00743891"/>
    <w:rsid w:val="007454DA"/>
    <w:rsid w:val="007461A0"/>
    <w:rsid w:val="007468F4"/>
    <w:rsid w:val="00750DFF"/>
    <w:rsid w:val="007515F0"/>
    <w:rsid w:val="007519BF"/>
    <w:rsid w:val="007524CA"/>
    <w:rsid w:val="007525F7"/>
    <w:rsid w:val="00752FCA"/>
    <w:rsid w:val="0075445E"/>
    <w:rsid w:val="00756EFA"/>
    <w:rsid w:val="00760909"/>
    <w:rsid w:val="00761DE8"/>
    <w:rsid w:val="00762603"/>
    <w:rsid w:val="00762782"/>
    <w:rsid w:val="00764EE5"/>
    <w:rsid w:val="007652BD"/>
    <w:rsid w:val="007653B7"/>
    <w:rsid w:val="00765DB3"/>
    <w:rsid w:val="00766208"/>
    <w:rsid w:val="00770321"/>
    <w:rsid w:val="0077039C"/>
    <w:rsid w:val="00771437"/>
    <w:rsid w:val="00771CCF"/>
    <w:rsid w:val="00771F8F"/>
    <w:rsid w:val="00772994"/>
    <w:rsid w:val="00774D54"/>
    <w:rsid w:val="007756A1"/>
    <w:rsid w:val="007756F2"/>
    <w:rsid w:val="00777B39"/>
    <w:rsid w:val="007800CD"/>
    <w:rsid w:val="00781107"/>
    <w:rsid w:val="00781482"/>
    <w:rsid w:val="0078268A"/>
    <w:rsid w:val="0078278F"/>
    <w:rsid w:val="00782BB5"/>
    <w:rsid w:val="0078372D"/>
    <w:rsid w:val="0078420C"/>
    <w:rsid w:val="00784273"/>
    <w:rsid w:val="00784FF4"/>
    <w:rsid w:val="00785204"/>
    <w:rsid w:val="00785862"/>
    <w:rsid w:val="007873D0"/>
    <w:rsid w:val="00790D0A"/>
    <w:rsid w:val="00791565"/>
    <w:rsid w:val="00791AE4"/>
    <w:rsid w:val="00791BE0"/>
    <w:rsid w:val="0079217C"/>
    <w:rsid w:val="007926E3"/>
    <w:rsid w:val="00792864"/>
    <w:rsid w:val="0079403B"/>
    <w:rsid w:val="007950D2"/>
    <w:rsid w:val="007966DC"/>
    <w:rsid w:val="00797E44"/>
    <w:rsid w:val="007A0537"/>
    <w:rsid w:val="007A2A3C"/>
    <w:rsid w:val="007A48EC"/>
    <w:rsid w:val="007A6A34"/>
    <w:rsid w:val="007A7C5E"/>
    <w:rsid w:val="007B0F75"/>
    <w:rsid w:val="007B2E63"/>
    <w:rsid w:val="007B4263"/>
    <w:rsid w:val="007B48BA"/>
    <w:rsid w:val="007B4BA4"/>
    <w:rsid w:val="007B5396"/>
    <w:rsid w:val="007B5BD1"/>
    <w:rsid w:val="007B616A"/>
    <w:rsid w:val="007B6175"/>
    <w:rsid w:val="007B6E0A"/>
    <w:rsid w:val="007B7512"/>
    <w:rsid w:val="007B7A86"/>
    <w:rsid w:val="007C13DC"/>
    <w:rsid w:val="007C1C71"/>
    <w:rsid w:val="007C1C8F"/>
    <w:rsid w:val="007C1DBC"/>
    <w:rsid w:val="007C1EDD"/>
    <w:rsid w:val="007C6099"/>
    <w:rsid w:val="007C7F9F"/>
    <w:rsid w:val="007D1476"/>
    <w:rsid w:val="007D1935"/>
    <w:rsid w:val="007D21C9"/>
    <w:rsid w:val="007D2270"/>
    <w:rsid w:val="007D37EE"/>
    <w:rsid w:val="007D3860"/>
    <w:rsid w:val="007D399C"/>
    <w:rsid w:val="007D4CAC"/>
    <w:rsid w:val="007D5263"/>
    <w:rsid w:val="007D633F"/>
    <w:rsid w:val="007D65B4"/>
    <w:rsid w:val="007D79A7"/>
    <w:rsid w:val="007E04B9"/>
    <w:rsid w:val="007E0BBB"/>
    <w:rsid w:val="007E1BD0"/>
    <w:rsid w:val="007E22F5"/>
    <w:rsid w:val="007E292B"/>
    <w:rsid w:val="007E3220"/>
    <w:rsid w:val="007E449A"/>
    <w:rsid w:val="007E44E6"/>
    <w:rsid w:val="007E4582"/>
    <w:rsid w:val="007E5D97"/>
    <w:rsid w:val="007E673A"/>
    <w:rsid w:val="007F0CF4"/>
    <w:rsid w:val="007F1352"/>
    <w:rsid w:val="007F21D0"/>
    <w:rsid w:val="007F45F0"/>
    <w:rsid w:val="007F46C3"/>
    <w:rsid w:val="007F5D69"/>
    <w:rsid w:val="007F622E"/>
    <w:rsid w:val="007F7924"/>
    <w:rsid w:val="007F7CDE"/>
    <w:rsid w:val="00801E37"/>
    <w:rsid w:val="00801F03"/>
    <w:rsid w:val="00801FB9"/>
    <w:rsid w:val="00803A92"/>
    <w:rsid w:val="00805110"/>
    <w:rsid w:val="0080646C"/>
    <w:rsid w:val="00807B2D"/>
    <w:rsid w:val="00807F05"/>
    <w:rsid w:val="00810BB5"/>
    <w:rsid w:val="0081155F"/>
    <w:rsid w:val="00812166"/>
    <w:rsid w:val="00813A80"/>
    <w:rsid w:val="00816195"/>
    <w:rsid w:val="0081758C"/>
    <w:rsid w:val="00820AC2"/>
    <w:rsid w:val="00820D44"/>
    <w:rsid w:val="00821F72"/>
    <w:rsid w:val="00824B21"/>
    <w:rsid w:val="0082513E"/>
    <w:rsid w:val="00825E73"/>
    <w:rsid w:val="0082676A"/>
    <w:rsid w:val="0083199F"/>
    <w:rsid w:val="00832439"/>
    <w:rsid w:val="008326C2"/>
    <w:rsid w:val="00833819"/>
    <w:rsid w:val="00833CE2"/>
    <w:rsid w:val="00833CEF"/>
    <w:rsid w:val="00834368"/>
    <w:rsid w:val="0083479B"/>
    <w:rsid w:val="00835EF3"/>
    <w:rsid w:val="008377E7"/>
    <w:rsid w:val="00841DF8"/>
    <w:rsid w:val="00842728"/>
    <w:rsid w:val="00843AD5"/>
    <w:rsid w:val="008441A7"/>
    <w:rsid w:val="00845A4C"/>
    <w:rsid w:val="00845CD5"/>
    <w:rsid w:val="00845CE5"/>
    <w:rsid w:val="00846294"/>
    <w:rsid w:val="0085326A"/>
    <w:rsid w:val="0085356C"/>
    <w:rsid w:val="00854432"/>
    <w:rsid w:val="0085593E"/>
    <w:rsid w:val="00856C3D"/>
    <w:rsid w:val="008631F1"/>
    <w:rsid w:val="00863545"/>
    <w:rsid w:val="0086590B"/>
    <w:rsid w:val="00865BB3"/>
    <w:rsid w:val="0087027D"/>
    <w:rsid w:val="0087102B"/>
    <w:rsid w:val="00872054"/>
    <w:rsid w:val="0087350F"/>
    <w:rsid w:val="008741F8"/>
    <w:rsid w:val="008742F3"/>
    <w:rsid w:val="008757BD"/>
    <w:rsid w:val="00875FB2"/>
    <w:rsid w:val="008765AE"/>
    <w:rsid w:val="008765F1"/>
    <w:rsid w:val="00876E30"/>
    <w:rsid w:val="0087725F"/>
    <w:rsid w:val="00877375"/>
    <w:rsid w:val="008777D9"/>
    <w:rsid w:val="00877C74"/>
    <w:rsid w:val="008814EC"/>
    <w:rsid w:val="00882A05"/>
    <w:rsid w:val="00883853"/>
    <w:rsid w:val="00883B81"/>
    <w:rsid w:val="00884339"/>
    <w:rsid w:val="00884A7D"/>
    <w:rsid w:val="00885617"/>
    <w:rsid w:val="008865CF"/>
    <w:rsid w:val="008865D7"/>
    <w:rsid w:val="00886D31"/>
    <w:rsid w:val="00887917"/>
    <w:rsid w:val="00890242"/>
    <w:rsid w:val="00890CDA"/>
    <w:rsid w:val="00890F9A"/>
    <w:rsid w:val="00891708"/>
    <w:rsid w:val="00891A63"/>
    <w:rsid w:val="00891F07"/>
    <w:rsid w:val="00893149"/>
    <w:rsid w:val="00897138"/>
    <w:rsid w:val="008974E8"/>
    <w:rsid w:val="008A03E3"/>
    <w:rsid w:val="008A0DE9"/>
    <w:rsid w:val="008A2B75"/>
    <w:rsid w:val="008A38E2"/>
    <w:rsid w:val="008A4C75"/>
    <w:rsid w:val="008A4D25"/>
    <w:rsid w:val="008A597B"/>
    <w:rsid w:val="008A5F5A"/>
    <w:rsid w:val="008B02D0"/>
    <w:rsid w:val="008B1348"/>
    <w:rsid w:val="008B1A67"/>
    <w:rsid w:val="008B1AF9"/>
    <w:rsid w:val="008B1B3C"/>
    <w:rsid w:val="008B1C93"/>
    <w:rsid w:val="008B2231"/>
    <w:rsid w:val="008B2ED2"/>
    <w:rsid w:val="008B3CAF"/>
    <w:rsid w:val="008B67F8"/>
    <w:rsid w:val="008B7526"/>
    <w:rsid w:val="008C036B"/>
    <w:rsid w:val="008C0CC9"/>
    <w:rsid w:val="008C122A"/>
    <w:rsid w:val="008C1CAD"/>
    <w:rsid w:val="008C2941"/>
    <w:rsid w:val="008C2D9E"/>
    <w:rsid w:val="008C4A98"/>
    <w:rsid w:val="008C5BE1"/>
    <w:rsid w:val="008C5CD5"/>
    <w:rsid w:val="008C6071"/>
    <w:rsid w:val="008C6FA3"/>
    <w:rsid w:val="008C76A4"/>
    <w:rsid w:val="008D0C2E"/>
    <w:rsid w:val="008D1677"/>
    <w:rsid w:val="008D29F6"/>
    <w:rsid w:val="008D4114"/>
    <w:rsid w:val="008D4CE2"/>
    <w:rsid w:val="008D5C22"/>
    <w:rsid w:val="008D5FF6"/>
    <w:rsid w:val="008D7D00"/>
    <w:rsid w:val="008D7E9C"/>
    <w:rsid w:val="008E15EC"/>
    <w:rsid w:val="008E1B02"/>
    <w:rsid w:val="008E272D"/>
    <w:rsid w:val="008E359C"/>
    <w:rsid w:val="008E4B04"/>
    <w:rsid w:val="008E575B"/>
    <w:rsid w:val="008E78B4"/>
    <w:rsid w:val="008F2EE0"/>
    <w:rsid w:val="008F2FE0"/>
    <w:rsid w:val="008F3E01"/>
    <w:rsid w:val="008F436D"/>
    <w:rsid w:val="008F59AB"/>
    <w:rsid w:val="008F6211"/>
    <w:rsid w:val="008F7187"/>
    <w:rsid w:val="009002FE"/>
    <w:rsid w:val="0090031D"/>
    <w:rsid w:val="00900C3E"/>
    <w:rsid w:val="00901048"/>
    <w:rsid w:val="00903B76"/>
    <w:rsid w:val="009044E3"/>
    <w:rsid w:val="00904921"/>
    <w:rsid w:val="00904FC3"/>
    <w:rsid w:val="00905131"/>
    <w:rsid w:val="0090541A"/>
    <w:rsid w:val="00905A5E"/>
    <w:rsid w:val="00910DDA"/>
    <w:rsid w:val="009114B4"/>
    <w:rsid w:val="00911B77"/>
    <w:rsid w:val="00914F02"/>
    <w:rsid w:val="0091500B"/>
    <w:rsid w:val="0091554B"/>
    <w:rsid w:val="00916761"/>
    <w:rsid w:val="00922EE0"/>
    <w:rsid w:val="0092319E"/>
    <w:rsid w:val="00923F06"/>
    <w:rsid w:val="009242DF"/>
    <w:rsid w:val="00924360"/>
    <w:rsid w:val="00924454"/>
    <w:rsid w:val="009245F2"/>
    <w:rsid w:val="00924968"/>
    <w:rsid w:val="00924EDF"/>
    <w:rsid w:val="00925092"/>
    <w:rsid w:val="00925ED9"/>
    <w:rsid w:val="00926423"/>
    <w:rsid w:val="0092726C"/>
    <w:rsid w:val="00927607"/>
    <w:rsid w:val="00927D51"/>
    <w:rsid w:val="00927DB6"/>
    <w:rsid w:val="00930D0E"/>
    <w:rsid w:val="009319F6"/>
    <w:rsid w:val="00932BCD"/>
    <w:rsid w:val="00933356"/>
    <w:rsid w:val="0093449E"/>
    <w:rsid w:val="00935B05"/>
    <w:rsid w:val="009362BA"/>
    <w:rsid w:val="0093635F"/>
    <w:rsid w:val="00937554"/>
    <w:rsid w:val="00940CB7"/>
    <w:rsid w:val="00941293"/>
    <w:rsid w:val="00944767"/>
    <w:rsid w:val="00945162"/>
    <w:rsid w:val="00945BD4"/>
    <w:rsid w:val="009469EC"/>
    <w:rsid w:val="00946DCD"/>
    <w:rsid w:val="00946E84"/>
    <w:rsid w:val="009475BE"/>
    <w:rsid w:val="00950474"/>
    <w:rsid w:val="009504AB"/>
    <w:rsid w:val="009509D5"/>
    <w:rsid w:val="00951FD6"/>
    <w:rsid w:val="0095249F"/>
    <w:rsid w:val="0095275C"/>
    <w:rsid w:val="00952C0E"/>
    <w:rsid w:val="00952D4C"/>
    <w:rsid w:val="00953A78"/>
    <w:rsid w:val="00954AA6"/>
    <w:rsid w:val="0095705F"/>
    <w:rsid w:val="009570E5"/>
    <w:rsid w:val="00957E6B"/>
    <w:rsid w:val="009608CC"/>
    <w:rsid w:val="00960B10"/>
    <w:rsid w:val="00962B9C"/>
    <w:rsid w:val="009646DE"/>
    <w:rsid w:val="00964F29"/>
    <w:rsid w:val="00965E4B"/>
    <w:rsid w:val="00966042"/>
    <w:rsid w:val="00966C2A"/>
    <w:rsid w:val="00967184"/>
    <w:rsid w:val="009707AA"/>
    <w:rsid w:val="00970C78"/>
    <w:rsid w:val="0097100C"/>
    <w:rsid w:val="00971074"/>
    <w:rsid w:val="00971281"/>
    <w:rsid w:val="0097130C"/>
    <w:rsid w:val="00971E7F"/>
    <w:rsid w:val="00971EF0"/>
    <w:rsid w:val="009730F1"/>
    <w:rsid w:val="00973C47"/>
    <w:rsid w:val="00973D0D"/>
    <w:rsid w:val="00980B71"/>
    <w:rsid w:val="00980DEA"/>
    <w:rsid w:val="00980EB1"/>
    <w:rsid w:val="00980F9E"/>
    <w:rsid w:val="009841DA"/>
    <w:rsid w:val="00984655"/>
    <w:rsid w:val="00985DCB"/>
    <w:rsid w:val="00986A81"/>
    <w:rsid w:val="0098716F"/>
    <w:rsid w:val="00987879"/>
    <w:rsid w:val="009879A8"/>
    <w:rsid w:val="00987F7C"/>
    <w:rsid w:val="0099023F"/>
    <w:rsid w:val="00990A5A"/>
    <w:rsid w:val="00990DCF"/>
    <w:rsid w:val="0099111A"/>
    <w:rsid w:val="009922C3"/>
    <w:rsid w:val="00992E8F"/>
    <w:rsid w:val="00994115"/>
    <w:rsid w:val="009A0692"/>
    <w:rsid w:val="009A13EC"/>
    <w:rsid w:val="009A15C0"/>
    <w:rsid w:val="009A2552"/>
    <w:rsid w:val="009A36D6"/>
    <w:rsid w:val="009A38DC"/>
    <w:rsid w:val="009A3DC8"/>
    <w:rsid w:val="009A3E26"/>
    <w:rsid w:val="009A50C0"/>
    <w:rsid w:val="009A53BC"/>
    <w:rsid w:val="009A5627"/>
    <w:rsid w:val="009A5F6B"/>
    <w:rsid w:val="009A62E9"/>
    <w:rsid w:val="009A6596"/>
    <w:rsid w:val="009A6CA4"/>
    <w:rsid w:val="009A7AEC"/>
    <w:rsid w:val="009A7F57"/>
    <w:rsid w:val="009B0716"/>
    <w:rsid w:val="009B0EB5"/>
    <w:rsid w:val="009B1281"/>
    <w:rsid w:val="009B1B04"/>
    <w:rsid w:val="009B2747"/>
    <w:rsid w:val="009B283F"/>
    <w:rsid w:val="009B3075"/>
    <w:rsid w:val="009B3A62"/>
    <w:rsid w:val="009B50E3"/>
    <w:rsid w:val="009B72ED"/>
    <w:rsid w:val="009B751B"/>
    <w:rsid w:val="009B7AB9"/>
    <w:rsid w:val="009B7BD4"/>
    <w:rsid w:val="009B7F21"/>
    <w:rsid w:val="009C0447"/>
    <w:rsid w:val="009C0EFA"/>
    <w:rsid w:val="009C0F41"/>
    <w:rsid w:val="009C18E3"/>
    <w:rsid w:val="009C1D08"/>
    <w:rsid w:val="009C39E0"/>
    <w:rsid w:val="009C40CC"/>
    <w:rsid w:val="009C4955"/>
    <w:rsid w:val="009C55A3"/>
    <w:rsid w:val="009C65A6"/>
    <w:rsid w:val="009C67B2"/>
    <w:rsid w:val="009C7653"/>
    <w:rsid w:val="009C7E68"/>
    <w:rsid w:val="009D185E"/>
    <w:rsid w:val="009D1E67"/>
    <w:rsid w:val="009D1F6F"/>
    <w:rsid w:val="009D28E8"/>
    <w:rsid w:val="009D298D"/>
    <w:rsid w:val="009D316F"/>
    <w:rsid w:val="009D35EF"/>
    <w:rsid w:val="009D3DF7"/>
    <w:rsid w:val="009D5C35"/>
    <w:rsid w:val="009D73DA"/>
    <w:rsid w:val="009E13F9"/>
    <w:rsid w:val="009E1447"/>
    <w:rsid w:val="009E2DE5"/>
    <w:rsid w:val="009E643C"/>
    <w:rsid w:val="009E7B80"/>
    <w:rsid w:val="009F0511"/>
    <w:rsid w:val="009F067B"/>
    <w:rsid w:val="009F1443"/>
    <w:rsid w:val="009F23E4"/>
    <w:rsid w:val="009F2E8F"/>
    <w:rsid w:val="009F4861"/>
    <w:rsid w:val="009F5CE1"/>
    <w:rsid w:val="009F7620"/>
    <w:rsid w:val="00A00739"/>
    <w:rsid w:val="00A00FCD"/>
    <w:rsid w:val="00A01EA7"/>
    <w:rsid w:val="00A03382"/>
    <w:rsid w:val="00A03DC8"/>
    <w:rsid w:val="00A0479C"/>
    <w:rsid w:val="00A04DA9"/>
    <w:rsid w:val="00A061C9"/>
    <w:rsid w:val="00A101CD"/>
    <w:rsid w:val="00A11E1E"/>
    <w:rsid w:val="00A11E57"/>
    <w:rsid w:val="00A13B23"/>
    <w:rsid w:val="00A14C09"/>
    <w:rsid w:val="00A15290"/>
    <w:rsid w:val="00A1591B"/>
    <w:rsid w:val="00A15BF5"/>
    <w:rsid w:val="00A16C56"/>
    <w:rsid w:val="00A22C90"/>
    <w:rsid w:val="00A22FD9"/>
    <w:rsid w:val="00A27EEF"/>
    <w:rsid w:val="00A31217"/>
    <w:rsid w:val="00A31670"/>
    <w:rsid w:val="00A3213A"/>
    <w:rsid w:val="00A351D0"/>
    <w:rsid w:val="00A35300"/>
    <w:rsid w:val="00A3540F"/>
    <w:rsid w:val="00A356BB"/>
    <w:rsid w:val="00A35A00"/>
    <w:rsid w:val="00A36EF1"/>
    <w:rsid w:val="00A36FAC"/>
    <w:rsid w:val="00A373AF"/>
    <w:rsid w:val="00A4090E"/>
    <w:rsid w:val="00A4226A"/>
    <w:rsid w:val="00A42E36"/>
    <w:rsid w:val="00A440D6"/>
    <w:rsid w:val="00A4430C"/>
    <w:rsid w:val="00A448CF"/>
    <w:rsid w:val="00A4573E"/>
    <w:rsid w:val="00A46B34"/>
    <w:rsid w:val="00A50C4D"/>
    <w:rsid w:val="00A51903"/>
    <w:rsid w:val="00A528D7"/>
    <w:rsid w:val="00A53187"/>
    <w:rsid w:val="00A53FD2"/>
    <w:rsid w:val="00A544CB"/>
    <w:rsid w:val="00A54855"/>
    <w:rsid w:val="00A556ED"/>
    <w:rsid w:val="00A56106"/>
    <w:rsid w:val="00A576AB"/>
    <w:rsid w:val="00A605D5"/>
    <w:rsid w:val="00A60DB3"/>
    <w:rsid w:val="00A61159"/>
    <w:rsid w:val="00A61387"/>
    <w:rsid w:val="00A62A2B"/>
    <w:rsid w:val="00A62B51"/>
    <w:rsid w:val="00A634B0"/>
    <w:rsid w:val="00A6664F"/>
    <w:rsid w:val="00A66B2E"/>
    <w:rsid w:val="00A67E30"/>
    <w:rsid w:val="00A701CF"/>
    <w:rsid w:val="00A70E3F"/>
    <w:rsid w:val="00A71C0B"/>
    <w:rsid w:val="00A7314B"/>
    <w:rsid w:val="00A76CE1"/>
    <w:rsid w:val="00A775D6"/>
    <w:rsid w:val="00A80049"/>
    <w:rsid w:val="00A812AE"/>
    <w:rsid w:val="00A81769"/>
    <w:rsid w:val="00A819E0"/>
    <w:rsid w:val="00A84CDF"/>
    <w:rsid w:val="00A84E49"/>
    <w:rsid w:val="00A855CE"/>
    <w:rsid w:val="00A85BA7"/>
    <w:rsid w:val="00A86D45"/>
    <w:rsid w:val="00A86E73"/>
    <w:rsid w:val="00A90B5B"/>
    <w:rsid w:val="00A921D1"/>
    <w:rsid w:val="00A92322"/>
    <w:rsid w:val="00A92B10"/>
    <w:rsid w:val="00A93D4B"/>
    <w:rsid w:val="00A95058"/>
    <w:rsid w:val="00A95993"/>
    <w:rsid w:val="00A96F13"/>
    <w:rsid w:val="00A97C44"/>
    <w:rsid w:val="00AA0468"/>
    <w:rsid w:val="00AA06AF"/>
    <w:rsid w:val="00AA155A"/>
    <w:rsid w:val="00AA2BE7"/>
    <w:rsid w:val="00AA37C4"/>
    <w:rsid w:val="00AA3C6B"/>
    <w:rsid w:val="00AA3C9D"/>
    <w:rsid w:val="00AA4013"/>
    <w:rsid w:val="00AA4BD7"/>
    <w:rsid w:val="00AA64BC"/>
    <w:rsid w:val="00AA73BB"/>
    <w:rsid w:val="00AB201C"/>
    <w:rsid w:val="00AB2A5F"/>
    <w:rsid w:val="00AB4C77"/>
    <w:rsid w:val="00AB56BF"/>
    <w:rsid w:val="00AB5757"/>
    <w:rsid w:val="00AB6DB0"/>
    <w:rsid w:val="00AB7883"/>
    <w:rsid w:val="00AC0D1A"/>
    <w:rsid w:val="00AC0DFB"/>
    <w:rsid w:val="00AC106E"/>
    <w:rsid w:val="00AC1AFB"/>
    <w:rsid w:val="00AC2019"/>
    <w:rsid w:val="00AC3EF9"/>
    <w:rsid w:val="00AC4239"/>
    <w:rsid w:val="00AC4FD2"/>
    <w:rsid w:val="00AC5A29"/>
    <w:rsid w:val="00AC5D2D"/>
    <w:rsid w:val="00AC70D1"/>
    <w:rsid w:val="00AC78D8"/>
    <w:rsid w:val="00AD0078"/>
    <w:rsid w:val="00AD071E"/>
    <w:rsid w:val="00AD0E39"/>
    <w:rsid w:val="00AD1ED9"/>
    <w:rsid w:val="00AD2438"/>
    <w:rsid w:val="00AD2843"/>
    <w:rsid w:val="00AD2F56"/>
    <w:rsid w:val="00AD4A04"/>
    <w:rsid w:val="00AD5A8C"/>
    <w:rsid w:val="00AD6411"/>
    <w:rsid w:val="00AD74E7"/>
    <w:rsid w:val="00AD7C55"/>
    <w:rsid w:val="00AE0285"/>
    <w:rsid w:val="00AE1D30"/>
    <w:rsid w:val="00AE2471"/>
    <w:rsid w:val="00AE2719"/>
    <w:rsid w:val="00AE3AF9"/>
    <w:rsid w:val="00AE5F2F"/>
    <w:rsid w:val="00AE6D4E"/>
    <w:rsid w:val="00AF1C7A"/>
    <w:rsid w:val="00AF20E2"/>
    <w:rsid w:val="00AF213D"/>
    <w:rsid w:val="00AF23CA"/>
    <w:rsid w:val="00AF28DD"/>
    <w:rsid w:val="00AF2A8E"/>
    <w:rsid w:val="00AF3486"/>
    <w:rsid w:val="00AF40EF"/>
    <w:rsid w:val="00AF503C"/>
    <w:rsid w:val="00AF5676"/>
    <w:rsid w:val="00B0025F"/>
    <w:rsid w:val="00B02E93"/>
    <w:rsid w:val="00B0351F"/>
    <w:rsid w:val="00B04206"/>
    <w:rsid w:val="00B04310"/>
    <w:rsid w:val="00B049F2"/>
    <w:rsid w:val="00B058B5"/>
    <w:rsid w:val="00B05908"/>
    <w:rsid w:val="00B05E09"/>
    <w:rsid w:val="00B0617A"/>
    <w:rsid w:val="00B0691E"/>
    <w:rsid w:val="00B06F26"/>
    <w:rsid w:val="00B1068B"/>
    <w:rsid w:val="00B11DAA"/>
    <w:rsid w:val="00B1217A"/>
    <w:rsid w:val="00B12B7D"/>
    <w:rsid w:val="00B12EE1"/>
    <w:rsid w:val="00B1443F"/>
    <w:rsid w:val="00B14EC1"/>
    <w:rsid w:val="00B14EC4"/>
    <w:rsid w:val="00B15AAE"/>
    <w:rsid w:val="00B1648D"/>
    <w:rsid w:val="00B17446"/>
    <w:rsid w:val="00B177D4"/>
    <w:rsid w:val="00B178B9"/>
    <w:rsid w:val="00B21031"/>
    <w:rsid w:val="00B23394"/>
    <w:rsid w:val="00B24CD4"/>
    <w:rsid w:val="00B2567E"/>
    <w:rsid w:val="00B2671E"/>
    <w:rsid w:val="00B2728C"/>
    <w:rsid w:val="00B31383"/>
    <w:rsid w:val="00B3193E"/>
    <w:rsid w:val="00B32933"/>
    <w:rsid w:val="00B33955"/>
    <w:rsid w:val="00B3446B"/>
    <w:rsid w:val="00B362A6"/>
    <w:rsid w:val="00B36639"/>
    <w:rsid w:val="00B371FA"/>
    <w:rsid w:val="00B37E2A"/>
    <w:rsid w:val="00B4050B"/>
    <w:rsid w:val="00B40863"/>
    <w:rsid w:val="00B40A4C"/>
    <w:rsid w:val="00B429E4"/>
    <w:rsid w:val="00B44254"/>
    <w:rsid w:val="00B448A1"/>
    <w:rsid w:val="00B44932"/>
    <w:rsid w:val="00B45F53"/>
    <w:rsid w:val="00B46206"/>
    <w:rsid w:val="00B47640"/>
    <w:rsid w:val="00B50B35"/>
    <w:rsid w:val="00B50B98"/>
    <w:rsid w:val="00B51DA3"/>
    <w:rsid w:val="00B51FF4"/>
    <w:rsid w:val="00B5340D"/>
    <w:rsid w:val="00B5512B"/>
    <w:rsid w:val="00B55D91"/>
    <w:rsid w:val="00B55E5A"/>
    <w:rsid w:val="00B5636C"/>
    <w:rsid w:val="00B56589"/>
    <w:rsid w:val="00B56990"/>
    <w:rsid w:val="00B57193"/>
    <w:rsid w:val="00B576BF"/>
    <w:rsid w:val="00B57C08"/>
    <w:rsid w:val="00B616AC"/>
    <w:rsid w:val="00B61A59"/>
    <w:rsid w:val="00B61FB9"/>
    <w:rsid w:val="00B6345F"/>
    <w:rsid w:val="00B641AB"/>
    <w:rsid w:val="00B65187"/>
    <w:rsid w:val="00B65BF9"/>
    <w:rsid w:val="00B6711A"/>
    <w:rsid w:val="00B710D2"/>
    <w:rsid w:val="00B7170B"/>
    <w:rsid w:val="00B753AE"/>
    <w:rsid w:val="00B7655C"/>
    <w:rsid w:val="00B7737E"/>
    <w:rsid w:val="00B77CDC"/>
    <w:rsid w:val="00B80A2D"/>
    <w:rsid w:val="00B80FDB"/>
    <w:rsid w:val="00B818AD"/>
    <w:rsid w:val="00B81D53"/>
    <w:rsid w:val="00B8336F"/>
    <w:rsid w:val="00B84186"/>
    <w:rsid w:val="00B851F9"/>
    <w:rsid w:val="00B85698"/>
    <w:rsid w:val="00B8587A"/>
    <w:rsid w:val="00B85D6C"/>
    <w:rsid w:val="00B86239"/>
    <w:rsid w:val="00B865A7"/>
    <w:rsid w:val="00B868CF"/>
    <w:rsid w:val="00B86B1E"/>
    <w:rsid w:val="00B90117"/>
    <w:rsid w:val="00B909D0"/>
    <w:rsid w:val="00B93024"/>
    <w:rsid w:val="00B9404E"/>
    <w:rsid w:val="00B94BC2"/>
    <w:rsid w:val="00B94EC3"/>
    <w:rsid w:val="00B95273"/>
    <w:rsid w:val="00B95ED5"/>
    <w:rsid w:val="00B968BB"/>
    <w:rsid w:val="00B971E9"/>
    <w:rsid w:val="00B97247"/>
    <w:rsid w:val="00BA12D2"/>
    <w:rsid w:val="00BA1579"/>
    <w:rsid w:val="00BA24B4"/>
    <w:rsid w:val="00BA4ADF"/>
    <w:rsid w:val="00BA5C1D"/>
    <w:rsid w:val="00BA665D"/>
    <w:rsid w:val="00BB262B"/>
    <w:rsid w:val="00BB2785"/>
    <w:rsid w:val="00BB353F"/>
    <w:rsid w:val="00BB3FD4"/>
    <w:rsid w:val="00BB418C"/>
    <w:rsid w:val="00BB4347"/>
    <w:rsid w:val="00BB4ED7"/>
    <w:rsid w:val="00BB59A8"/>
    <w:rsid w:val="00BB5BDD"/>
    <w:rsid w:val="00BB66B6"/>
    <w:rsid w:val="00BB7787"/>
    <w:rsid w:val="00BC05DF"/>
    <w:rsid w:val="00BC1E94"/>
    <w:rsid w:val="00BC3B2A"/>
    <w:rsid w:val="00BC484D"/>
    <w:rsid w:val="00BC4DB8"/>
    <w:rsid w:val="00BC519C"/>
    <w:rsid w:val="00BC5B02"/>
    <w:rsid w:val="00BD09CD"/>
    <w:rsid w:val="00BD0E0A"/>
    <w:rsid w:val="00BD3AD6"/>
    <w:rsid w:val="00BD3DFB"/>
    <w:rsid w:val="00BD40AB"/>
    <w:rsid w:val="00BD41C7"/>
    <w:rsid w:val="00BD6BF5"/>
    <w:rsid w:val="00BD7A27"/>
    <w:rsid w:val="00BD7C17"/>
    <w:rsid w:val="00BD7E43"/>
    <w:rsid w:val="00BE36F6"/>
    <w:rsid w:val="00BE60B4"/>
    <w:rsid w:val="00BE68FA"/>
    <w:rsid w:val="00BE6C54"/>
    <w:rsid w:val="00BF04A7"/>
    <w:rsid w:val="00BF36BB"/>
    <w:rsid w:val="00BF4C8C"/>
    <w:rsid w:val="00BF6774"/>
    <w:rsid w:val="00BF74A1"/>
    <w:rsid w:val="00C0032B"/>
    <w:rsid w:val="00C0051A"/>
    <w:rsid w:val="00C00995"/>
    <w:rsid w:val="00C00E8A"/>
    <w:rsid w:val="00C0123C"/>
    <w:rsid w:val="00C01BA1"/>
    <w:rsid w:val="00C025F0"/>
    <w:rsid w:val="00C02D08"/>
    <w:rsid w:val="00C037EF"/>
    <w:rsid w:val="00C03ED5"/>
    <w:rsid w:val="00C05854"/>
    <w:rsid w:val="00C05ACE"/>
    <w:rsid w:val="00C0643A"/>
    <w:rsid w:val="00C07B1F"/>
    <w:rsid w:val="00C107D5"/>
    <w:rsid w:val="00C1084C"/>
    <w:rsid w:val="00C109BD"/>
    <w:rsid w:val="00C10B25"/>
    <w:rsid w:val="00C11AB2"/>
    <w:rsid w:val="00C11BD0"/>
    <w:rsid w:val="00C11CE4"/>
    <w:rsid w:val="00C12570"/>
    <w:rsid w:val="00C12958"/>
    <w:rsid w:val="00C12E51"/>
    <w:rsid w:val="00C1340E"/>
    <w:rsid w:val="00C13662"/>
    <w:rsid w:val="00C159FE"/>
    <w:rsid w:val="00C15B13"/>
    <w:rsid w:val="00C20BB9"/>
    <w:rsid w:val="00C212BE"/>
    <w:rsid w:val="00C21CEC"/>
    <w:rsid w:val="00C22CC9"/>
    <w:rsid w:val="00C23071"/>
    <w:rsid w:val="00C2311E"/>
    <w:rsid w:val="00C25F12"/>
    <w:rsid w:val="00C26252"/>
    <w:rsid w:val="00C265DE"/>
    <w:rsid w:val="00C26706"/>
    <w:rsid w:val="00C274BD"/>
    <w:rsid w:val="00C27E59"/>
    <w:rsid w:val="00C30122"/>
    <w:rsid w:val="00C308C1"/>
    <w:rsid w:val="00C31494"/>
    <w:rsid w:val="00C31707"/>
    <w:rsid w:val="00C31865"/>
    <w:rsid w:val="00C31DFB"/>
    <w:rsid w:val="00C32A52"/>
    <w:rsid w:val="00C33021"/>
    <w:rsid w:val="00C3368B"/>
    <w:rsid w:val="00C339A5"/>
    <w:rsid w:val="00C35098"/>
    <w:rsid w:val="00C4087F"/>
    <w:rsid w:val="00C40EA6"/>
    <w:rsid w:val="00C41CAA"/>
    <w:rsid w:val="00C4458D"/>
    <w:rsid w:val="00C45F16"/>
    <w:rsid w:val="00C46C24"/>
    <w:rsid w:val="00C5246A"/>
    <w:rsid w:val="00C532CD"/>
    <w:rsid w:val="00C53648"/>
    <w:rsid w:val="00C53955"/>
    <w:rsid w:val="00C53A5E"/>
    <w:rsid w:val="00C54680"/>
    <w:rsid w:val="00C55195"/>
    <w:rsid w:val="00C57B84"/>
    <w:rsid w:val="00C57CB7"/>
    <w:rsid w:val="00C57EB1"/>
    <w:rsid w:val="00C60384"/>
    <w:rsid w:val="00C60C5B"/>
    <w:rsid w:val="00C6157E"/>
    <w:rsid w:val="00C6180D"/>
    <w:rsid w:val="00C619BF"/>
    <w:rsid w:val="00C622BB"/>
    <w:rsid w:val="00C6374F"/>
    <w:rsid w:val="00C64B71"/>
    <w:rsid w:val="00C6625D"/>
    <w:rsid w:val="00C66A5C"/>
    <w:rsid w:val="00C67859"/>
    <w:rsid w:val="00C70AFC"/>
    <w:rsid w:val="00C71DC1"/>
    <w:rsid w:val="00C72486"/>
    <w:rsid w:val="00C72BFA"/>
    <w:rsid w:val="00C72F5C"/>
    <w:rsid w:val="00C73CB6"/>
    <w:rsid w:val="00C741E6"/>
    <w:rsid w:val="00C763AB"/>
    <w:rsid w:val="00C7774E"/>
    <w:rsid w:val="00C77A1E"/>
    <w:rsid w:val="00C77FD2"/>
    <w:rsid w:val="00C80C12"/>
    <w:rsid w:val="00C82169"/>
    <w:rsid w:val="00C8343C"/>
    <w:rsid w:val="00C84508"/>
    <w:rsid w:val="00C84929"/>
    <w:rsid w:val="00C857CB"/>
    <w:rsid w:val="00C86184"/>
    <w:rsid w:val="00C8740F"/>
    <w:rsid w:val="00C92281"/>
    <w:rsid w:val="00C927AC"/>
    <w:rsid w:val="00C92E1D"/>
    <w:rsid w:val="00C94B79"/>
    <w:rsid w:val="00C94DC7"/>
    <w:rsid w:val="00CA4E8F"/>
    <w:rsid w:val="00CA642D"/>
    <w:rsid w:val="00CA7DCF"/>
    <w:rsid w:val="00CB0ADB"/>
    <w:rsid w:val="00CB1681"/>
    <w:rsid w:val="00CB178F"/>
    <w:rsid w:val="00CB299D"/>
    <w:rsid w:val="00CB2F4E"/>
    <w:rsid w:val="00CB463A"/>
    <w:rsid w:val="00CB4CA3"/>
    <w:rsid w:val="00CB5875"/>
    <w:rsid w:val="00CC060D"/>
    <w:rsid w:val="00CC06BE"/>
    <w:rsid w:val="00CC1920"/>
    <w:rsid w:val="00CC4B95"/>
    <w:rsid w:val="00CC4C47"/>
    <w:rsid w:val="00CC63AB"/>
    <w:rsid w:val="00CD039A"/>
    <w:rsid w:val="00CD1003"/>
    <w:rsid w:val="00CD1D59"/>
    <w:rsid w:val="00CD24CD"/>
    <w:rsid w:val="00CD3297"/>
    <w:rsid w:val="00CD379A"/>
    <w:rsid w:val="00CD37CB"/>
    <w:rsid w:val="00CD389E"/>
    <w:rsid w:val="00CD3943"/>
    <w:rsid w:val="00CD58E2"/>
    <w:rsid w:val="00CD67E1"/>
    <w:rsid w:val="00CD6853"/>
    <w:rsid w:val="00CE0FD5"/>
    <w:rsid w:val="00CE1F66"/>
    <w:rsid w:val="00CE21C0"/>
    <w:rsid w:val="00CE28D6"/>
    <w:rsid w:val="00CE352D"/>
    <w:rsid w:val="00CE442E"/>
    <w:rsid w:val="00CE4927"/>
    <w:rsid w:val="00CE4BA5"/>
    <w:rsid w:val="00CF042A"/>
    <w:rsid w:val="00CF0630"/>
    <w:rsid w:val="00CF0B19"/>
    <w:rsid w:val="00CF1924"/>
    <w:rsid w:val="00CF3F01"/>
    <w:rsid w:val="00CF4AEB"/>
    <w:rsid w:val="00CF69B1"/>
    <w:rsid w:val="00CF6A83"/>
    <w:rsid w:val="00CF6AD9"/>
    <w:rsid w:val="00CF7A18"/>
    <w:rsid w:val="00D005F0"/>
    <w:rsid w:val="00D00A1B"/>
    <w:rsid w:val="00D00F4B"/>
    <w:rsid w:val="00D0121F"/>
    <w:rsid w:val="00D01784"/>
    <w:rsid w:val="00D01F71"/>
    <w:rsid w:val="00D02E66"/>
    <w:rsid w:val="00D03F65"/>
    <w:rsid w:val="00D04114"/>
    <w:rsid w:val="00D043C1"/>
    <w:rsid w:val="00D04A22"/>
    <w:rsid w:val="00D062B7"/>
    <w:rsid w:val="00D06B24"/>
    <w:rsid w:val="00D06D1E"/>
    <w:rsid w:val="00D071B3"/>
    <w:rsid w:val="00D072B2"/>
    <w:rsid w:val="00D1033F"/>
    <w:rsid w:val="00D10C08"/>
    <w:rsid w:val="00D10CF6"/>
    <w:rsid w:val="00D10F7D"/>
    <w:rsid w:val="00D11A30"/>
    <w:rsid w:val="00D11C8F"/>
    <w:rsid w:val="00D125BE"/>
    <w:rsid w:val="00D1473D"/>
    <w:rsid w:val="00D149ED"/>
    <w:rsid w:val="00D14CA0"/>
    <w:rsid w:val="00D15904"/>
    <w:rsid w:val="00D17FC2"/>
    <w:rsid w:val="00D20FFF"/>
    <w:rsid w:val="00D218E9"/>
    <w:rsid w:val="00D21F24"/>
    <w:rsid w:val="00D22486"/>
    <w:rsid w:val="00D22B3C"/>
    <w:rsid w:val="00D25062"/>
    <w:rsid w:val="00D25A6E"/>
    <w:rsid w:val="00D270AC"/>
    <w:rsid w:val="00D30BD7"/>
    <w:rsid w:val="00D3276E"/>
    <w:rsid w:val="00D335DB"/>
    <w:rsid w:val="00D34747"/>
    <w:rsid w:val="00D354A3"/>
    <w:rsid w:val="00D35B48"/>
    <w:rsid w:val="00D35F4C"/>
    <w:rsid w:val="00D36A99"/>
    <w:rsid w:val="00D41E4E"/>
    <w:rsid w:val="00D41F33"/>
    <w:rsid w:val="00D42CE1"/>
    <w:rsid w:val="00D43779"/>
    <w:rsid w:val="00D43BF5"/>
    <w:rsid w:val="00D44300"/>
    <w:rsid w:val="00D44C25"/>
    <w:rsid w:val="00D477FE"/>
    <w:rsid w:val="00D519C6"/>
    <w:rsid w:val="00D521D8"/>
    <w:rsid w:val="00D52FB8"/>
    <w:rsid w:val="00D53505"/>
    <w:rsid w:val="00D555DA"/>
    <w:rsid w:val="00D567C6"/>
    <w:rsid w:val="00D5728C"/>
    <w:rsid w:val="00D57342"/>
    <w:rsid w:val="00D608F4"/>
    <w:rsid w:val="00D609E1"/>
    <w:rsid w:val="00D66742"/>
    <w:rsid w:val="00D71615"/>
    <w:rsid w:val="00D71C80"/>
    <w:rsid w:val="00D7258B"/>
    <w:rsid w:val="00D72CF9"/>
    <w:rsid w:val="00D735DC"/>
    <w:rsid w:val="00D73BBC"/>
    <w:rsid w:val="00D74963"/>
    <w:rsid w:val="00D76468"/>
    <w:rsid w:val="00D769B0"/>
    <w:rsid w:val="00D77B2C"/>
    <w:rsid w:val="00D80577"/>
    <w:rsid w:val="00D81D59"/>
    <w:rsid w:val="00D8280F"/>
    <w:rsid w:val="00D83A1C"/>
    <w:rsid w:val="00D84F76"/>
    <w:rsid w:val="00D878BA"/>
    <w:rsid w:val="00D87E11"/>
    <w:rsid w:val="00D90567"/>
    <w:rsid w:val="00D9148D"/>
    <w:rsid w:val="00D916AA"/>
    <w:rsid w:val="00D91E8D"/>
    <w:rsid w:val="00D921D2"/>
    <w:rsid w:val="00D92545"/>
    <w:rsid w:val="00D93E3C"/>
    <w:rsid w:val="00D976DF"/>
    <w:rsid w:val="00DA2A36"/>
    <w:rsid w:val="00DA2D52"/>
    <w:rsid w:val="00DA506F"/>
    <w:rsid w:val="00DB0690"/>
    <w:rsid w:val="00DB1AB1"/>
    <w:rsid w:val="00DB3690"/>
    <w:rsid w:val="00DB4BA9"/>
    <w:rsid w:val="00DB62AA"/>
    <w:rsid w:val="00DB67D2"/>
    <w:rsid w:val="00DB7889"/>
    <w:rsid w:val="00DB7937"/>
    <w:rsid w:val="00DC0643"/>
    <w:rsid w:val="00DC075C"/>
    <w:rsid w:val="00DC10F9"/>
    <w:rsid w:val="00DC1C0F"/>
    <w:rsid w:val="00DC2F93"/>
    <w:rsid w:val="00DC345E"/>
    <w:rsid w:val="00DC4CD0"/>
    <w:rsid w:val="00DC5211"/>
    <w:rsid w:val="00DC58E9"/>
    <w:rsid w:val="00DC7447"/>
    <w:rsid w:val="00DD0578"/>
    <w:rsid w:val="00DD0F33"/>
    <w:rsid w:val="00DD0F6F"/>
    <w:rsid w:val="00DD1550"/>
    <w:rsid w:val="00DD38A8"/>
    <w:rsid w:val="00DD429B"/>
    <w:rsid w:val="00DD47D1"/>
    <w:rsid w:val="00DD4E59"/>
    <w:rsid w:val="00DD4E94"/>
    <w:rsid w:val="00DD5391"/>
    <w:rsid w:val="00DD5B0C"/>
    <w:rsid w:val="00DD7269"/>
    <w:rsid w:val="00DE113D"/>
    <w:rsid w:val="00DE15FE"/>
    <w:rsid w:val="00DE3B25"/>
    <w:rsid w:val="00DE4C18"/>
    <w:rsid w:val="00DE6168"/>
    <w:rsid w:val="00DF189A"/>
    <w:rsid w:val="00DF18AF"/>
    <w:rsid w:val="00DF1DDE"/>
    <w:rsid w:val="00DF264B"/>
    <w:rsid w:val="00DF2F7B"/>
    <w:rsid w:val="00DF33B1"/>
    <w:rsid w:val="00DF4055"/>
    <w:rsid w:val="00DF4DC1"/>
    <w:rsid w:val="00DF5A56"/>
    <w:rsid w:val="00DF7603"/>
    <w:rsid w:val="00E0048E"/>
    <w:rsid w:val="00E0097B"/>
    <w:rsid w:val="00E02741"/>
    <w:rsid w:val="00E027C6"/>
    <w:rsid w:val="00E0402B"/>
    <w:rsid w:val="00E06054"/>
    <w:rsid w:val="00E070CA"/>
    <w:rsid w:val="00E11244"/>
    <w:rsid w:val="00E11558"/>
    <w:rsid w:val="00E11FF5"/>
    <w:rsid w:val="00E1419F"/>
    <w:rsid w:val="00E14A71"/>
    <w:rsid w:val="00E1518E"/>
    <w:rsid w:val="00E16BB2"/>
    <w:rsid w:val="00E16CAE"/>
    <w:rsid w:val="00E1776F"/>
    <w:rsid w:val="00E17BE4"/>
    <w:rsid w:val="00E20BF1"/>
    <w:rsid w:val="00E21332"/>
    <w:rsid w:val="00E22B08"/>
    <w:rsid w:val="00E22DD7"/>
    <w:rsid w:val="00E23C35"/>
    <w:rsid w:val="00E24DF1"/>
    <w:rsid w:val="00E2638D"/>
    <w:rsid w:val="00E27376"/>
    <w:rsid w:val="00E308B1"/>
    <w:rsid w:val="00E32E07"/>
    <w:rsid w:val="00E32FCE"/>
    <w:rsid w:val="00E339B9"/>
    <w:rsid w:val="00E35E74"/>
    <w:rsid w:val="00E4037D"/>
    <w:rsid w:val="00E405CE"/>
    <w:rsid w:val="00E413AB"/>
    <w:rsid w:val="00E4183A"/>
    <w:rsid w:val="00E43B9E"/>
    <w:rsid w:val="00E45203"/>
    <w:rsid w:val="00E45C22"/>
    <w:rsid w:val="00E469B6"/>
    <w:rsid w:val="00E46E86"/>
    <w:rsid w:val="00E474B1"/>
    <w:rsid w:val="00E502AF"/>
    <w:rsid w:val="00E50379"/>
    <w:rsid w:val="00E5109C"/>
    <w:rsid w:val="00E515DB"/>
    <w:rsid w:val="00E52A95"/>
    <w:rsid w:val="00E54F7C"/>
    <w:rsid w:val="00E55696"/>
    <w:rsid w:val="00E57139"/>
    <w:rsid w:val="00E575E8"/>
    <w:rsid w:val="00E577BD"/>
    <w:rsid w:val="00E57B77"/>
    <w:rsid w:val="00E57EB9"/>
    <w:rsid w:val="00E64A53"/>
    <w:rsid w:val="00E651AF"/>
    <w:rsid w:val="00E66E73"/>
    <w:rsid w:val="00E66F41"/>
    <w:rsid w:val="00E67965"/>
    <w:rsid w:val="00E70222"/>
    <w:rsid w:val="00E73B5E"/>
    <w:rsid w:val="00E73CE9"/>
    <w:rsid w:val="00E74189"/>
    <w:rsid w:val="00E75808"/>
    <w:rsid w:val="00E765E1"/>
    <w:rsid w:val="00E772BC"/>
    <w:rsid w:val="00E77BEF"/>
    <w:rsid w:val="00E77E5E"/>
    <w:rsid w:val="00E77F07"/>
    <w:rsid w:val="00E804C6"/>
    <w:rsid w:val="00E8137C"/>
    <w:rsid w:val="00E82721"/>
    <w:rsid w:val="00E843BB"/>
    <w:rsid w:val="00E843C7"/>
    <w:rsid w:val="00E85EE0"/>
    <w:rsid w:val="00E86E53"/>
    <w:rsid w:val="00E87468"/>
    <w:rsid w:val="00E878E5"/>
    <w:rsid w:val="00E9019A"/>
    <w:rsid w:val="00E903EC"/>
    <w:rsid w:val="00E904A4"/>
    <w:rsid w:val="00E91036"/>
    <w:rsid w:val="00E916BB"/>
    <w:rsid w:val="00E9237B"/>
    <w:rsid w:val="00E9254F"/>
    <w:rsid w:val="00E93DB7"/>
    <w:rsid w:val="00E94D6B"/>
    <w:rsid w:val="00E958A7"/>
    <w:rsid w:val="00E97C55"/>
    <w:rsid w:val="00EA022A"/>
    <w:rsid w:val="00EA1680"/>
    <w:rsid w:val="00EA1700"/>
    <w:rsid w:val="00EA27DC"/>
    <w:rsid w:val="00EA2AF4"/>
    <w:rsid w:val="00EA340C"/>
    <w:rsid w:val="00EA406E"/>
    <w:rsid w:val="00EA4B49"/>
    <w:rsid w:val="00EA4C21"/>
    <w:rsid w:val="00EA52D3"/>
    <w:rsid w:val="00EA590C"/>
    <w:rsid w:val="00EA7E9F"/>
    <w:rsid w:val="00EB0C8E"/>
    <w:rsid w:val="00EB0CE1"/>
    <w:rsid w:val="00EB13D8"/>
    <w:rsid w:val="00EB187D"/>
    <w:rsid w:val="00EB2329"/>
    <w:rsid w:val="00EB3783"/>
    <w:rsid w:val="00EB3D31"/>
    <w:rsid w:val="00EB3FDD"/>
    <w:rsid w:val="00EB464E"/>
    <w:rsid w:val="00EB4A61"/>
    <w:rsid w:val="00EB578E"/>
    <w:rsid w:val="00EB7961"/>
    <w:rsid w:val="00EC08E4"/>
    <w:rsid w:val="00EC1A4E"/>
    <w:rsid w:val="00EC26BF"/>
    <w:rsid w:val="00EC3F1C"/>
    <w:rsid w:val="00EC4689"/>
    <w:rsid w:val="00EC4C52"/>
    <w:rsid w:val="00EC5C5C"/>
    <w:rsid w:val="00EC6F72"/>
    <w:rsid w:val="00EC77AE"/>
    <w:rsid w:val="00ED0074"/>
    <w:rsid w:val="00ED3472"/>
    <w:rsid w:val="00ED3727"/>
    <w:rsid w:val="00ED3FF4"/>
    <w:rsid w:val="00ED57CC"/>
    <w:rsid w:val="00ED5ED0"/>
    <w:rsid w:val="00ED6443"/>
    <w:rsid w:val="00ED68E2"/>
    <w:rsid w:val="00ED7475"/>
    <w:rsid w:val="00EE09D2"/>
    <w:rsid w:val="00EE0FAB"/>
    <w:rsid w:val="00EE4338"/>
    <w:rsid w:val="00EE43AA"/>
    <w:rsid w:val="00EE4DEB"/>
    <w:rsid w:val="00EE550A"/>
    <w:rsid w:val="00EE55E9"/>
    <w:rsid w:val="00EE5CE5"/>
    <w:rsid w:val="00EE6283"/>
    <w:rsid w:val="00EF0ED5"/>
    <w:rsid w:val="00EF177D"/>
    <w:rsid w:val="00EF2342"/>
    <w:rsid w:val="00EF56C7"/>
    <w:rsid w:val="00EF5820"/>
    <w:rsid w:val="00EF697B"/>
    <w:rsid w:val="00EF6D13"/>
    <w:rsid w:val="00EF726B"/>
    <w:rsid w:val="00F01520"/>
    <w:rsid w:val="00F01EFA"/>
    <w:rsid w:val="00F02DA8"/>
    <w:rsid w:val="00F063D2"/>
    <w:rsid w:val="00F06D08"/>
    <w:rsid w:val="00F06FF3"/>
    <w:rsid w:val="00F07BA1"/>
    <w:rsid w:val="00F10C3B"/>
    <w:rsid w:val="00F1213C"/>
    <w:rsid w:val="00F12402"/>
    <w:rsid w:val="00F12C51"/>
    <w:rsid w:val="00F147AB"/>
    <w:rsid w:val="00F15024"/>
    <w:rsid w:val="00F17797"/>
    <w:rsid w:val="00F17B52"/>
    <w:rsid w:val="00F20B46"/>
    <w:rsid w:val="00F2403C"/>
    <w:rsid w:val="00F24CE2"/>
    <w:rsid w:val="00F250A9"/>
    <w:rsid w:val="00F255C1"/>
    <w:rsid w:val="00F2593C"/>
    <w:rsid w:val="00F2593F"/>
    <w:rsid w:val="00F25D82"/>
    <w:rsid w:val="00F2662B"/>
    <w:rsid w:val="00F268AB"/>
    <w:rsid w:val="00F26A47"/>
    <w:rsid w:val="00F27D29"/>
    <w:rsid w:val="00F30C7B"/>
    <w:rsid w:val="00F32AA0"/>
    <w:rsid w:val="00F35DA5"/>
    <w:rsid w:val="00F36E84"/>
    <w:rsid w:val="00F4109A"/>
    <w:rsid w:val="00F4201E"/>
    <w:rsid w:val="00F42D27"/>
    <w:rsid w:val="00F436DD"/>
    <w:rsid w:val="00F445BD"/>
    <w:rsid w:val="00F44797"/>
    <w:rsid w:val="00F44C16"/>
    <w:rsid w:val="00F50ADD"/>
    <w:rsid w:val="00F51DFF"/>
    <w:rsid w:val="00F54BE8"/>
    <w:rsid w:val="00F55423"/>
    <w:rsid w:val="00F5588C"/>
    <w:rsid w:val="00F60AC6"/>
    <w:rsid w:val="00F62173"/>
    <w:rsid w:val="00F6270F"/>
    <w:rsid w:val="00F62714"/>
    <w:rsid w:val="00F62916"/>
    <w:rsid w:val="00F62FBD"/>
    <w:rsid w:val="00F63D9A"/>
    <w:rsid w:val="00F6451F"/>
    <w:rsid w:val="00F677C7"/>
    <w:rsid w:val="00F708AF"/>
    <w:rsid w:val="00F70969"/>
    <w:rsid w:val="00F7137F"/>
    <w:rsid w:val="00F71DF1"/>
    <w:rsid w:val="00F7299A"/>
    <w:rsid w:val="00F738EC"/>
    <w:rsid w:val="00F73AF4"/>
    <w:rsid w:val="00F73D1E"/>
    <w:rsid w:val="00F80146"/>
    <w:rsid w:val="00F80481"/>
    <w:rsid w:val="00F8101F"/>
    <w:rsid w:val="00F82527"/>
    <w:rsid w:val="00F83204"/>
    <w:rsid w:val="00F84A5E"/>
    <w:rsid w:val="00F86DA6"/>
    <w:rsid w:val="00F90424"/>
    <w:rsid w:val="00F908D3"/>
    <w:rsid w:val="00F9185A"/>
    <w:rsid w:val="00F94994"/>
    <w:rsid w:val="00F959D4"/>
    <w:rsid w:val="00F95C9B"/>
    <w:rsid w:val="00F965D4"/>
    <w:rsid w:val="00F967B7"/>
    <w:rsid w:val="00F96FE1"/>
    <w:rsid w:val="00F977FF"/>
    <w:rsid w:val="00F97CB7"/>
    <w:rsid w:val="00F97FBD"/>
    <w:rsid w:val="00FA02D2"/>
    <w:rsid w:val="00FA1447"/>
    <w:rsid w:val="00FA233A"/>
    <w:rsid w:val="00FA2477"/>
    <w:rsid w:val="00FA383C"/>
    <w:rsid w:val="00FA6D85"/>
    <w:rsid w:val="00FB1030"/>
    <w:rsid w:val="00FB37A5"/>
    <w:rsid w:val="00FB3A75"/>
    <w:rsid w:val="00FB4C71"/>
    <w:rsid w:val="00FB58C7"/>
    <w:rsid w:val="00FB743C"/>
    <w:rsid w:val="00FB7D22"/>
    <w:rsid w:val="00FC1616"/>
    <w:rsid w:val="00FC37C9"/>
    <w:rsid w:val="00FC4829"/>
    <w:rsid w:val="00FC59FE"/>
    <w:rsid w:val="00FC5B4E"/>
    <w:rsid w:val="00FD1595"/>
    <w:rsid w:val="00FD26B0"/>
    <w:rsid w:val="00FD2FF5"/>
    <w:rsid w:val="00FD307B"/>
    <w:rsid w:val="00FD4682"/>
    <w:rsid w:val="00FD5A16"/>
    <w:rsid w:val="00FD6BC9"/>
    <w:rsid w:val="00FD78CE"/>
    <w:rsid w:val="00FE0BD0"/>
    <w:rsid w:val="00FE0EBD"/>
    <w:rsid w:val="00FE19E2"/>
    <w:rsid w:val="00FE2EE2"/>
    <w:rsid w:val="00FE3C10"/>
    <w:rsid w:val="00FE478A"/>
    <w:rsid w:val="00FE4CE8"/>
    <w:rsid w:val="00FE5000"/>
    <w:rsid w:val="00FE5015"/>
    <w:rsid w:val="00FE68E4"/>
    <w:rsid w:val="00FE7A33"/>
    <w:rsid w:val="00FE7F9F"/>
    <w:rsid w:val="00FF0794"/>
    <w:rsid w:val="00FF0EA1"/>
    <w:rsid w:val="00FF34A3"/>
    <w:rsid w:val="00FF4264"/>
    <w:rsid w:val="00FF4737"/>
    <w:rsid w:val="00FF4D66"/>
    <w:rsid w:val="00FF4D95"/>
    <w:rsid w:val="00FF6835"/>
    <w:rsid w:val="00FF707D"/>
    <w:rsid w:val="00FF7095"/>
    <w:rsid w:val="00FF75C4"/>
    <w:rsid w:val="00FF7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D59998"/>
  <w15:docId w15:val="{42F72D82-64C9-43C3-8535-FB038E628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B65"/>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link w:val="Heading6Char"/>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basedOn w:val="DefaultParagraphFont"/>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rsid w:val="00C8740F"/>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basedOn w:val="DefaultParagraphFont"/>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link w:val="FootnoteTextChar"/>
    <w:rsid w:val="006F6496"/>
    <w:rPr>
      <w:sz w:val="16"/>
    </w:rPr>
  </w:style>
  <w:style w:type="character" w:styleId="Hyperlink">
    <w:name w:val="Hyperlink"/>
    <w:basedOn w:val="DefaultParagraphFont"/>
    <w:uiPriority w:val="99"/>
    <w:rsid w:val="008A03E3"/>
    <w:rPr>
      <w:color w:val="0000FF"/>
      <w:u w:val="single"/>
    </w:rPr>
  </w:style>
  <w:style w:type="character" w:styleId="FootnoteReference">
    <w:name w:val="footnote reference"/>
    <w:basedOn w:val="DefaultParagraphFont"/>
    <w:rsid w:val="00B4050B"/>
    <w:rPr>
      <w:vertAlign w:val="superscript"/>
    </w:rPr>
  </w:style>
  <w:style w:type="paragraph" w:styleId="BalloonText">
    <w:name w:val="Balloon Text"/>
    <w:basedOn w:val="Normal"/>
    <w:semiHidden/>
    <w:rsid w:val="003572FD"/>
    <w:rPr>
      <w:rFonts w:ascii="Tahoma" w:hAnsi="Tahoma" w:cs="Tahoma"/>
      <w:sz w:val="16"/>
      <w:szCs w:val="16"/>
    </w:rPr>
  </w:style>
  <w:style w:type="character" w:customStyle="1" w:styleId="FootnoteTextChar">
    <w:name w:val="Footnote Text Char"/>
    <w:basedOn w:val="DefaultParagraphFont"/>
    <w:link w:val="FootnoteText"/>
    <w:rsid w:val="002412A9"/>
    <w:rPr>
      <w:rFonts w:ascii="Verdana" w:hAnsi="Verdana"/>
      <w:sz w:val="16"/>
    </w:rPr>
  </w:style>
  <w:style w:type="paragraph" w:styleId="ListParagraph">
    <w:name w:val="List Paragraph"/>
    <w:basedOn w:val="Normal"/>
    <w:uiPriority w:val="34"/>
    <w:qFormat/>
    <w:rsid w:val="00813A80"/>
    <w:pPr>
      <w:ind w:left="720"/>
      <w:contextualSpacing/>
    </w:pPr>
  </w:style>
  <w:style w:type="character" w:customStyle="1" w:styleId="Heading6Char">
    <w:name w:val="Heading 6 Char"/>
    <w:basedOn w:val="DefaultParagraphFont"/>
    <w:link w:val="Heading6"/>
    <w:rsid w:val="002E1782"/>
    <w:rPr>
      <w:rFonts w:ascii="Verdana" w:hAnsi="Verdana"/>
      <w:b/>
      <w:color w:val="000000"/>
      <w:sz w:val="22"/>
      <w:szCs w:val="22"/>
    </w:rPr>
  </w:style>
  <w:style w:type="character" w:styleId="CommentReference">
    <w:name w:val="annotation reference"/>
    <w:rsid w:val="003B4940"/>
    <w:rPr>
      <w:sz w:val="16"/>
      <w:szCs w:val="16"/>
    </w:rPr>
  </w:style>
  <w:style w:type="paragraph" w:styleId="CommentText">
    <w:name w:val="annotation text"/>
    <w:basedOn w:val="Normal"/>
    <w:link w:val="CommentTextChar"/>
    <w:rsid w:val="003B4940"/>
    <w:rPr>
      <w:sz w:val="20"/>
    </w:rPr>
  </w:style>
  <w:style w:type="character" w:customStyle="1" w:styleId="CommentTextChar">
    <w:name w:val="Comment Text Char"/>
    <w:basedOn w:val="DefaultParagraphFont"/>
    <w:link w:val="CommentText"/>
    <w:rsid w:val="003B4940"/>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114419">
      <w:bodyDiv w:val="1"/>
      <w:marLeft w:val="0"/>
      <w:marRight w:val="0"/>
      <w:marTop w:val="0"/>
      <w:marBottom w:val="0"/>
      <w:divBdr>
        <w:top w:val="none" w:sz="0" w:space="0" w:color="auto"/>
        <w:left w:val="none" w:sz="0" w:space="0" w:color="auto"/>
        <w:bottom w:val="none" w:sz="0" w:space="0" w:color="auto"/>
        <w:right w:val="none" w:sz="0" w:space="0" w:color="auto"/>
      </w:divBdr>
      <w:divsChild>
        <w:div w:id="2049061499">
          <w:marLeft w:val="0"/>
          <w:marRight w:val="0"/>
          <w:marTop w:val="0"/>
          <w:marBottom w:val="0"/>
          <w:divBdr>
            <w:top w:val="none" w:sz="0" w:space="0" w:color="auto"/>
            <w:left w:val="none" w:sz="0" w:space="0" w:color="auto"/>
            <w:bottom w:val="none" w:sz="0" w:space="0" w:color="auto"/>
            <w:right w:val="none" w:sz="0" w:space="0" w:color="auto"/>
          </w:divBdr>
        </w:div>
      </w:divsChild>
    </w:div>
    <w:div w:id="885676233">
      <w:bodyDiv w:val="1"/>
      <w:marLeft w:val="0"/>
      <w:marRight w:val="0"/>
      <w:marTop w:val="0"/>
      <w:marBottom w:val="0"/>
      <w:divBdr>
        <w:top w:val="none" w:sz="0" w:space="0" w:color="auto"/>
        <w:left w:val="none" w:sz="0" w:space="0" w:color="auto"/>
        <w:bottom w:val="none" w:sz="0" w:space="0" w:color="auto"/>
        <w:right w:val="none" w:sz="0" w:space="0" w:color="auto"/>
      </w:divBdr>
    </w:div>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isl xmlns:xsi="http://www.w3.org/2001/XMLSchema-instance" xmlns:xsd="http://www.w3.org/2001/XMLSchema" xmlns="http://www.boldonjames.com/2008/01/sie/internal/label" sislVersion="0" policy="8270c081-d9f3-48ae-83c7-c2320a8ca25c"/>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6325F0-FC55-46D2-B3DF-BEBBA4605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01D48B-06BC-4C2E-A495-ECD1B066ACB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DC8AB06-2F99-4BD6-AABC-9D3DDE1C70E7}">
  <ds:schemaRefs>
    <ds:schemaRef ds:uri="http://schemas.openxmlformats.org/officeDocument/2006/bibliography"/>
  </ds:schemaRefs>
</ds:datastoreItem>
</file>

<file path=customXml/itemProps4.xml><?xml version="1.0" encoding="utf-8"?>
<ds:datastoreItem xmlns:ds="http://schemas.openxmlformats.org/officeDocument/2006/customXml" ds:itemID="{04BDFEDC-E358-477B-8B03-45AA2D2863E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DD7EB1F-F859-4AAB-AB66-4CE06A11E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4</TotalTime>
  <Pages>8</Pages>
  <Words>3256</Words>
  <Characters>18564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21777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Arnott</dc:creator>
  <cp:lastModifiedBy>Baylis, Caroline</cp:lastModifiedBy>
  <cp:revision>2</cp:revision>
  <cp:lastPrinted>2021-09-21T11:41:00Z</cp:lastPrinted>
  <dcterms:created xsi:type="dcterms:W3CDTF">2021-09-21T11:43:00Z</dcterms:created>
  <dcterms:modified xsi:type="dcterms:W3CDTF">2021-09-21T11:43:00Z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b76f92fb-8092-4a8d-93e2-4348b8f7d631</vt:lpwstr>
  </property>
  <property fmtid="{D5CDD505-2E9C-101B-9397-08002B2CF9AE}" pid="6" name="bjSaver">
    <vt:lpwstr>0/D4LLz8KFefsUvlL+kY9eX383ag8/Wh</vt:lpwstr>
  </property>
  <property fmtid="{D5CDD505-2E9C-101B-9397-08002B2CF9AE}" pid="7" name="bjDocumentSecurityLabel">
    <vt:lpwstr>No Marking</vt:lpwstr>
  </property>
  <property fmtid="{D5CDD505-2E9C-101B-9397-08002B2CF9AE}" pid="8" name="ContentTypeId">
    <vt:lpwstr>0x0101002AA54CDEF871A647AC44520C841F1B03</vt:lpwstr>
  </property>
</Properties>
</file>