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58BC" w14:textId="77777777" w:rsidR="000B0589" w:rsidRDefault="000B0589" w:rsidP="00BC2702">
      <w:pPr>
        <w:pStyle w:val="Conditions1"/>
        <w:numPr>
          <w:ilvl w:val="0"/>
          <w:numId w:val="0"/>
        </w:numPr>
      </w:pPr>
      <w:r>
        <w:rPr>
          <w:noProof/>
        </w:rPr>
        <w:drawing>
          <wp:inline distT="0" distB="0" distL="0" distR="0" wp14:anchorId="7D0421EF" wp14:editId="72E7914E">
            <wp:extent cx="3419475" cy="359623"/>
            <wp:effectExtent l="0" t="0" r="0" b="254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24A213A4" w14:textId="77777777" w:rsidR="000B0589" w:rsidRDefault="000B0589" w:rsidP="00A5760C"/>
    <w:p w14:paraId="78D8516B"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45D64869" w14:textId="77777777" w:rsidTr="00FD0CF3">
        <w:trPr>
          <w:cantSplit/>
          <w:trHeight w:val="23"/>
        </w:trPr>
        <w:tc>
          <w:tcPr>
            <w:tcW w:w="9356" w:type="dxa"/>
            <w:shd w:val="clear" w:color="auto" w:fill="auto"/>
          </w:tcPr>
          <w:p w14:paraId="1DB863B8" w14:textId="4EC9F31C" w:rsidR="000B0589" w:rsidRPr="00FD0CF3" w:rsidRDefault="00FD0CF3"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71337412" w14:textId="77777777" w:rsidTr="00FD0CF3">
        <w:trPr>
          <w:cantSplit/>
          <w:trHeight w:val="23"/>
        </w:trPr>
        <w:tc>
          <w:tcPr>
            <w:tcW w:w="9356" w:type="dxa"/>
            <w:shd w:val="clear" w:color="auto" w:fill="auto"/>
            <w:vAlign w:val="center"/>
          </w:tcPr>
          <w:p w14:paraId="48A4B152" w14:textId="2A86C5C0" w:rsidR="000B0589" w:rsidRPr="00FD0CF3" w:rsidRDefault="00FD0CF3" w:rsidP="00FD0CF3">
            <w:pPr>
              <w:spacing w:before="60"/>
              <w:ind w:left="-108" w:right="34"/>
              <w:rPr>
                <w:color w:val="000000"/>
                <w:szCs w:val="22"/>
              </w:rPr>
            </w:pPr>
            <w:r>
              <w:rPr>
                <w:color w:val="000000"/>
                <w:szCs w:val="22"/>
              </w:rPr>
              <w:t>Site visit made on 25 May 2021</w:t>
            </w:r>
          </w:p>
        </w:tc>
      </w:tr>
      <w:tr w:rsidR="000B0589" w:rsidRPr="00361890" w14:paraId="2F24DF41" w14:textId="77777777" w:rsidTr="00FD0CF3">
        <w:trPr>
          <w:cantSplit/>
          <w:trHeight w:val="23"/>
        </w:trPr>
        <w:tc>
          <w:tcPr>
            <w:tcW w:w="9356" w:type="dxa"/>
            <w:shd w:val="clear" w:color="auto" w:fill="auto"/>
          </w:tcPr>
          <w:p w14:paraId="5DF8DC36" w14:textId="1E68B7F9" w:rsidR="000B0589" w:rsidRPr="00FD0CF3" w:rsidRDefault="00FD0CF3" w:rsidP="00FD0CF3">
            <w:pPr>
              <w:spacing w:before="180"/>
              <w:ind w:left="-108" w:right="34"/>
              <w:rPr>
                <w:b/>
                <w:color w:val="000000"/>
                <w:sz w:val="16"/>
                <w:szCs w:val="22"/>
              </w:rPr>
            </w:pPr>
            <w:r>
              <w:rPr>
                <w:b/>
                <w:color w:val="000000"/>
                <w:szCs w:val="22"/>
              </w:rPr>
              <w:t>by C Beeby BA (Hons) MIPROW</w:t>
            </w:r>
          </w:p>
        </w:tc>
      </w:tr>
      <w:tr w:rsidR="000B0589" w:rsidRPr="00361890" w14:paraId="6B2ABC1C" w14:textId="77777777" w:rsidTr="00FD0CF3">
        <w:trPr>
          <w:cantSplit/>
          <w:trHeight w:val="23"/>
        </w:trPr>
        <w:tc>
          <w:tcPr>
            <w:tcW w:w="9356" w:type="dxa"/>
            <w:shd w:val="clear" w:color="auto" w:fill="auto"/>
          </w:tcPr>
          <w:p w14:paraId="3495A013" w14:textId="559B0604" w:rsidR="000B0589" w:rsidRPr="00FD0CF3" w:rsidRDefault="00FD0CF3" w:rsidP="002E2646">
            <w:pPr>
              <w:spacing w:before="120"/>
              <w:ind w:left="-108" w:right="34"/>
              <w:rPr>
                <w:b/>
                <w:color w:val="000000"/>
                <w:sz w:val="16"/>
                <w:szCs w:val="16"/>
              </w:rPr>
            </w:pPr>
            <w:r>
              <w:rPr>
                <w:b/>
                <w:color w:val="000000"/>
                <w:sz w:val="16"/>
                <w:szCs w:val="16"/>
              </w:rPr>
              <w:t xml:space="preserve">an Inspector appointed by the Secretary of State </w:t>
            </w:r>
            <w:r w:rsidR="00714B11">
              <w:rPr>
                <w:b/>
                <w:color w:val="000000"/>
                <w:sz w:val="16"/>
                <w:szCs w:val="16"/>
              </w:rPr>
              <w:t>for Environment, Food and Rural Affairs</w:t>
            </w:r>
          </w:p>
        </w:tc>
      </w:tr>
      <w:tr w:rsidR="000B0589" w:rsidRPr="00A101CD" w14:paraId="72BB5F12" w14:textId="77777777" w:rsidTr="00FD0CF3">
        <w:trPr>
          <w:cantSplit/>
          <w:trHeight w:val="23"/>
        </w:trPr>
        <w:tc>
          <w:tcPr>
            <w:tcW w:w="9356" w:type="dxa"/>
            <w:shd w:val="clear" w:color="auto" w:fill="auto"/>
          </w:tcPr>
          <w:p w14:paraId="617F7BC0" w14:textId="193AB450"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AA7CFC">
              <w:rPr>
                <w:b/>
                <w:color w:val="000000"/>
                <w:sz w:val="16"/>
                <w:szCs w:val="16"/>
              </w:rPr>
              <w:t xml:space="preserve">  8 October 2021</w:t>
            </w:r>
          </w:p>
        </w:tc>
      </w:tr>
    </w:tbl>
    <w:p w14:paraId="0255029B" w14:textId="77777777" w:rsidR="00FD0CF3" w:rsidRDefault="00FD0CF3" w:rsidP="000B0589"/>
    <w:tbl>
      <w:tblPr>
        <w:tblW w:w="0" w:type="auto"/>
        <w:tblLayout w:type="fixed"/>
        <w:tblLook w:val="0000" w:firstRow="0" w:lastRow="0" w:firstColumn="0" w:lastColumn="0" w:noHBand="0" w:noVBand="0"/>
      </w:tblPr>
      <w:tblGrid>
        <w:gridCol w:w="9520"/>
      </w:tblGrid>
      <w:tr w:rsidR="00FD0CF3" w14:paraId="44852E78" w14:textId="77777777" w:rsidTr="00FD0CF3">
        <w:tc>
          <w:tcPr>
            <w:tcW w:w="9520" w:type="dxa"/>
            <w:shd w:val="clear" w:color="auto" w:fill="auto"/>
          </w:tcPr>
          <w:p w14:paraId="5F7C7444" w14:textId="38BEF67A" w:rsidR="00FD0CF3" w:rsidRPr="00FD0CF3" w:rsidRDefault="00FD0CF3" w:rsidP="00FD0CF3">
            <w:pPr>
              <w:spacing w:after="60"/>
              <w:rPr>
                <w:b/>
                <w:color w:val="000000"/>
              </w:rPr>
            </w:pPr>
            <w:r>
              <w:rPr>
                <w:b/>
                <w:color w:val="000000"/>
              </w:rPr>
              <w:t>Order Ref: ROW/3224099</w:t>
            </w:r>
          </w:p>
        </w:tc>
      </w:tr>
      <w:tr w:rsidR="00FD0CF3" w14:paraId="3F0863E2" w14:textId="77777777" w:rsidTr="00FD0CF3">
        <w:tc>
          <w:tcPr>
            <w:tcW w:w="9520" w:type="dxa"/>
            <w:shd w:val="clear" w:color="auto" w:fill="auto"/>
          </w:tcPr>
          <w:p w14:paraId="16686C1D" w14:textId="25D87D48" w:rsidR="00FD0CF3" w:rsidRDefault="00FD0CF3" w:rsidP="00FD0CF3">
            <w:pPr>
              <w:pStyle w:val="TBullet"/>
            </w:pPr>
            <w:r>
              <w:t>This Order is made under Section 53 (2) (b) of the Wildlife and Countryside Act 1981 (the 1981 Act) and is known as the Somerset County Council (No.2) Modification Order, 2016.</w:t>
            </w:r>
          </w:p>
        </w:tc>
      </w:tr>
      <w:tr w:rsidR="00FD0CF3" w14:paraId="56A9436A" w14:textId="77777777" w:rsidTr="00FD0CF3">
        <w:tc>
          <w:tcPr>
            <w:tcW w:w="9520" w:type="dxa"/>
            <w:shd w:val="clear" w:color="auto" w:fill="auto"/>
          </w:tcPr>
          <w:p w14:paraId="52F68716" w14:textId="642BF5CA" w:rsidR="00FD0CF3" w:rsidRPr="00BD2900" w:rsidRDefault="00FD0CF3" w:rsidP="00FD0CF3">
            <w:pPr>
              <w:pStyle w:val="TBullet"/>
              <w:rPr>
                <w:color w:val="auto"/>
              </w:rPr>
            </w:pPr>
            <w:r w:rsidRPr="00BD2900">
              <w:rPr>
                <w:color w:val="auto"/>
              </w:rPr>
              <w:t xml:space="preserve">The Order is dated 15 July 2016 and proposes to modify the Definitive Map and Statement for the area by </w:t>
            </w:r>
            <w:r w:rsidR="009C7BC1" w:rsidRPr="00BD2900">
              <w:rPr>
                <w:color w:val="auto"/>
              </w:rPr>
              <w:t xml:space="preserve">recording public footpaths </w:t>
            </w:r>
            <w:r w:rsidR="00494CA0" w:rsidRPr="00BD2900">
              <w:rPr>
                <w:color w:val="auto"/>
              </w:rPr>
              <w:t xml:space="preserve">CH 33/34, CH </w:t>
            </w:r>
            <w:proofErr w:type="gramStart"/>
            <w:r w:rsidR="00494CA0" w:rsidRPr="00BD2900">
              <w:rPr>
                <w:color w:val="auto"/>
              </w:rPr>
              <w:t>33/35</w:t>
            </w:r>
            <w:proofErr w:type="gramEnd"/>
            <w:r w:rsidR="00494CA0" w:rsidRPr="00BD2900">
              <w:rPr>
                <w:color w:val="auto"/>
              </w:rPr>
              <w:t xml:space="preserve"> and CH 33/36 </w:t>
            </w:r>
            <w:r w:rsidR="00B54088" w:rsidRPr="00BD2900">
              <w:rPr>
                <w:color w:val="auto"/>
              </w:rPr>
              <w:t xml:space="preserve">along Butts Quarry Lane and </w:t>
            </w:r>
            <w:r w:rsidR="00BD2900" w:rsidRPr="00BD2900">
              <w:rPr>
                <w:color w:val="auto"/>
              </w:rPr>
              <w:t xml:space="preserve">Higher </w:t>
            </w:r>
            <w:proofErr w:type="spellStart"/>
            <w:r w:rsidR="00BD2900" w:rsidRPr="00BD2900">
              <w:rPr>
                <w:color w:val="auto"/>
              </w:rPr>
              <w:t>Easthams</w:t>
            </w:r>
            <w:proofErr w:type="spellEnd"/>
            <w:r w:rsidR="00BD2900" w:rsidRPr="00BD2900">
              <w:rPr>
                <w:color w:val="auto"/>
              </w:rPr>
              <w:t xml:space="preserve"> Lane </w:t>
            </w:r>
            <w:r w:rsidR="00494CA0" w:rsidRPr="00BD2900">
              <w:rPr>
                <w:color w:val="auto"/>
              </w:rPr>
              <w:t>as restricted byways</w:t>
            </w:r>
            <w:r w:rsidR="00BD2900">
              <w:rPr>
                <w:color w:val="auto"/>
              </w:rPr>
              <w:t>,</w:t>
            </w:r>
            <w:r w:rsidRPr="00BD2900">
              <w:rPr>
                <w:color w:val="auto"/>
              </w:rPr>
              <w:t xml:space="preserve"> as shown in the Order plan and described in the Order Schedule.</w:t>
            </w:r>
          </w:p>
        </w:tc>
      </w:tr>
      <w:tr w:rsidR="00FD0CF3" w14:paraId="5C0B831A" w14:textId="77777777" w:rsidTr="00FD0CF3">
        <w:tc>
          <w:tcPr>
            <w:tcW w:w="9520" w:type="dxa"/>
            <w:shd w:val="clear" w:color="auto" w:fill="auto"/>
          </w:tcPr>
          <w:p w14:paraId="231E4A0C" w14:textId="3B28562B" w:rsidR="00FD0CF3" w:rsidRDefault="00FD0CF3" w:rsidP="00FD0CF3">
            <w:pPr>
              <w:pStyle w:val="TBullet"/>
            </w:pPr>
            <w:r>
              <w:t>There were</w:t>
            </w:r>
            <w:r w:rsidR="00764452">
              <w:t xml:space="preserve"> three</w:t>
            </w:r>
            <w:r>
              <w:t xml:space="preserve"> objections</w:t>
            </w:r>
            <w:r w:rsidR="00764452">
              <w:t xml:space="preserve"> and one representation</w:t>
            </w:r>
            <w:r>
              <w:t xml:space="preserve"> outstanding when </w:t>
            </w:r>
            <w:r w:rsidR="008251FA">
              <w:t>the Council</w:t>
            </w:r>
            <w:r>
              <w:t xml:space="preserve"> submitted the Order to the Secretary of State for Environment, Food and Rural Affairs for confirmation.</w:t>
            </w:r>
          </w:p>
        </w:tc>
      </w:tr>
      <w:tr w:rsidR="00FD0CF3" w14:paraId="0EB1D03F" w14:textId="77777777" w:rsidTr="00FD0CF3">
        <w:tc>
          <w:tcPr>
            <w:tcW w:w="9520" w:type="dxa"/>
            <w:shd w:val="clear" w:color="auto" w:fill="auto"/>
          </w:tcPr>
          <w:p w14:paraId="6A926ECE" w14:textId="1E00738C" w:rsidR="00FD0CF3" w:rsidRPr="00FD0CF3" w:rsidRDefault="00FD0CF3" w:rsidP="00FD0CF3">
            <w:pPr>
              <w:spacing w:before="60"/>
              <w:rPr>
                <w:b/>
                <w:color w:val="000000"/>
              </w:rPr>
            </w:pPr>
            <w:r>
              <w:rPr>
                <w:b/>
                <w:color w:val="000000"/>
              </w:rPr>
              <w:t>Summary of Decision:</w:t>
            </w:r>
            <w:r w:rsidR="00201926">
              <w:rPr>
                <w:b/>
                <w:color w:val="000000"/>
              </w:rPr>
              <w:t xml:space="preserve"> The Order is not confirmed.</w:t>
            </w:r>
          </w:p>
        </w:tc>
      </w:tr>
      <w:tr w:rsidR="00FD0CF3" w14:paraId="1A446A40" w14:textId="77777777" w:rsidTr="00FD0CF3">
        <w:tc>
          <w:tcPr>
            <w:tcW w:w="9520" w:type="dxa"/>
            <w:tcBorders>
              <w:bottom w:val="single" w:sz="6" w:space="0" w:color="000000"/>
            </w:tcBorders>
            <w:shd w:val="clear" w:color="auto" w:fill="auto"/>
          </w:tcPr>
          <w:p w14:paraId="4A4027D1" w14:textId="77777777" w:rsidR="00FD0CF3" w:rsidRPr="00FD0CF3" w:rsidRDefault="00FD0CF3" w:rsidP="00FD0CF3">
            <w:pPr>
              <w:spacing w:before="60"/>
              <w:rPr>
                <w:b/>
                <w:color w:val="000000"/>
                <w:sz w:val="2"/>
              </w:rPr>
            </w:pPr>
            <w:bookmarkStart w:id="1" w:name="bmkReturn"/>
            <w:bookmarkEnd w:id="1"/>
          </w:p>
        </w:tc>
      </w:tr>
    </w:tbl>
    <w:p w14:paraId="07E5E98C" w14:textId="0FF1F667" w:rsidR="00FD0CF3" w:rsidRDefault="00FD0CF3" w:rsidP="00FD0CF3">
      <w:pPr>
        <w:pStyle w:val="Heading6blackfont"/>
      </w:pPr>
      <w:r>
        <w:t>Procedural Matters</w:t>
      </w:r>
    </w:p>
    <w:p w14:paraId="4B4867F2" w14:textId="39C5B95B" w:rsidR="000F6E63" w:rsidRDefault="000F6E63" w:rsidP="000F6E63">
      <w:pPr>
        <w:pStyle w:val="Style1"/>
      </w:pPr>
      <w:r>
        <w:t xml:space="preserve">The Definitive Map Modification Order (DMMO) was scheduled to be determined by means of a public inquiry that was due to be held </w:t>
      </w:r>
      <w:r w:rsidRPr="00E127CB">
        <w:rPr>
          <w:color w:val="auto"/>
        </w:rPr>
        <w:t>on 1</w:t>
      </w:r>
      <w:r w:rsidR="00E127CB" w:rsidRPr="00E127CB">
        <w:rPr>
          <w:color w:val="auto"/>
        </w:rPr>
        <w:t>5 September</w:t>
      </w:r>
      <w:r w:rsidRPr="00E127CB">
        <w:rPr>
          <w:color w:val="auto"/>
        </w:rPr>
        <w:t xml:space="preserve"> 2020.  </w:t>
      </w:r>
      <w:r>
        <w:t>However, the introduction of restrictions due to the Covid-19 pandemic meant that a physical event of this nature could not be held as planned.  Thus, in view of ongoing pandemic-related restrictions, the written representations procedure (including an accompanied site visit by the Inspector) was selected as the most appropriate means to progress the matter without delay.</w:t>
      </w:r>
    </w:p>
    <w:p w14:paraId="2E051B0C" w14:textId="43D326B5" w:rsidR="00341695" w:rsidRDefault="00600EE8" w:rsidP="00341695">
      <w:pPr>
        <w:pStyle w:val="Style1"/>
      </w:pPr>
      <w:r>
        <w:t xml:space="preserve">I am </w:t>
      </w:r>
      <w:r w:rsidR="0055261B">
        <w:t xml:space="preserve">grateful to all concerned for their assistance in making this alternative arrangement.  For my inspection of the </w:t>
      </w:r>
      <w:r w:rsidR="00703B33">
        <w:t xml:space="preserve">Order </w:t>
      </w:r>
      <w:proofErr w:type="gramStart"/>
      <w:r w:rsidR="0055261B">
        <w:t>route</w:t>
      </w:r>
      <w:proofErr w:type="gramEnd"/>
      <w:r w:rsidR="0055261B">
        <w:t xml:space="preserve"> I was joined by Mr </w:t>
      </w:r>
      <w:r w:rsidR="004D3A29">
        <w:t>Saint</w:t>
      </w:r>
      <w:r w:rsidR="00F75364">
        <w:t xml:space="preserve"> on behalf of Somerset County Council</w:t>
      </w:r>
      <w:r w:rsidR="00942C29">
        <w:t xml:space="preserve"> (the Council)</w:t>
      </w:r>
      <w:r w:rsidR="00F75364">
        <w:t>, M</w:t>
      </w:r>
      <w:r w:rsidR="00A3185F">
        <w:t>s Bucks</w:t>
      </w:r>
      <w:r w:rsidR="00F75364">
        <w:t xml:space="preserve"> (applicant) and Mr </w:t>
      </w:r>
      <w:proofErr w:type="spellStart"/>
      <w:r w:rsidR="00A3185F">
        <w:t>Danks</w:t>
      </w:r>
      <w:proofErr w:type="spellEnd"/>
      <w:r w:rsidR="00F75364">
        <w:t xml:space="preserve"> (objector).</w:t>
      </w:r>
      <w:r w:rsidR="00FD463D">
        <w:t xml:space="preserve">  </w:t>
      </w:r>
      <w:r w:rsidR="007160EC">
        <w:t>M</w:t>
      </w:r>
      <w:r w:rsidR="00A27D80">
        <w:t>r</w:t>
      </w:r>
      <w:r w:rsidR="007160EC">
        <w:t>s Masters-Harding (objector) attended at the start of the site visit.</w:t>
      </w:r>
    </w:p>
    <w:p w14:paraId="6E1A75F2" w14:textId="0D0F8983" w:rsidR="00796067" w:rsidRDefault="00796067" w:rsidP="00796067">
      <w:pPr>
        <w:pStyle w:val="Style1"/>
      </w:pPr>
      <w:r>
        <w:tab/>
        <w:t xml:space="preserve">I am satisfied that I am properly able to </w:t>
      </w:r>
      <w:proofErr w:type="gramStart"/>
      <w:r>
        <w:t>make a determination</w:t>
      </w:r>
      <w:proofErr w:type="gramEnd"/>
      <w:r>
        <w:t xml:space="preserve"> on the evidence before me. I have </w:t>
      </w:r>
      <w:proofErr w:type="gramStart"/>
      <w:r>
        <w:t>taken into account</w:t>
      </w:r>
      <w:proofErr w:type="gramEnd"/>
      <w:r>
        <w:t xml:space="preserve"> all of the submissions in reaching my decision.</w:t>
      </w:r>
    </w:p>
    <w:p w14:paraId="6D026F14" w14:textId="183D9729" w:rsidR="00D14C0C" w:rsidRDefault="00D14C0C" w:rsidP="00341695">
      <w:pPr>
        <w:pStyle w:val="Style1"/>
      </w:pPr>
      <w:r>
        <w:t xml:space="preserve">In writing this decision I have found it convenient to refer to points marked on the Order </w:t>
      </w:r>
      <w:r w:rsidR="00BD2900">
        <w:t>Plan</w:t>
      </w:r>
      <w:r>
        <w:t xml:space="preserve">.  I therefore attach a copy of this </w:t>
      </w:r>
      <w:r w:rsidR="00BD2900">
        <w:t>plan</w:t>
      </w:r>
      <w:r>
        <w:t>.</w:t>
      </w:r>
    </w:p>
    <w:p w14:paraId="135885AA" w14:textId="5BD7BC51" w:rsidR="00FE5522" w:rsidRPr="00592BC1" w:rsidRDefault="00592BC1" w:rsidP="00341695">
      <w:pPr>
        <w:pStyle w:val="Style1"/>
        <w:rPr>
          <w:color w:val="auto"/>
        </w:rPr>
      </w:pPr>
      <w:r w:rsidRPr="00592BC1">
        <w:rPr>
          <w:color w:val="auto"/>
        </w:rPr>
        <w:t xml:space="preserve">The </w:t>
      </w:r>
      <w:r w:rsidR="00FD7204">
        <w:rPr>
          <w:color w:val="auto"/>
        </w:rPr>
        <w:t>Order was made</w:t>
      </w:r>
      <w:r>
        <w:rPr>
          <w:color w:val="auto"/>
        </w:rPr>
        <w:t xml:space="preserve"> follow</w:t>
      </w:r>
      <w:r w:rsidR="00FD7204">
        <w:rPr>
          <w:color w:val="auto"/>
        </w:rPr>
        <w:t>ing</w:t>
      </w:r>
      <w:r>
        <w:rPr>
          <w:color w:val="auto"/>
        </w:rPr>
        <w:t xml:space="preserve"> a successful </w:t>
      </w:r>
      <w:r w:rsidR="00096B0E">
        <w:rPr>
          <w:color w:val="auto"/>
        </w:rPr>
        <w:t>appeal under Schedule 14</w:t>
      </w:r>
      <w:r w:rsidR="00FD7204">
        <w:rPr>
          <w:color w:val="auto"/>
        </w:rPr>
        <w:t xml:space="preserve">(4) of the 1981 Act </w:t>
      </w:r>
      <w:r w:rsidR="00096B0E">
        <w:rPr>
          <w:color w:val="auto"/>
        </w:rPr>
        <w:t>against a decision by the Council not to make a DMMO.</w:t>
      </w:r>
      <w:r w:rsidR="002A1387">
        <w:t xml:space="preserve">  Notwithstanding the position at the Schedule 14 stage, </w:t>
      </w:r>
      <w:r w:rsidR="00D5193E">
        <w:t xml:space="preserve">in this decision </w:t>
      </w:r>
      <w:r w:rsidR="002A1387">
        <w:t xml:space="preserve">I am required to apply </w:t>
      </w:r>
      <w:r w:rsidR="005C416F">
        <w:t>the “balance of probability” standard of proof.</w:t>
      </w:r>
      <w:r w:rsidR="00F6254E">
        <w:t xml:space="preserve">  The burden of proof is on those who assert the existence of restricted byways.</w:t>
      </w:r>
    </w:p>
    <w:p w14:paraId="40B81920" w14:textId="15C84C8C" w:rsidR="00FD0CF3" w:rsidRDefault="00FD0CF3" w:rsidP="00FD0CF3">
      <w:pPr>
        <w:pStyle w:val="Heading6blackfont"/>
      </w:pPr>
      <w:r>
        <w:lastRenderedPageBreak/>
        <w:t>The Main Issues</w:t>
      </w:r>
    </w:p>
    <w:p w14:paraId="4799F673" w14:textId="4C7E68B4" w:rsidR="00A3203C" w:rsidRPr="004B0E89" w:rsidRDefault="00D75A18" w:rsidP="004B0E89">
      <w:pPr>
        <w:pStyle w:val="Style1"/>
        <w:tabs>
          <w:tab w:val="clear" w:pos="720"/>
        </w:tabs>
        <w:rPr>
          <w:color w:val="auto"/>
        </w:rPr>
      </w:pPr>
      <w:r w:rsidRPr="00D75A18">
        <w:rPr>
          <w:color w:val="auto"/>
        </w:rPr>
        <w:t xml:space="preserve">Somerset </w:t>
      </w:r>
      <w:r w:rsidR="00A3203C" w:rsidRPr="00D75A18">
        <w:rPr>
          <w:color w:val="auto"/>
        </w:rPr>
        <w:t xml:space="preserve">County Council made the DMMO under Section 53(2)(b) of the 1981 Act </w:t>
      </w:r>
      <w:proofErr w:type="gramStart"/>
      <w:r w:rsidR="00A3203C" w:rsidRPr="00D75A18">
        <w:rPr>
          <w:color w:val="auto"/>
        </w:rPr>
        <w:t>on the basis of</w:t>
      </w:r>
      <w:proofErr w:type="gramEnd"/>
      <w:r w:rsidR="00A3203C" w:rsidRPr="00D75A18">
        <w:rPr>
          <w:color w:val="auto"/>
        </w:rPr>
        <w:t xml:space="preserve"> events specified in sub-section 53(3)(c)(i</w:t>
      </w:r>
      <w:r w:rsidR="00F430DF">
        <w:rPr>
          <w:color w:val="auto"/>
        </w:rPr>
        <w:t>i</w:t>
      </w:r>
      <w:r w:rsidR="00A3203C" w:rsidRPr="00D75A18">
        <w:rPr>
          <w:color w:val="auto"/>
        </w:rPr>
        <w:t xml:space="preserve">).  As a result, the main issue is whether the discovery by the Council of evidence (when considered with all other evidence available) is sufficient to show that </w:t>
      </w:r>
      <w:r w:rsidR="006E11F8">
        <w:rPr>
          <w:color w:val="auto"/>
        </w:rPr>
        <w:t xml:space="preserve">highways </w:t>
      </w:r>
      <w:r w:rsidR="00567D13">
        <w:rPr>
          <w:color w:val="auto"/>
        </w:rPr>
        <w:t xml:space="preserve">shown in the map and statement </w:t>
      </w:r>
      <w:r w:rsidR="00D76DC5">
        <w:rPr>
          <w:color w:val="auto"/>
        </w:rPr>
        <w:t xml:space="preserve">as highways of a particular description </w:t>
      </w:r>
      <w:r w:rsidR="00567D13">
        <w:rPr>
          <w:color w:val="auto"/>
        </w:rPr>
        <w:t>ought to be there shown as highways of a different description</w:t>
      </w:r>
      <w:r w:rsidR="00A3203C" w:rsidRPr="00D75A18">
        <w:rPr>
          <w:color w:val="auto"/>
        </w:rPr>
        <w:t xml:space="preserve">. </w:t>
      </w:r>
    </w:p>
    <w:p w14:paraId="402D6130" w14:textId="3939729A" w:rsidR="00341695" w:rsidRPr="00341695" w:rsidRDefault="00AC0456" w:rsidP="00341695">
      <w:pPr>
        <w:pStyle w:val="Style1"/>
      </w:pPr>
      <w:r>
        <w:t>As this Order is concerned with possible unrecorded vehicular r</w:t>
      </w:r>
      <w:r w:rsidR="00D42167">
        <w:t>ights</w:t>
      </w:r>
      <w:r>
        <w:t>, it is also necessary to have regard to the provisions of Section 67 of the Natural Environment and Rural Communities Act 2006</w:t>
      </w:r>
      <w:r w:rsidR="00B76464">
        <w:t>,</w:t>
      </w:r>
      <w:r>
        <w:t xml:space="preserve"> which extinguished rights of way for mechanically propelled vehicles subject to certain exceptions.</w:t>
      </w:r>
    </w:p>
    <w:p w14:paraId="718D52D2" w14:textId="106559A9" w:rsidR="00FD0CF3" w:rsidRDefault="00FD0CF3" w:rsidP="00FD0CF3">
      <w:pPr>
        <w:pStyle w:val="Heading6blackfont"/>
      </w:pPr>
      <w:r>
        <w:t>Reasons</w:t>
      </w:r>
    </w:p>
    <w:p w14:paraId="1B2D6ADC" w14:textId="5D591C4E" w:rsidR="008C478A" w:rsidRPr="00E61212" w:rsidRDefault="008C478A" w:rsidP="008C478A">
      <w:pPr>
        <w:pStyle w:val="Style1"/>
        <w:numPr>
          <w:ilvl w:val="0"/>
          <w:numId w:val="0"/>
        </w:numPr>
        <w:ind w:left="431" w:hanging="431"/>
        <w:rPr>
          <w:b/>
          <w:bCs/>
          <w:i/>
          <w:iCs/>
        </w:rPr>
      </w:pPr>
      <w:r w:rsidRPr="00E61212">
        <w:rPr>
          <w:b/>
          <w:bCs/>
          <w:i/>
          <w:iCs/>
        </w:rPr>
        <w:t>Background</w:t>
      </w:r>
    </w:p>
    <w:p w14:paraId="1B42F592" w14:textId="1DF4E329" w:rsidR="00AC0456" w:rsidRDefault="00F6548B" w:rsidP="00AC0456">
      <w:pPr>
        <w:pStyle w:val="Style1"/>
      </w:pPr>
      <w:r>
        <w:t>The Order route comprises three sections</w:t>
      </w:r>
      <w:r w:rsidR="00665B54">
        <w:t>: public footpath CH 33/36 annotated A-B</w:t>
      </w:r>
      <w:r w:rsidR="00BC6540">
        <w:t xml:space="preserve"> on the Order map</w:t>
      </w:r>
      <w:r w:rsidR="00665B54">
        <w:t xml:space="preserve">, public footpath </w:t>
      </w:r>
      <w:r w:rsidR="008667C8">
        <w:t>CH 33/35 annotated B-C and public footpath CH 33/34 annotated C-D.</w:t>
      </w:r>
    </w:p>
    <w:p w14:paraId="59517FD4" w14:textId="4A621413" w:rsidR="008667C8" w:rsidRDefault="008667C8" w:rsidP="00AC0456">
      <w:pPr>
        <w:pStyle w:val="Style1"/>
      </w:pPr>
      <w:r>
        <w:t xml:space="preserve">Documentary </w:t>
      </w:r>
      <w:r w:rsidR="00B436C5">
        <w:t xml:space="preserve">and landowner </w:t>
      </w:r>
      <w:r>
        <w:t>evidence has been submitted in support of the Order.</w:t>
      </w:r>
    </w:p>
    <w:p w14:paraId="5C15BC33" w14:textId="45113CBF" w:rsidR="00E61212" w:rsidRPr="00E61212" w:rsidRDefault="00E61212" w:rsidP="00F4521D">
      <w:pPr>
        <w:pStyle w:val="Style1"/>
        <w:numPr>
          <w:ilvl w:val="0"/>
          <w:numId w:val="0"/>
        </w:numPr>
        <w:rPr>
          <w:b/>
          <w:bCs/>
          <w:i/>
          <w:iCs/>
        </w:rPr>
      </w:pPr>
      <w:r w:rsidRPr="00E61212">
        <w:rPr>
          <w:b/>
          <w:bCs/>
          <w:i/>
          <w:iCs/>
        </w:rPr>
        <w:t>Documentary Evidence</w:t>
      </w:r>
    </w:p>
    <w:p w14:paraId="6FD1CB3D" w14:textId="77777777" w:rsidR="00E1615C" w:rsidRDefault="00E1615C" w:rsidP="00E1615C">
      <w:pPr>
        <w:pStyle w:val="Style1"/>
        <w:numPr>
          <w:ilvl w:val="0"/>
          <w:numId w:val="0"/>
        </w:numPr>
        <w:rPr>
          <w:i/>
          <w:iCs/>
        </w:rPr>
      </w:pPr>
      <w:r>
        <w:rPr>
          <w:i/>
          <w:iCs/>
        </w:rPr>
        <w:t>Map of the estate of BM Donne</w:t>
      </w:r>
    </w:p>
    <w:p w14:paraId="5E6ED32E" w14:textId="77777777" w:rsidR="00E1615C" w:rsidRPr="00342CF4" w:rsidRDefault="00E1615C" w:rsidP="00E1615C">
      <w:pPr>
        <w:pStyle w:val="Style1"/>
      </w:pPr>
      <w:r>
        <w:t xml:space="preserve">The Order route is shown on this map from approximately 1772 between double solid lines which are crossed near Point D by the continuation of a land boundary, perhaps indicating the presence of a gate.      </w:t>
      </w:r>
    </w:p>
    <w:p w14:paraId="534FF1FE" w14:textId="4A5E9E13" w:rsidR="00474794" w:rsidRDefault="00474794" w:rsidP="00474794">
      <w:pPr>
        <w:pStyle w:val="Style1"/>
        <w:numPr>
          <w:ilvl w:val="0"/>
          <w:numId w:val="0"/>
        </w:numPr>
        <w:rPr>
          <w:i/>
          <w:iCs/>
          <w:color w:val="auto"/>
        </w:rPr>
      </w:pPr>
      <w:r w:rsidRPr="005A3505">
        <w:rPr>
          <w:i/>
          <w:iCs/>
          <w:color w:val="auto"/>
        </w:rPr>
        <w:t xml:space="preserve">Ordnance Survey </w:t>
      </w:r>
      <w:r w:rsidR="00CD428B">
        <w:rPr>
          <w:i/>
          <w:iCs/>
          <w:color w:val="auto"/>
        </w:rPr>
        <w:t xml:space="preserve">(OS) </w:t>
      </w:r>
      <w:r w:rsidRPr="005A3505">
        <w:rPr>
          <w:i/>
          <w:iCs/>
          <w:color w:val="auto"/>
        </w:rPr>
        <w:t>Maps</w:t>
      </w:r>
    </w:p>
    <w:p w14:paraId="0BBB82BF" w14:textId="244C0A45" w:rsidR="001C3FC1" w:rsidRDefault="00F621DD" w:rsidP="00474794">
      <w:pPr>
        <w:pStyle w:val="Style1"/>
        <w:rPr>
          <w:color w:val="auto"/>
        </w:rPr>
      </w:pPr>
      <w:r>
        <w:rPr>
          <w:color w:val="auto"/>
        </w:rPr>
        <w:t xml:space="preserve">Some of the </w:t>
      </w:r>
      <w:r w:rsidR="005236A0">
        <w:rPr>
          <w:color w:val="auto"/>
        </w:rPr>
        <w:t>public footpaths which currently appear in the</w:t>
      </w:r>
      <w:r w:rsidR="001F0F7A">
        <w:rPr>
          <w:color w:val="auto"/>
        </w:rPr>
        <w:t xml:space="preserve"> vicinity within the</w:t>
      </w:r>
      <w:r w:rsidR="005236A0">
        <w:rPr>
          <w:color w:val="auto"/>
        </w:rPr>
        <w:t xml:space="preserve"> D</w:t>
      </w:r>
      <w:r w:rsidR="00C779C2">
        <w:rPr>
          <w:color w:val="auto"/>
        </w:rPr>
        <w:t xml:space="preserve">efinitive </w:t>
      </w:r>
      <w:r w:rsidR="005236A0">
        <w:rPr>
          <w:color w:val="auto"/>
        </w:rPr>
        <w:t>M</w:t>
      </w:r>
      <w:r w:rsidR="00C779C2">
        <w:rPr>
          <w:color w:val="auto"/>
        </w:rPr>
        <w:t xml:space="preserve">ap and </w:t>
      </w:r>
      <w:r w:rsidR="005236A0">
        <w:rPr>
          <w:color w:val="auto"/>
        </w:rPr>
        <w:t>S</w:t>
      </w:r>
      <w:r w:rsidR="00C779C2">
        <w:rPr>
          <w:color w:val="auto"/>
        </w:rPr>
        <w:t>tatement (DM&amp;S)</w:t>
      </w:r>
      <w:r w:rsidR="001F0F7A">
        <w:rPr>
          <w:color w:val="auto"/>
        </w:rPr>
        <w:t xml:space="preserve"> </w:t>
      </w:r>
      <w:r w:rsidR="005236A0">
        <w:rPr>
          <w:color w:val="auto"/>
        </w:rPr>
        <w:t>are shown by single or double pecked lines</w:t>
      </w:r>
      <w:r w:rsidR="00CD428B">
        <w:rPr>
          <w:color w:val="auto"/>
        </w:rPr>
        <w:t xml:space="preserve"> on the OS maps</w:t>
      </w:r>
      <w:r w:rsidR="005236A0">
        <w:rPr>
          <w:color w:val="auto"/>
        </w:rPr>
        <w:t>.</w:t>
      </w:r>
      <w:r w:rsidR="00205AFB">
        <w:rPr>
          <w:color w:val="auto"/>
        </w:rPr>
        <w:t xml:space="preserve">  A proportion of these are annotated “F.P.” or “Path”.</w:t>
      </w:r>
      <w:r w:rsidR="00376575">
        <w:rPr>
          <w:color w:val="auto"/>
        </w:rPr>
        <w:t xml:space="preserve">  However, the Order route is generally depicted by double solid lines</w:t>
      </w:r>
      <w:r w:rsidR="009E6E32">
        <w:rPr>
          <w:color w:val="auto"/>
        </w:rPr>
        <w:t xml:space="preserve"> and unannotated</w:t>
      </w:r>
      <w:r w:rsidR="00376575">
        <w:rPr>
          <w:color w:val="auto"/>
        </w:rPr>
        <w:t xml:space="preserve">.  </w:t>
      </w:r>
    </w:p>
    <w:p w14:paraId="6F05203F" w14:textId="3AE555F7" w:rsidR="00474794" w:rsidRPr="0049688D" w:rsidRDefault="00474794" w:rsidP="00474794">
      <w:pPr>
        <w:pStyle w:val="Style1"/>
        <w:rPr>
          <w:color w:val="auto"/>
        </w:rPr>
      </w:pPr>
      <w:r w:rsidRPr="0049688D">
        <w:rPr>
          <w:color w:val="auto"/>
        </w:rPr>
        <w:t>The 1807 Ordnance Sur</w:t>
      </w:r>
      <w:r w:rsidR="003D52C4" w:rsidRPr="0049688D">
        <w:rPr>
          <w:color w:val="auto"/>
        </w:rPr>
        <w:t xml:space="preserve">veyor’s Drawing </w:t>
      </w:r>
      <w:r w:rsidR="00CC5E80" w:rsidRPr="0049688D">
        <w:rPr>
          <w:color w:val="auto"/>
        </w:rPr>
        <w:t xml:space="preserve">and </w:t>
      </w:r>
      <w:r w:rsidR="00FC250D" w:rsidRPr="0049688D">
        <w:rPr>
          <w:color w:val="auto"/>
        </w:rPr>
        <w:t xml:space="preserve">1809-1811 Old Series OS Map </w:t>
      </w:r>
      <w:r w:rsidR="003D52C4" w:rsidRPr="0049688D">
        <w:rPr>
          <w:color w:val="auto"/>
        </w:rPr>
        <w:t xml:space="preserve">show </w:t>
      </w:r>
      <w:r w:rsidR="00FC250D" w:rsidRPr="0049688D">
        <w:rPr>
          <w:color w:val="auto"/>
        </w:rPr>
        <w:t>section A-C</w:t>
      </w:r>
      <w:r w:rsidR="00842F93" w:rsidRPr="0049688D">
        <w:rPr>
          <w:color w:val="auto"/>
        </w:rPr>
        <w:t xml:space="preserve"> on a different alignment</w:t>
      </w:r>
      <w:r w:rsidR="00C75F29" w:rsidRPr="0049688D">
        <w:rPr>
          <w:color w:val="auto"/>
        </w:rPr>
        <w:t xml:space="preserve"> to its current location, although </w:t>
      </w:r>
      <w:r w:rsidR="00FC250D" w:rsidRPr="0049688D">
        <w:rPr>
          <w:color w:val="auto"/>
        </w:rPr>
        <w:t>C-D</w:t>
      </w:r>
      <w:r w:rsidR="00C75F29" w:rsidRPr="0049688D">
        <w:rPr>
          <w:color w:val="auto"/>
        </w:rPr>
        <w:t xml:space="preserve"> is similar.  The route is depicted by double solid line</w:t>
      </w:r>
      <w:r w:rsidR="004B4F4B" w:rsidRPr="0049688D">
        <w:rPr>
          <w:color w:val="auto"/>
        </w:rPr>
        <w:t>s</w:t>
      </w:r>
      <w:r w:rsidR="00703343" w:rsidRPr="0049688D">
        <w:rPr>
          <w:color w:val="auto"/>
        </w:rPr>
        <w:t xml:space="preserve">.  </w:t>
      </w:r>
    </w:p>
    <w:p w14:paraId="714D3DF8" w14:textId="496D0766" w:rsidR="00474794" w:rsidRPr="00D915F0" w:rsidRDefault="00474794" w:rsidP="00474794">
      <w:pPr>
        <w:pStyle w:val="Style1"/>
        <w:rPr>
          <w:color w:val="0070C0"/>
        </w:rPr>
      </w:pPr>
      <w:r>
        <w:rPr>
          <w:color w:val="auto"/>
        </w:rPr>
        <w:t>The route is shown between double solid lines and uncoloured on OS reprints of 1898-1900 and 1919.  Modern day carriageways are depicted by an orange colouring.  Public footpaths 33/37 and 33/38, which appear to be shown on the earlier Tithe map, are not shown.</w:t>
      </w:r>
    </w:p>
    <w:p w14:paraId="76C1A8DF" w14:textId="5BA641E9" w:rsidR="00D915F0" w:rsidRPr="00891B0A" w:rsidRDefault="00D915F0" w:rsidP="00474794">
      <w:pPr>
        <w:pStyle w:val="Style1"/>
        <w:rPr>
          <w:color w:val="auto"/>
        </w:rPr>
      </w:pPr>
      <w:r w:rsidRPr="00891B0A">
        <w:rPr>
          <w:color w:val="auto"/>
        </w:rPr>
        <w:t xml:space="preserve">The </w:t>
      </w:r>
      <w:r w:rsidR="005C56B4" w:rsidRPr="00891B0A">
        <w:rPr>
          <w:color w:val="auto"/>
        </w:rPr>
        <w:t>1 inch to the mile OS Map of 1919 depicts the route between double solid lines</w:t>
      </w:r>
      <w:r w:rsidR="00721B48">
        <w:rPr>
          <w:color w:val="auto"/>
        </w:rPr>
        <w:t xml:space="preserve"> and uncoloured</w:t>
      </w:r>
      <w:r w:rsidR="005C56B4" w:rsidRPr="00891B0A">
        <w:rPr>
          <w:color w:val="auto"/>
        </w:rPr>
        <w:t>.</w:t>
      </w:r>
      <w:r w:rsidR="00721B48">
        <w:rPr>
          <w:color w:val="auto"/>
        </w:rPr>
        <w:t xml:space="preserve">  Modern carriageways such as Yeovil Road are coloured orange or red.  </w:t>
      </w:r>
      <w:r w:rsidR="005C56B4" w:rsidRPr="00891B0A">
        <w:rPr>
          <w:color w:val="auto"/>
        </w:rPr>
        <w:t xml:space="preserve">According to the key </w:t>
      </w:r>
      <w:r w:rsidR="00721B48">
        <w:rPr>
          <w:color w:val="auto"/>
        </w:rPr>
        <w:t>the route</w:t>
      </w:r>
      <w:r w:rsidR="005C56B4" w:rsidRPr="00891B0A">
        <w:rPr>
          <w:color w:val="auto"/>
        </w:rPr>
        <w:t xml:space="preserve"> is a </w:t>
      </w:r>
      <w:r w:rsidR="00891B0A" w:rsidRPr="00891B0A">
        <w:rPr>
          <w:color w:val="auto"/>
        </w:rPr>
        <w:t>minor</w:t>
      </w:r>
      <w:r w:rsidR="0065416F" w:rsidRPr="00891B0A">
        <w:rPr>
          <w:color w:val="auto"/>
        </w:rPr>
        <w:t xml:space="preserve"> road.</w:t>
      </w:r>
      <w:r w:rsidR="00721B48">
        <w:rPr>
          <w:color w:val="auto"/>
        </w:rPr>
        <w:t xml:space="preserve">  Th</w:t>
      </w:r>
      <w:r w:rsidR="00447FD3">
        <w:rPr>
          <w:color w:val="auto"/>
        </w:rPr>
        <w:t>e key further</w:t>
      </w:r>
      <w:r w:rsidR="00721B48">
        <w:rPr>
          <w:color w:val="auto"/>
        </w:rPr>
        <w:t xml:space="preserve"> </w:t>
      </w:r>
      <w:r w:rsidR="00102F18">
        <w:rPr>
          <w:color w:val="auto"/>
        </w:rPr>
        <w:t>states</w:t>
      </w:r>
      <w:r w:rsidR="00721B48">
        <w:rPr>
          <w:color w:val="auto"/>
        </w:rPr>
        <w:t xml:space="preserve"> that private roads are uncoloured.</w:t>
      </w:r>
      <w:r w:rsidR="00891B0A" w:rsidRPr="00891B0A">
        <w:rPr>
          <w:color w:val="auto"/>
        </w:rPr>
        <w:t xml:space="preserve">  </w:t>
      </w:r>
    </w:p>
    <w:p w14:paraId="5E909E01" w14:textId="19EEBA29" w:rsidR="00474794" w:rsidRPr="003478F7" w:rsidRDefault="00474794" w:rsidP="009413F1">
      <w:pPr>
        <w:pStyle w:val="Style1"/>
        <w:rPr>
          <w:strike/>
          <w:color w:val="0070C0"/>
        </w:rPr>
      </w:pPr>
      <w:r w:rsidRPr="001C3FC1">
        <w:rPr>
          <w:color w:val="auto"/>
        </w:rPr>
        <w:t>The 1:2500 1929 OS Map shows the route between double solid lines.</w:t>
      </w:r>
      <w:r w:rsidR="002F29D4" w:rsidRPr="001C3FC1">
        <w:rPr>
          <w:color w:val="auto"/>
        </w:rPr>
        <w:t xml:space="preserve">  </w:t>
      </w:r>
      <w:r w:rsidR="009D4037" w:rsidRPr="001C3FC1">
        <w:rPr>
          <w:color w:val="auto"/>
        </w:rPr>
        <w:t>Butts Quarry Lane is annotated with a</w:t>
      </w:r>
      <w:r w:rsidR="002F29D4" w:rsidRPr="001C3FC1">
        <w:rPr>
          <w:color w:val="auto"/>
        </w:rPr>
        <w:t xml:space="preserve"> </w:t>
      </w:r>
      <w:r w:rsidRPr="001C3FC1">
        <w:rPr>
          <w:color w:val="auto"/>
        </w:rPr>
        <w:t>parcel number and an acreage measurement</w:t>
      </w:r>
      <w:r w:rsidR="00C52E89" w:rsidRPr="001C3FC1">
        <w:rPr>
          <w:color w:val="auto"/>
        </w:rPr>
        <w:t xml:space="preserve">, </w:t>
      </w:r>
      <w:r w:rsidR="00C52E89" w:rsidRPr="001C3FC1">
        <w:rPr>
          <w:color w:val="auto"/>
        </w:rPr>
        <w:lastRenderedPageBreak/>
        <w:t>although th</w:t>
      </w:r>
      <w:r w:rsidR="0077379A">
        <w:rPr>
          <w:color w:val="auto"/>
        </w:rPr>
        <w:t xml:space="preserve">is </w:t>
      </w:r>
      <w:r w:rsidR="007E5EFD">
        <w:rPr>
          <w:color w:val="auto"/>
        </w:rPr>
        <w:t xml:space="preserve">is </w:t>
      </w:r>
      <w:r w:rsidR="0077379A">
        <w:rPr>
          <w:color w:val="auto"/>
        </w:rPr>
        <w:t>likely to</w:t>
      </w:r>
      <w:r w:rsidR="00C52E89" w:rsidRPr="001C3FC1">
        <w:rPr>
          <w:color w:val="auto"/>
        </w:rPr>
        <w:t xml:space="preserve"> refer to both lanes as they form a continuous route on the map</w:t>
      </w:r>
      <w:r w:rsidR="0077379A">
        <w:rPr>
          <w:color w:val="auto"/>
        </w:rPr>
        <w:t>.</w:t>
      </w:r>
    </w:p>
    <w:p w14:paraId="6F729355" w14:textId="13842B19" w:rsidR="003478F7" w:rsidRPr="00E91034" w:rsidRDefault="003478F7" w:rsidP="009413F1">
      <w:pPr>
        <w:pStyle w:val="Style1"/>
        <w:rPr>
          <w:strike/>
          <w:color w:val="0070C0"/>
        </w:rPr>
      </w:pPr>
      <w:r>
        <w:rPr>
          <w:color w:val="auto"/>
        </w:rPr>
        <w:t xml:space="preserve">The 1:25,000 </w:t>
      </w:r>
      <w:r w:rsidR="000C788E">
        <w:rPr>
          <w:color w:val="auto"/>
        </w:rPr>
        <w:t xml:space="preserve">OS Map which was compiled from sheets revised over the period 1901-1928 </w:t>
      </w:r>
      <w:r w:rsidR="006346E8">
        <w:rPr>
          <w:color w:val="auto"/>
        </w:rPr>
        <w:t xml:space="preserve">shows the route between double solid lines, and uncoloured.  </w:t>
      </w:r>
      <w:r w:rsidR="006E512A">
        <w:rPr>
          <w:color w:val="auto"/>
        </w:rPr>
        <w:t>Modern day carriageways are coloured orange or by orange dashes.</w:t>
      </w:r>
    </w:p>
    <w:p w14:paraId="29057B9C" w14:textId="4BBB403D" w:rsidR="00184B94" w:rsidRPr="002D647E" w:rsidRDefault="00184B94" w:rsidP="00474794">
      <w:pPr>
        <w:pStyle w:val="Style1"/>
        <w:rPr>
          <w:color w:val="0070C0"/>
        </w:rPr>
      </w:pPr>
      <w:r>
        <w:rPr>
          <w:color w:val="auto"/>
        </w:rPr>
        <w:t xml:space="preserve">The 1 inch to the mile 1946 OS Map shows </w:t>
      </w:r>
      <w:r w:rsidR="00AE6D68">
        <w:rPr>
          <w:color w:val="auto"/>
        </w:rPr>
        <w:t xml:space="preserve">the route between double solid lines.  </w:t>
      </w:r>
      <w:r w:rsidR="002A03D5">
        <w:rPr>
          <w:color w:val="auto"/>
        </w:rPr>
        <w:t xml:space="preserve">It is depicted according to the key </w:t>
      </w:r>
      <w:r w:rsidR="00294CD7">
        <w:rPr>
          <w:color w:val="auto"/>
        </w:rPr>
        <w:t>in the same manner as “minor roads in towns, drives and unmetalled roads”.</w:t>
      </w:r>
      <w:r w:rsidR="00F3473C">
        <w:rPr>
          <w:color w:val="auto"/>
        </w:rPr>
        <w:t xml:space="preserve">  Footpaths and bridle paths are shown by a pecked line.</w:t>
      </w:r>
    </w:p>
    <w:p w14:paraId="5DE108E7" w14:textId="43D193CA" w:rsidR="002D647E" w:rsidRPr="002105EE" w:rsidRDefault="002D647E" w:rsidP="00474794">
      <w:pPr>
        <w:pStyle w:val="Style1"/>
        <w:rPr>
          <w:color w:val="0070C0"/>
        </w:rPr>
      </w:pPr>
      <w:r>
        <w:rPr>
          <w:color w:val="auto"/>
        </w:rPr>
        <w:t xml:space="preserve">The 1:10,000 </w:t>
      </w:r>
      <w:r w:rsidR="004334EA">
        <w:rPr>
          <w:color w:val="auto"/>
        </w:rPr>
        <w:t xml:space="preserve">1978/1982 OS Map </w:t>
      </w:r>
      <w:r w:rsidR="000A0B8D">
        <w:rPr>
          <w:color w:val="auto"/>
        </w:rPr>
        <w:t xml:space="preserve">shows the names of the routes, and additionally marks </w:t>
      </w:r>
      <w:r w:rsidR="00915264">
        <w:rPr>
          <w:color w:val="auto"/>
        </w:rPr>
        <w:t>section A-B</w:t>
      </w:r>
      <w:r w:rsidR="0079009E">
        <w:rPr>
          <w:color w:val="auto"/>
        </w:rPr>
        <w:t xml:space="preserve"> as a track.</w:t>
      </w:r>
    </w:p>
    <w:p w14:paraId="041953AE" w14:textId="37553D49" w:rsidR="00573625" w:rsidRPr="007A2670" w:rsidRDefault="00573625" w:rsidP="00573625">
      <w:pPr>
        <w:pStyle w:val="Style1"/>
        <w:numPr>
          <w:ilvl w:val="0"/>
          <w:numId w:val="0"/>
        </w:numPr>
        <w:rPr>
          <w:i/>
          <w:iCs/>
          <w:color w:val="auto"/>
        </w:rPr>
      </w:pPr>
      <w:r w:rsidRPr="007A2670">
        <w:rPr>
          <w:i/>
          <w:iCs/>
          <w:color w:val="auto"/>
        </w:rPr>
        <w:t>Greenwoods Map</w:t>
      </w:r>
    </w:p>
    <w:p w14:paraId="5C1CF78E" w14:textId="1277856D" w:rsidR="00573625" w:rsidRPr="007E1AC9" w:rsidRDefault="007E1AC9" w:rsidP="00573625">
      <w:pPr>
        <w:pStyle w:val="Style1"/>
        <w:rPr>
          <w:color w:val="auto"/>
        </w:rPr>
      </w:pPr>
      <w:r w:rsidRPr="007E1AC9">
        <w:rPr>
          <w:color w:val="auto"/>
        </w:rPr>
        <w:t xml:space="preserve">This map is dated </w:t>
      </w:r>
      <w:proofErr w:type="gramStart"/>
      <w:r w:rsidRPr="007E1AC9">
        <w:rPr>
          <w:color w:val="auto"/>
        </w:rPr>
        <w:t>1822</w:t>
      </w:r>
      <w:r w:rsidR="00F20B69">
        <w:rPr>
          <w:color w:val="auto"/>
        </w:rPr>
        <w:t>, and</w:t>
      </w:r>
      <w:proofErr w:type="gramEnd"/>
      <w:r w:rsidR="00F20B69">
        <w:rPr>
          <w:color w:val="auto"/>
        </w:rPr>
        <w:t xml:space="preserve"> depicts the approximate Order route according to the key as a “cross road”.</w:t>
      </w:r>
      <w:r w:rsidR="00FC458E">
        <w:rPr>
          <w:color w:val="auto"/>
        </w:rPr>
        <w:t xml:space="preserve">  </w:t>
      </w:r>
      <w:r w:rsidR="008946DF">
        <w:rPr>
          <w:color w:val="auto"/>
        </w:rPr>
        <w:t xml:space="preserve">The track </w:t>
      </w:r>
      <w:r w:rsidR="00FC458E">
        <w:rPr>
          <w:color w:val="auto"/>
        </w:rPr>
        <w:t>to</w:t>
      </w:r>
      <w:r w:rsidR="009A12E7">
        <w:rPr>
          <w:color w:val="auto"/>
        </w:rPr>
        <w:t xml:space="preserve"> </w:t>
      </w:r>
      <w:proofErr w:type="spellStart"/>
      <w:r w:rsidR="009A12E7">
        <w:rPr>
          <w:color w:val="auto"/>
        </w:rPr>
        <w:t>Easthams</w:t>
      </w:r>
      <w:proofErr w:type="spellEnd"/>
      <w:r w:rsidR="009A12E7">
        <w:rPr>
          <w:color w:val="auto"/>
        </w:rPr>
        <w:t xml:space="preserve"> Farm </w:t>
      </w:r>
      <w:r w:rsidR="008946DF">
        <w:rPr>
          <w:color w:val="auto"/>
        </w:rPr>
        <w:t>is shown in the same way.</w:t>
      </w:r>
      <w:r w:rsidR="0026417B">
        <w:rPr>
          <w:color w:val="auto"/>
        </w:rPr>
        <w:t xml:space="preserve">  The appellant </w:t>
      </w:r>
      <w:r w:rsidR="001E13A3">
        <w:rPr>
          <w:color w:val="auto"/>
        </w:rPr>
        <w:t xml:space="preserve">has </w:t>
      </w:r>
      <w:r w:rsidR="0026417B">
        <w:rPr>
          <w:color w:val="auto"/>
        </w:rPr>
        <w:t>submit</w:t>
      </w:r>
      <w:r w:rsidR="001E13A3">
        <w:rPr>
          <w:color w:val="auto"/>
        </w:rPr>
        <w:t>ted copies of</w:t>
      </w:r>
      <w:r w:rsidR="0026417B">
        <w:rPr>
          <w:color w:val="auto"/>
        </w:rPr>
        <w:t xml:space="preserve"> advertisements </w:t>
      </w:r>
      <w:r w:rsidR="00493B13">
        <w:rPr>
          <w:color w:val="auto"/>
        </w:rPr>
        <w:t xml:space="preserve">for </w:t>
      </w:r>
      <w:r w:rsidR="00134EC3">
        <w:rPr>
          <w:color w:val="auto"/>
        </w:rPr>
        <w:t xml:space="preserve">maps of other English counties produced by C Greenwood, amongst others.  </w:t>
      </w:r>
      <w:r w:rsidR="00322A77">
        <w:rPr>
          <w:color w:val="auto"/>
        </w:rPr>
        <w:t>One of t</w:t>
      </w:r>
      <w:r w:rsidR="008E7997">
        <w:rPr>
          <w:color w:val="auto"/>
        </w:rPr>
        <w:t>hese state</w:t>
      </w:r>
      <w:r w:rsidR="00322A77">
        <w:rPr>
          <w:color w:val="auto"/>
        </w:rPr>
        <w:t>s</w:t>
      </w:r>
      <w:r w:rsidR="008E7997">
        <w:rPr>
          <w:color w:val="auto"/>
        </w:rPr>
        <w:t xml:space="preserve"> that “public and private roads</w:t>
      </w:r>
      <w:proofErr w:type="gramStart"/>
      <w:r w:rsidR="008E7997">
        <w:rPr>
          <w:color w:val="auto"/>
        </w:rPr>
        <w:t>….will</w:t>
      </w:r>
      <w:proofErr w:type="gramEnd"/>
      <w:r w:rsidR="008E7997">
        <w:rPr>
          <w:color w:val="auto"/>
        </w:rPr>
        <w:t xml:space="preserve"> be correctly exhibited”.</w:t>
      </w:r>
    </w:p>
    <w:p w14:paraId="08F86BB2" w14:textId="1AF5BA62" w:rsidR="00F9586A" w:rsidRDefault="00342CF4" w:rsidP="00F4521D">
      <w:pPr>
        <w:pStyle w:val="Style1"/>
        <w:numPr>
          <w:ilvl w:val="0"/>
          <w:numId w:val="0"/>
        </w:numPr>
        <w:rPr>
          <w:i/>
          <w:iCs/>
        </w:rPr>
      </w:pPr>
      <w:r>
        <w:rPr>
          <w:i/>
          <w:iCs/>
        </w:rPr>
        <w:t>Second Quarter Map of the Mano</w:t>
      </w:r>
      <w:r w:rsidR="000C1590">
        <w:rPr>
          <w:i/>
          <w:iCs/>
        </w:rPr>
        <w:t>rial</w:t>
      </w:r>
    </w:p>
    <w:p w14:paraId="0067BF1F" w14:textId="026759C5" w:rsidR="008C299C" w:rsidRDefault="00342CF4" w:rsidP="008C299C">
      <w:pPr>
        <w:pStyle w:val="Style1"/>
      </w:pPr>
      <w:r>
        <w:t xml:space="preserve">This map is dated </w:t>
      </w:r>
      <w:proofErr w:type="gramStart"/>
      <w:r>
        <w:t>1835, and</w:t>
      </w:r>
      <w:proofErr w:type="gramEnd"/>
      <w:r>
        <w:t xml:space="preserve"> is taken from Donne</w:t>
      </w:r>
      <w:r w:rsidR="00A3031D">
        <w:t>’s Survey of 1772.</w:t>
      </w:r>
      <w:r w:rsidR="00821A95">
        <w:t xml:space="preserve">  The Order route is shown</w:t>
      </w:r>
      <w:r w:rsidR="009F4AD3">
        <w:t xml:space="preserve"> uncoloured</w:t>
      </w:r>
      <w:r w:rsidR="00821A95">
        <w:t xml:space="preserve"> between double solid lines </w:t>
      </w:r>
      <w:r w:rsidR="00C01961">
        <w:t xml:space="preserve">and </w:t>
      </w:r>
      <w:proofErr w:type="gramStart"/>
      <w:r w:rsidR="00C01961">
        <w:t>a number of</w:t>
      </w:r>
      <w:proofErr w:type="gramEnd"/>
      <w:r w:rsidR="00C01961">
        <w:t xml:space="preserve"> gates are marked off it.</w:t>
      </w:r>
      <w:r w:rsidR="009F4AD3">
        <w:t xml:space="preserve">  Yeovil Road is coloured yellow.  The map’s</w:t>
      </w:r>
      <w:r w:rsidR="00C01961">
        <w:t xml:space="preserve"> purpose is </w:t>
      </w:r>
      <w:proofErr w:type="gramStart"/>
      <w:r w:rsidR="00EC521B">
        <w:t>unknown</w:t>
      </w:r>
      <w:proofErr w:type="gramEnd"/>
      <w:r w:rsidR="00EC521B">
        <w:t xml:space="preserve"> and it marks Higher </w:t>
      </w:r>
      <w:proofErr w:type="spellStart"/>
      <w:r w:rsidR="00EC521B">
        <w:t>Easthams</w:t>
      </w:r>
      <w:proofErr w:type="spellEnd"/>
      <w:r w:rsidR="00EC521B">
        <w:t xml:space="preserve"> Lane by the name “Fox Ditch Lane”</w:t>
      </w:r>
      <w:r w:rsidR="00A65FFC">
        <w:t xml:space="preserve">, a name which </w:t>
      </w:r>
      <w:r w:rsidR="00A021F3">
        <w:t>is not associated with the Order route</w:t>
      </w:r>
      <w:r w:rsidR="00A65FFC">
        <w:t xml:space="preserve"> in </w:t>
      </w:r>
      <w:r w:rsidR="00F01994">
        <w:t xml:space="preserve">any of </w:t>
      </w:r>
      <w:r w:rsidR="00A65FFC">
        <w:t xml:space="preserve">the other evidence and which </w:t>
      </w:r>
      <w:r w:rsidR="00201EB2">
        <w:t xml:space="preserve">is attributed to a route at a </w:t>
      </w:r>
      <w:r w:rsidR="0043268A">
        <w:t xml:space="preserve">nearby </w:t>
      </w:r>
      <w:r w:rsidR="00201EB2">
        <w:t>different location in OS mapping.</w:t>
      </w:r>
      <w:r w:rsidR="00F21A0F">
        <w:t xml:space="preserve">  </w:t>
      </w:r>
    </w:p>
    <w:p w14:paraId="6C9E33B7" w14:textId="25E979F5" w:rsidR="00924346" w:rsidRDefault="00924346" w:rsidP="00F4521D">
      <w:pPr>
        <w:pStyle w:val="Style1"/>
        <w:numPr>
          <w:ilvl w:val="0"/>
          <w:numId w:val="0"/>
        </w:numPr>
        <w:rPr>
          <w:i/>
          <w:iCs/>
        </w:rPr>
      </w:pPr>
      <w:r>
        <w:rPr>
          <w:i/>
          <w:iCs/>
        </w:rPr>
        <w:t xml:space="preserve">Tithe </w:t>
      </w:r>
      <w:r w:rsidR="00210090">
        <w:rPr>
          <w:i/>
          <w:iCs/>
        </w:rPr>
        <w:t>records</w:t>
      </w:r>
    </w:p>
    <w:p w14:paraId="1776D042" w14:textId="72A40E44" w:rsidR="00A55EA7" w:rsidRPr="00706579" w:rsidRDefault="00706579" w:rsidP="00CE4905">
      <w:pPr>
        <w:pStyle w:val="Style1"/>
        <w:rPr>
          <w:color w:val="auto"/>
        </w:rPr>
      </w:pPr>
      <w:r w:rsidRPr="00706579">
        <w:rPr>
          <w:color w:val="auto"/>
        </w:rPr>
        <w:t xml:space="preserve">Two maps </w:t>
      </w:r>
      <w:r w:rsidR="002C178A">
        <w:rPr>
          <w:color w:val="auto"/>
        </w:rPr>
        <w:t xml:space="preserve">showing land which was subject to the tithe rent-charge </w:t>
      </w:r>
      <w:r w:rsidR="00D74198">
        <w:rPr>
          <w:color w:val="auto"/>
        </w:rPr>
        <w:t xml:space="preserve">include the land crossed by the Order route.  </w:t>
      </w:r>
      <w:r w:rsidR="00B71696">
        <w:rPr>
          <w:color w:val="auto"/>
        </w:rPr>
        <w:t xml:space="preserve">The “Map of the Rectory or District </w:t>
      </w:r>
      <w:r w:rsidR="00BC3EF1">
        <w:rPr>
          <w:color w:val="auto"/>
        </w:rPr>
        <w:t xml:space="preserve">of </w:t>
      </w:r>
      <w:proofErr w:type="spellStart"/>
      <w:r w:rsidR="00BC3EF1">
        <w:rPr>
          <w:color w:val="auto"/>
        </w:rPr>
        <w:t>Easthams</w:t>
      </w:r>
      <w:proofErr w:type="spellEnd"/>
      <w:r w:rsidR="00BC3EF1">
        <w:rPr>
          <w:color w:val="auto"/>
        </w:rPr>
        <w:t xml:space="preserve"> within the Tithing of </w:t>
      </w:r>
      <w:proofErr w:type="spellStart"/>
      <w:r w:rsidR="00BC3EF1">
        <w:rPr>
          <w:color w:val="auto"/>
        </w:rPr>
        <w:t>Easthams</w:t>
      </w:r>
      <w:proofErr w:type="spellEnd"/>
      <w:r w:rsidR="00BC3EF1">
        <w:rPr>
          <w:color w:val="auto"/>
        </w:rPr>
        <w:t xml:space="preserve"> in the Parish of Crewkerne” is dated 1839</w:t>
      </w:r>
      <w:r w:rsidR="005C243C">
        <w:rPr>
          <w:color w:val="auto"/>
        </w:rPr>
        <w:t xml:space="preserve"> (the 1839 Map)</w:t>
      </w:r>
      <w:r w:rsidR="00BC3EF1">
        <w:rPr>
          <w:color w:val="auto"/>
        </w:rPr>
        <w:t xml:space="preserve">.  The </w:t>
      </w:r>
      <w:r w:rsidR="0068711D">
        <w:rPr>
          <w:color w:val="auto"/>
        </w:rPr>
        <w:t xml:space="preserve">“Map of a District comprising all the </w:t>
      </w:r>
      <w:proofErr w:type="spellStart"/>
      <w:r w:rsidR="0068711D">
        <w:rPr>
          <w:color w:val="auto"/>
        </w:rPr>
        <w:t>Titheable</w:t>
      </w:r>
      <w:proofErr w:type="spellEnd"/>
      <w:r w:rsidR="0068711D">
        <w:rPr>
          <w:color w:val="auto"/>
        </w:rPr>
        <w:t xml:space="preserve"> Lands </w:t>
      </w:r>
      <w:r w:rsidR="00970BEA">
        <w:rPr>
          <w:color w:val="auto"/>
        </w:rPr>
        <w:t xml:space="preserve">within the Parish of Crewkerne </w:t>
      </w:r>
      <w:r w:rsidR="00516FE1">
        <w:rPr>
          <w:color w:val="auto"/>
        </w:rPr>
        <w:t>in the County of Somerset” is dated 1844</w:t>
      </w:r>
      <w:r w:rsidR="005C243C">
        <w:rPr>
          <w:color w:val="auto"/>
        </w:rPr>
        <w:t xml:space="preserve"> (the 1844 Map)</w:t>
      </w:r>
      <w:r w:rsidR="00516FE1">
        <w:rPr>
          <w:color w:val="auto"/>
        </w:rPr>
        <w:t>.</w:t>
      </w:r>
    </w:p>
    <w:p w14:paraId="03883EE8" w14:textId="19756EAC" w:rsidR="00CA1763" w:rsidRPr="00CA1763" w:rsidRDefault="00CA1763" w:rsidP="00CA1763">
      <w:pPr>
        <w:pStyle w:val="Style1"/>
        <w:rPr>
          <w:color w:val="0070C0"/>
        </w:rPr>
      </w:pPr>
      <w:r w:rsidRPr="00CA1763">
        <w:rPr>
          <w:color w:val="auto"/>
        </w:rPr>
        <w:t>The 1839 Map shows only section C-D of the Order route, and a short part of section B-C.  The route is shown by double solid lines</w:t>
      </w:r>
      <w:r w:rsidR="0047012B">
        <w:rPr>
          <w:color w:val="auto"/>
        </w:rPr>
        <w:t xml:space="preserve">, </w:t>
      </w:r>
      <w:r w:rsidRPr="00CA1763">
        <w:rPr>
          <w:color w:val="auto"/>
        </w:rPr>
        <w:t>ungated</w:t>
      </w:r>
      <w:r w:rsidR="0047012B">
        <w:rPr>
          <w:color w:val="auto"/>
        </w:rPr>
        <w:t xml:space="preserve"> and with no parcel number</w:t>
      </w:r>
      <w:r w:rsidRPr="00CA1763">
        <w:rPr>
          <w:color w:val="auto"/>
        </w:rPr>
        <w:t xml:space="preserve">.  Whilst the map extract has only limited colouring, it is uncoloured.  It does not appear to form private access to buildings at the modern-day Higher </w:t>
      </w:r>
      <w:proofErr w:type="spellStart"/>
      <w:r w:rsidRPr="00CA1763">
        <w:rPr>
          <w:color w:val="auto"/>
        </w:rPr>
        <w:t>Easthams</w:t>
      </w:r>
      <w:proofErr w:type="spellEnd"/>
      <w:r w:rsidRPr="00CA1763">
        <w:rPr>
          <w:color w:val="auto"/>
        </w:rPr>
        <w:t xml:space="preserve"> Farm and cottages, as a separate track to that property is depicted by double pecked lines running south from Yeovil Road.  Gates into some adjacent fields </w:t>
      </w:r>
      <w:r w:rsidR="00114889">
        <w:rPr>
          <w:color w:val="auto"/>
        </w:rPr>
        <w:t>are</w:t>
      </w:r>
      <w:r w:rsidRPr="00CA1763">
        <w:rPr>
          <w:color w:val="auto"/>
        </w:rPr>
        <w:t xml:space="preserve"> </w:t>
      </w:r>
      <w:r w:rsidRPr="00823F45">
        <w:rPr>
          <w:color w:val="auto"/>
        </w:rPr>
        <w:t xml:space="preserve">marked.  A route along a similar line to public footpath 19/21 is marked, apparently by a single pecked line. </w:t>
      </w:r>
    </w:p>
    <w:p w14:paraId="564EED96" w14:textId="2033F5C8" w:rsidR="00F43A63" w:rsidRPr="00884419" w:rsidRDefault="005C243C" w:rsidP="00F43A63">
      <w:pPr>
        <w:pStyle w:val="Style1"/>
        <w:rPr>
          <w:color w:val="auto"/>
        </w:rPr>
      </w:pPr>
      <w:r w:rsidRPr="00884419">
        <w:rPr>
          <w:color w:val="auto"/>
        </w:rPr>
        <w:t>On the 1844 Map t</w:t>
      </w:r>
      <w:r w:rsidR="001E5EB9" w:rsidRPr="00884419">
        <w:rPr>
          <w:color w:val="auto"/>
        </w:rPr>
        <w:t xml:space="preserve">he Order route </w:t>
      </w:r>
      <w:r w:rsidR="00C9781F" w:rsidRPr="00884419">
        <w:rPr>
          <w:color w:val="auto"/>
        </w:rPr>
        <w:t xml:space="preserve">is </w:t>
      </w:r>
      <w:r w:rsidR="00922A05" w:rsidRPr="00884419">
        <w:rPr>
          <w:color w:val="auto"/>
        </w:rPr>
        <w:t xml:space="preserve">shown enclosed by </w:t>
      </w:r>
      <w:r w:rsidR="00E00344" w:rsidRPr="00884419">
        <w:rPr>
          <w:color w:val="auto"/>
        </w:rPr>
        <w:t>double solid lines,</w:t>
      </w:r>
      <w:r w:rsidR="00B33318" w:rsidRPr="00884419">
        <w:rPr>
          <w:color w:val="auto"/>
        </w:rPr>
        <w:t xml:space="preserve"> ungated,</w:t>
      </w:r>
      <w:r w:rsidR="00E00344" w:rsidRPr="00884419">
        <w:rPr>
          <w:color w:val="auto"/>
        </w:rPr>
        <w:t xml:space="preserve"> </w:t>
      </w:r>
      <w:r w:rsidR="00766BF1" w:rsidRPr="00884419">
        <w:rPr>
          <w:color w:val="auto"/>
        </w:rPr>
        <w:t>and with no parcel number.  It</w:t>
      </w:r>
      <w:r w:rsidR="006045C2" w:rsidRPr="00884419">
        <w:rPr>
          <w:color w:val="auto"/>
        </w:rPr>
        <w:t xml:space="preserve"> appears uncoloured</w:t>
      </w:r>
      <w:r w:rsidR="0005589D" w:rsidRPr="00884419">
        <w:rPr>
          <w:color w:val="auto"/>
        </w:rPr>
        <w:t>, although i</w:t>
      </w:r>
      <w:r w:rsidR="008D49AB" w:rsidRPr="00884419">
        <w:rPr>
          <w:color w:val="auto"/>
        </w:rPr>
        <w:t>t is not possible to discern any colouring on</w:t>
      </w:r>
      <w:r w:rsidR="00A8240B" w:rsidRPr="00884419">
        <w:rPr>
          <w:color w:val="auto"/>
        </w:rPr>
        <w:t xml:space="preserve"> the map </w:t>
      </w:r>
      <w:proofErr w:type="gramStart"/>
      <w:r w:rsidR="00A8240B" w:rsidRPr="00884419">
        <w:rPr>
          <w:color w:val="auto"/>
        </w:rPr>
        <w:t>extract as a whole</w:t>
      </w:r>
      <w:proofErr w:type="gramEnd"/>
      <w:r w:rsidR="006045C2" w:rsidRPr="00884419">
        <w:rPr>
          <w:color w:val="auto"/>
        </w:rPr>
        <w:t>.</w:t>
      </w:r>
      <w:r w:rsidR="00C14E7E" w:rsidRPr="00884419">
        <w:rPr>
          <w:color w:val="auto"/>
        </w:rPr>
        <w:t xml:space="preserve">  The route </w:t>
      </w:r>
      <w:r w:rsidR="00D447ED" w:rsidRPr="00884419">
        <w:rPr>
          <w:color w:val="auto"/>
        </w:rPr>
        <w:t>seems</w:t>
      </w:r>
      <w:r w:rsidR="00C14E7E" w:rsidRPr="00884419">
        <w:rPr>
          <w:color w:val="auto"/>
        </w:rPr>
        <w:t xml:space="preserve"> to provide access to the </w:t>
      </w:r>
      <w:r w:rsidR="00B94D13" w:rsidRPr="00884419">
        <w:rPr>
          <w:color w:val="auto"/>
        </w:rPr>
        <w:t xml:space="preserve">numbered land parcels which lie adjacent to it, due to the apparent presence of gates </w:t>
      </w:r>
      <w:r w:rsidR="00CE4905" w:rsidRPr="00884419">
        <w:rPr>
          <w:color w:val="auto"/>
        </w:rPr>
        <w:t>marked at some points</w:t>
      </w:r>
      <w:r w:rsidR="00F43A63" w:rsidRPr="00884419">
        <w:rPr>
          <w:color w:val="auto"/>
        </w:rPr>
        <w:t xml:space="preserve">.  Two </w:t>
      </w:r>
      <w:r w:rsidR="00884419">
        <w:rPr>
          <w:color w:val="auto"/>
        </w:rPr>
        <w:t xml:space="preserve">similar </w:t>
      </w:r>
      <w:r w:rsidR="00F43A63" w:rsidRPr="00884419">
        <w:rPr>
          <w:color w:val="auto"/>
        </w:rPr>
        <w:t xml:space="preserve">copies of this map are submitted, one of which </w:t>
      </w:r>
      <w:r w:rsidR="00060E78" w:rsidRPr="00884419">
        <w:rPr>
          <w:color w:val="auto"/>
        </w:rPr>
        <w:t xml:space="preserve">is from the National Archives.  </w:t>
      </w:r>
      <w:r w:rsidR="00060E78" w:rsidRPr="00884419">
        <w:rPr>
          <w:color w:val="auto"/>
        </w:rPr>
        <w:lastRenderedPageBreak/>
        <w:t xml:space="preserve">This </w:t>
      </w:r>
      <w:r w:rsidR="002E0423" w:rsidRPr="00884419">
        <w:rPr>
          <w:color w:val="auto"/>
        </w:rPr>
        <w:t xml:space="preserve">copy </w:t>
      </w:r>
      <w:r w:rsidR="00884419">
        <w:rPr>
          <w:color w:val="auto"/>
        </w:rPr>
        <w:t xml:space="preserve">additionally </w:t>
      </w:r>
      <w:r w:rsidR="00870FFA" w:rsidRPr="00884419">
        <w:rPr>
          <w:color w:val="auto"/>
        </w:rPr>
        <w:t>depicts the definitive footpath 33/37</w:t>
      </w:r>
      <w:r w:rsidR="00B15DDE">
        <w:rPr>
          <w:color w:val="auto"/>
        </w:rPr>
        <w:t xml:space="preserve"> </w:t>
      </w:r>
      <w:r w:rsidR="00870FFA" w:rsidRPr="00884419">
        <w:rPr>
          <w:color w:val="auto"/>
        </w:rPr>
        <w:t xml:space="preserve">by a dashed line parallel to a </w:t>
      </w:r>
      <w:r w:rsidR="00043210" w:rsidRPr="00884419">
        <w:rPr>
          <w:color w:val="auto"/>
        </w:rPr>
        <w:t>boundary.</w:t>
      </w:r>
      <w:r w:rsidR="00E33AD9" w:rsidRPr="00884419">
        <w:rPr>
          <w:color w:val="auto"/>
        </w:rPr>
        <w:t xml:space="preserve"> </w:t>
      </w:r>
    </w:p>
    <w:p w14:paraId="4B863082" w14:textId="0F7F5DDF" w:rsidR="00F545D5" w:rsidRDefault="00F545D5" w:rsidP="005A3505">
      <w:pPr>
        <w:pStyle w:val="Style1"/>
        <w:numPr>
          <w:ilvl w:val="0"/>
          <w:numId w:val="0"/>
        </w:numPr>
        <w:rPr>
          <w:i/>
          <w:iCs/>
          <w:color w:val="auto"/>
        </w:rPr>
      </w:pPr>
      <w:r>
        <w:rPr>
          <w:i/>
          <w:iCs/>
          <w:color w:val="auto"/>
        </w:rPr>
        <w:t xml:space="preserve">Estate Map </w:t>
      </w:r>
    </w:p>
    <w:p w14:paraId="5B0FE1F6" w14:textId="07708082" w:rsidR="002105EE" w:rsidRPr="004F3885" w:rsidRDefault="00D41ECC" w:rsidP="004F3885">
      <w:pPr>
        <w:pStyle w:val="Style1"/>
        <w:rPr>
          <w:i/>
          <w:iCs/>
          <w:color w:val="auto"/>
        </w:rPr>
      </w:pPr>
      <w:r>
        <w:rPr>
          <w:color w:val="auto"/>
        </w:rPr>
        <w:t xml:space="preserve">The Map of an Estate (Property of Mrs </w:t>
      </w:r>
      <w:proofErr w:type="spellStart"/>
      <w:r>
        <w:rPr>
          <w:color w:val="auto"/>
        </w:rPr>
        <w:t>Donisthorpe</w:t>
      </w:r>
      <w:proofErr w:type="spellEnd"/>
      <w:r>
        <w:rPr>
          <w:color w:val="auto"/>
        </w:rPr>
        <w:t xml:space="preserve">) is dated 1846.  </w:t>
      </w:r>
      <w:r w:rsidR="009C13EF">
        <w:rPr>
          <w:color w:val="auto"/>
        </w:rPr>
        <w:t>It shows the route between double solid lines</w:t>
      </w:r>
      <w:r w:rsidR="008B468E">
        <w:rPr>
          <w:color w:val="auto"/>
        </w:rPr>
        <w:t>, ungated and apparently coloured in a similar tone to Yeovil Road.</w:t>
      </w:r>
      <w:r w:rsidR="00E418DB">
        <w:rPr>
          <w:color w:val="auto"/>
        </w:rPr>
        <w:t xml:space="preserve">  Gates appear to lie off the route at some points.</w:t>
      </w:r>
      <w:r w:rsidR="00324E92">
        <w:rPr>
          <w:color w:val="auto"/>
        </w:rPr>
        <w:t xml:space="preserve">  The</w:t>
      </w:r>
      <w:r w:rsidR="00E718DB">
        <w:rPr>
          <w:color w:val="auto"/>
        </w:rPr>
        <w:t xml:space="preserve"> start of the</w:t>
      </w:r>
      <w:r w:rsidR="00324E92">
        <w:rPr>
          <w:color w:val="auto"/>
        </w:rPr>
        <w:t xml:space="preserve"> track to </w:t>
      </w:r>
      <w:proofErr w:type="spellStart"/>
      <w:r w:rsidR="00324E92">
        <w:rPr>
          <w:color w:val="auto"/>
        </w:rPr>
        <w:t>Easthams</w:t>
      </w:r>
      <w:proofErr w:type="spellEnd"/>
      <w:r w:rsidR="00324E92">
        <w:rPr>
          <w:color w:val="auto"/>
        </w:rPr>
        <w:t xml:space="preserve"> Farm and </w:t>
      </w:r>
      <w:r w:rsidR="00E718DB">
        <w:rPr>
          <w:color w:val="auto"/>
        </w:rPr>
        <w:t>public footpath 19/27</w:t>
      </w:r>
      <w:r w:rsidR="004F3885">
        <w:rPr>
          <w:color w:val="auto"/>
        </w:rPr>
        <w:t xml:space="preserve"> is shown gated where it leaves the Order route</w:t>
      </w:r>
      <w:r w:rsidR="00933A52">
        <w:rPr>
          <w:color w:val="auto"/>
        </w:rPr>
        <w:t xml:space="preserve">.  According to the key the route is a road, which is the only type of route </w:t>
      </w:r>
      <w:r w:rsidR="008A30A4">
        <w:rPr>
          <w:color w:val="auto"/>
        </w:rPr>
        <w:t>depicted</w:t>
      </w:r>
      <w:r w:rsidR="00933A52">
        <w:rPr>
          <w:color w:val="auto"/>
        </w:rPr>
        <w:t xml:space="preserve"> in the key.</w:t>
      </w:r>
    </w:p>
    <w:p w14:paraId="383C1379" w14:textId="5CDCE7E2" w:rsidR="004A44E2" w:rsidRPr="00AD5F10" w:rsidRDefault="004A44E2" w:rsidP="00F4521D">
      <w:pPr>
        <w:pStyle w:val="Style1"/>
        <w:numPr>
          <w:ilvl w:val="0"/>
          <w:numId w:val="0"/>
        </w:numPr>
      </w:pPr>
      <w:r>
        <w:rPr>
          <w:i/>
          <w:iCs/>
        </w:rPr>
        <w:t xml:space="preserve">Highway </w:t>
      </w:r>
      <w:r w:rsidR="003463B8">
        <w:rPr>
          <w:i/>
          <w:iCs/>
        </w:rPr>
        <w:t>District</w:t>
      </w:r>
      <w:r>
        <w:rPr>
          <w:i/>
          <w:iCs/>
        </w:rPr>
        <w:t xml:space="preserve"> Map</w:t>
      </w:r>
      <w:r w:rsidR="00AD5F10">
        <w:rPr>
          <w:i/>
          <w:iCs/>
        </w:rPr>
        <w:t xml:space="preserve"> </w:t>
      </w:r>
    </w:p>
    <w:p w14:paraId="3023C352" w14:textId="17A7CB00" w:rsidR="00904EC0" w:rsidRPr="00904EC0" w:rsidRDefault="00AD5F10" w:rsidP="004A44E2">
      <w:pPr>
        <w:pStyle w:val="Style1"/>
      </w:pPr>
      <w:r>
        <w:rPr>
          <w:color w:val="auto"/>
        </w:rPr>
        <w:t>This map is dated 1862</w:t>
      </w:r>
      <w:r w:rsidR="00826426">
        <w:rPr>
          <w:color w:val="auto"/>
        </w:rPr>
        <w:t xml:space="preserve">.  </w:t>
      </w:r>
      <w:r w:rsidR="000177B7">
        <w:rPr>
          <w:color w:val="auto"/>
        </w:rPr>
        <w:t>The Order route is shown enclosed by double solid lines and appears uncoloured</w:t>
      </w:r>
      <w:r w:rsidR="00CB5648">
        <w:rPr>
          <w:color w:val="auto"/>
        </w:rPr>
        <w:t>.</w:t>
      </w:r>
      <w:r w:rsidR="00DD186A">
        <w:rPr>
          <w:color w:val="auto"/>
        </w:rPr>
        <w:t xml:space="preserve">  Routes which are now </w:t>
      </w:r>
      <w:r w:rsidR="00CF29D1">
        <w:rPr>
          <w:color w:val="auto"/>
        </w:rPr>
        <w:t>carriageway such as Yeovil Road</w:t>
      </w:r>
      <w:r w:rsidR="00B1023E">
        <w:rPr>
          <w:color w:val="auto"/>
        </w:rPr>
        <w:t xml:space="preserve"> </w:t>
      </w:r>
      <w:r w:rsidR="001E60C8">
        <w:rPr>
          <w:color w:val="auto"/>
        </w:rPr>
        <w:t xml:space="preserve">are coloured orange or red.  </w:t>
      </w:r>
      <w:r w:rsidR="00EB553F">
        <w:rPr>
          <w:color w:val="auto"/>
        </w:rPr>
        <w:t xml:space="preserve">The “slip road” </w:t>
      </w:r>
      <w:r w:rsidR="005407ED">
        <w:rPr>
          <w:color w:val="auto"/>
        </w:rPr>
        <w:t xml:space="preserve">from which Higher </w:t>
      </w:r>
      <w:proofErr w:type="spellStart"/>
      <w:r w:rsidR="005407ED">
        <w:rPr>
          <w:color w:val="auto"/>
        </w:rPr>
        <w:t>Easthams</w:t>
      </w:r>
      <w:proofErr w:type="spellEnd"/>
      <w:r w:rsidR="005407ED">
        <w:rPr>
          <w:color w:val="auto"/>
        </w:rPr>
        <w:t xml:space="preserve"> Lane travels south is marked A and B at its </w:t>
      </w:r>
      <w:proofErr w:type="gramStart"/>
      <w:r w:rsidR="005407ED">
        <w:rPr>
          <w:color w:val="auto"/>
        </w:rPr>
        <w:t>ends</w:t>
      </w:r>
      <w:r w:rsidR="009617AA">
        <w:rPr>
          <w:color w:val="auto"/>
        </w:rPr>
        <w:t>, and</w:t>
      </w:r>
      <w:proofErr w:type="gramEnd"/>
      <w:r w:rsidR="009617AA">
        <w:rPr>
          <w:color w:val="auto"/>
        </w:rPr>
        <w:t xml:space="preserve"> appears coloured grey</w:t>
      </w:r>
      <w:r w:rsidR="005407ED">
        <w:rPr>
          <w:color w:val="auto"/>
        </w:rPr>
        <w:t>.</w:t>
      </w:r>
      <w:r w:rsidR="00B05AFA">
        <w:rPr>
          <w:color w:val="auto"/>
        </w:rPr>
        <w:t xml:space="preserve">  The Order route is </w:t>
      </w:r>
      <w:r w:rsidR="00575719">
        <w:rPr>
          <w:color w:val="auto"/>
        </w:rPr>
        <w:t>not recorded as liable to be maintained by the Highway Board.</w:t>
      </w:r>
      <w:r w:rsidR="00904EC0">
        <w:rPr>
          <w:color w:val="auto"/>
        </w:rPr>
        <w:t xml:space="preserve">  </w:t>
      </w:r>
    </w:p>
    <w:p w14:paraId="6E4BF096" w14:textId="36F553A3" w:rsidR="004A44E2" w:rsidRPr="007C540C" w:rsidRDefault="002E6FBA" w:rsidP="004A44E2">
      <w:pPr>
        <w:pStyle w:val="Style1"/>
      </w:pPr>
      <w:r>
        <w:rPr>
          <w:color w:val="auto"/>
        </w:rPr>
        <w:t xml:space="preserve">Some </w:t>
      </w:r>
      <w:r w:rsidR="00904EC0">
        <w:rPr>
          <w:color w:val="auto"/>
        </w:rPr>
        <w:t>routes recorded in the DM&amp;S as public footpaths such as 19/27, 19/29 and 33/37 are not depicted</w:t>
      </w:r>
      <w:r>
        <w:rPr>
          <w:color w:val="auto"/>
        </w:rPr>
        <w:t>, whilst other definitive public rights of way are</w:t>
      </w:r>
      <w:r w:rsidR="00904EC0">
        <w:rPr>
          <w:color w:val="auto"/>
        </w:rPr>
        <w:t xml:space="preserve">.  </w:t>
      </w:r>
      <w:r w:rsidR="00F20817">
        <w:rPr>
          <w:color w:val="auto"/>
        </w:rPr>
        <w:t xml:space="preserve">Dashes </w:t>
      </w:r>
      <w:r w:rsidR="003C1145">
        <w:rPr>
          <w:color w:val="auto"/>
        </w:rPr>
        <w:t>adjacent to the route</w:t>
      </w:r>
      <w:r w:rsidR="0065079E">
        <w:rPr>
          <w:color w:val="auto"/>
        </w:rPr>
        <w:t xml:space="preserve"> correspond </w:t>
      </w:r>
      <w:r w:rsidR="003C1145">
        <w:rPr>
          <w:color w:val="auto"/>
        </w:rPr>
        <w:t xml:space="preserve">approximately </w:t>
      </w:r>
      <w:r w:rsidR="0065079E">
        <w:rPr>
          <w:color w:val="auto"/>
        </w:rPr>
        <w:t>with</w:t>
      </w:r>
      <w:r w:rsidR="003C1145">
        <w:rPr>
          <w:color w:val="auto"/>
        </w:rPr>
        <w:t xml:space="preserve"> the locations of</w:t>
      </w:r>
      <w:r w:rsidR="0065079E">
        <w:rPr>
          <w:color w:val="auto"/>
        </w:rPr>
        <w:t xml:space="preserve"> some of the gates marked on the Tithe maps.</w:t>
      </w:r>
    </w:p>
    <w:p w14:paraId="50DF92A8" w14:textId="31C310B1" w:rsidR="007C540C" w:rsidRPr="007C540C" w:rsidRDefault="007C540C" w:rsidP="007C540C">
      <w:pPr>
        <w:pStyle w:val="Style1"/>
        <w:numPr>
          <w:ilvl w:val="0"/>
          <w:numId w:val="0"/>
        </w:numPr>
        <w:rPr>
          <w:i/>
          <w:iCs/>
          <w:color w:val="auto"/>
        </w:rPr>
      </w:pPr>
      <w:r w:rsidRPr="007C540C">
        <w:rPr>
          <w:i/>
          <w:iCs/>
          <w:color w:val="auto"/>
        </w:rPr>
        <w:t>Highway</w:t>
      </w:r>
      <w:r w:rsidR="00950C31">
        <w:rPr>
          <w:i/>
          <w:iCs/>
          <w:color w:val="auto"/>
        </w:rPr>
        <w:t xml:space="preserve"> Board Map</w:t>
      </w:r>
      <w:r w:rsidR="004C7FD5">
        <w:rPr>
          <w:i/>
          <w:iCs/>
          <w:color w:val="auto"/>
        </w:rPr>
        <w:t xml:space="preserve"> </w:t>
      </w:r>
    </w:p>
    <w:p w14:paraId="0AA5CA6E" w14:textId="1E538BA1" w:rsidR="007C540C" w:rsidRPr="00B21952" w:rsidRDefault="007C540C" w:rsidP="007C540C">
      <w:pPr>
        <w:pStyle w:val="Style1"/>
      </w:pPr>
      <w:r>
        <w:rPr>
          <w:color w:val="auto"/>
        </w:rPr>
        <w:t>Th</w:t>
      </w:r>
      <w:r w:rsidR="00950C31">
        <w:rPr>
          <w:color w:val="auto"/>
        </w:rPr>
        <w:t xml:space="preserve">is 1862 map shows Yeovil Road coloured orange, </w:t>
      </w:r>
      <w:r w:rsidR="00B13745">
        <w:rPr>
          <w:color w:val="auto"/>
        </w:rPr>
        <w:t>the “slip road” in red and the Order route by a pale blue or green colouring.  The</w:t>
      </w:r>
      <w:r>
        <w:rPr>
          <w:color w:val="auto"/>
        </w:rPr>
        <w:t xml:space="preserve"> key states that “parish roads” are coloured red, “turnpike roads” in orange, “occupation roads” in green and “church paths” in yellow.</w:t>
      </w:r>
      <w:r w:rsidR="00A04134">
        <w:rPr>
          <w:color w:val="auto"/>
        </w:rPr>
        <w:t xml:space="preserve">  Dashes are marked adjacent to the route.</w:t>
      </w:r>
    </w:p>
    <w:p w14:paraId="06206015" w14:textId="5C3747D6" w:rsidR="00B21952" w:rsidRDefault="005553A1" w:rsidP="00B21952">
      <w:pPr>
        <w:pStyle w:val="Style1"/>
        <w:numPr>
          <w:ilvl w:val="0"/>
          <w:numId w:val="0"/>
        </w:numPr>
        <w:rPr>
          <w:i/>
          <w:iCs/>
          <w:color w:val="auto"/>
        </w:rPr>
      </w:pPr>
      <w:r>
        <w:rPr>
          <w:i/>
          <w:iCs/>
          <w:color w:val="auto"/>
        </w:rPr>
        <w:t xml:space="preserve">Highways Board Minute Books </w:t>
      </w:r>
    </w:p>
    <w:p w14:paraId="4FCBCD35" w14:textId="58232076" w:rsidR="005553A1" w:rsidRDefault="00CD774F" w:rsidP="005553A1">
      <w:pPr>
        <w:pStyle w:val="Style1"/>
      </w:pPr>
      <w:r>
        <w:t xml:space="preserve">The </w:t>
      </w:r>
      <w:r w:rsidR="00D554D0">
        <w:t xml:space="preserve">1873 </w:t>
      </w:r>
      <w:r>
        <w:t>e</w:t>
      </w:r>
      <w:r w:rsidR="005553A1">
        <w:t>xtract</w:t>
      </w:r>
      <w:r>
        <w:t xml:space="preserve"> concerning </w:t>
      </w:r>
      <w:r w:rsidR="00B75CD1">
        <w:t>Eastham’s Farm is l</w:t>
      </w:r>
      <w:r w:rsidR="005553A1">
        <w:t xml:space="preserve">ocationally </w:t>
      </w:r>
      <w:r w:rsidR="00B75CD1">
        <w:t>imprecise</w:t>
      </w:r>
      <w:r w:rsidR="005553A1">
        <w:t xml:space="preserve"> </w:t>
      </w:r>
      <w:r w:rsidR="001312FF">
        <w:t>and therefore</w:t>
      </w:r>
      <w:r w:rsidR="00B75CD1">
        <w:t xml:space="preserve"> it is not possible to say with sufficient certainty that it relates to the Order route</w:t>
      </w:r>
      <w:r w:rsidR="001312FF">
        <w:t>.</w:t>
      </w:r>
    </w:p>
    <w:p w14:paraId="0EB2CC7E" w14:textId="12EEBC0B" w:rsidR="00B75CD1" w:rsidRDefault="00B75CD1" w:rsidP="005553A1">
      <w:pPr>
        <w:pStyle w:val="Style1"/>
      </w:pPr>
      <w:r>
        <w:t xml:space="preserve">The </w:t>
      </w:r>
      <w:r w:rsidR="00D554D0">
        <w:t xml:space="preserve">1883 </w:t>
      </w:r>
      <w:r>
        <w:t xml:space="preserve">extract concerning Higher Eastham’s Farm </w:t>
      </w:r>
      <w:r w:rsidR="003B6F3B">
        <w:t>concerns “the condition of the roads near” the house.</w:t>
      </w:r>
      <w:r w:rsidR="00EA54A0">
        <w:t xml:space="preserve">  The authority’s surveyor is recorded as having assisted in their repair.</w:t>
      </w:r>
    </w:p>
    <w:p w14:paraId="569B8658" w14:textId="10A21DB9" w:rsidR="00700BFC" w:rsidRDefault="00126DBE" w:rsidP="00700BFC">
      <w:pPr>
        <w:pStyle w:val="Style1"/>
        <w:numPr>
          <w:ilvl w:val="0"/>
          <w:numId w:val="0"/>
        </w:numPr>
        <w:rPr>
          <w:i/>
          <w:iCs/>
        </w:rPr>
      </w:pPr>
      <w:r w:rsidRPr="00126DBE">
        <w:rPr>
          <w:i/>
          <w:iCs/>
        </w:rPr>
        <w:t>Exchange of Lands Agreements</w:t>
      </w:r>
    </w:p>
    <w:p w14:paraId="365AEF8A" w14:textId="54921E0A" w:rsidR="00126DBE" w:rsidRPr="00F23816" w:rsidRDefault="00F23816" w:rsidP="00F23816">
      <w:pPr>
        <w:pStyle w:val="Style1"/>
      </w:pPr>
      <w:r>
        <w:t>These documents concern</w:t>
      </w:r>
      <w:r w:rsidR="00053AEA">
        <w:t xml:space="preserve"> exchanges of land carried out in </w:t>
      </w:r>
      <w:r w:rsidR="00261F25">
        <w:t>1871 and 1880.</w:t>
      </w:r>
      <w:r w:rsidR="00DF7E5C">
        <w:t xml:space="preserve">  Both documents show the Order route between ungated double solid lines and coloured </w:t>
      </w:r>
      <w:r w:rsidR="00706FBF">
        <w:t xml:space="preserve">sienna </w:t>
      </w:r>
      <w:r w:rsidR="00853B56">
        <w:t>in the same way as Yeovil Road.</w:t>
      </w:r>
      <w:r w:rsidR="0007323C">
        <w:t xml:space="preserve">  </w:t>
      </w:r>
    </w:p>
    <w:p w14:paraId="06738FB4" w14:textId="124356C2" w:rsidR="00C44E5A" w:rsidRDefault="00FA0FE5" w:rsidP="00C344B6">
      <w:pPr>
        <w:pStyle w:val="Style1"/>
        <w:numPr>
          <w:ilvl w:val="0"/>
          <w:numId w:val="0"/>
        </w:numPr>
        <w:rPr>
          <w:i/>
          <w:iCs/>
          <w:color w:val="auto"/>
        </w:rPr>
      </w:pPr>
      <w:r>
        <w:rPr>
          <w:i/>
          <w:iCs/>
          <w:color w:val="auto"/>
        </w:rPr>
        <w:t xml:space="preserve">Crewkerne Urban District Council </w:t>
      </w:r>
      <w:r w:rsidR="00C44E5A">
        <w:rPr>
          <w:i/>
          <w:iCs/>
          <w:color w:val="auto"/>
        </w:rPr>
        <w:t>Highways Committee Minute Book</w:t>
      </w:r>
    </w:p>
    <w:p w14:paraId="296892F6" w14:textId="14297FFC" w:rsidR="00C44E5A" w:rsidRPr="00C44E5A" w:rsidRDefault="009745A2" w:rsidP="00C44E5A">
      <w:pPr>
        <w:pStyle w:val="Style1"/>
        <w:rPr>
          <w:color w:val="auto"/>
        </w:rPr>
      </w:pPr>
      <w:r>
        <w:rPr>
          <w:color w:val="auto"/>
        </w:rPr>
        <w:t xml:space="preserve">Minutes of a meeting held in 1895 record a resolution to seek legal advice on the matter of whether the Council was liable to </w:t>
      </w:r>
      <w:r w:rsidR="006213DF">
        <w:rPr>
          <w:color w:val="auto"/>
        </w:rPr>
        <w:t>repair occupation lanes.</w:t>
      </w:r>
      <w:r w:rsidR="00A063AB">
        <w:rPr>
          <w:color w:val="auto"/>
        </w:rPr>
        <w:t xml:space="preserve">  A</w:t>
      </w:r>
      <w:r w:rsidR="004431E8">
        <w:rPr>
          <w:color w:val="auto"/>
        </w:rPr>
        <w:t xml:space="preserve"> subsequent legal Opinion</w:t>
      </w:r>
      <w:r w:rsidR="00F52E00">
        <w:rPr>
          <w:color w:val="auto"/>
        </w:rPr>
        <w:t xml:space="preserve"> s</w:t>
      </w:r>
      <w:r w:rsidR="008D0D03">
        <w:rPr>
          <w:color w:val="auto"/>
        </w:rPr>
        <w:t>tates</w:t>
      </w:r>
      <w:r w:rsidR="00F52E00">
        <w:rPr>
          <w:color w:val="auto"/>
        </w:rPr>
        <w:t xml:space="preserve"> that an occupation lane </w:t>
      </w:r>
      <w:r w:rsidR="00F05653">
        <w:rPr>
          <w:color w:val="auto"/>
        </w:rPr>
        <w:t>was</w:t>
      </w:r>
      <w:r w:rsidR="00F52E00">
        <w:rPr>
          <w:color w:val="auto"/>
        </w:rPr>
        <w:t xml:space="preserve"> a way formed for the convenience of the owners of land </w:t>
      </w:r>
      <w:r w:rsidR="00F05653">
        <w:rPr>
          <w:color w:val="auto"/>
        </w:rPr>
        <w:t>which was not publicly repairable.</w:t>
      </w:r>
      <w:r w:rsidR="00005405">
        <w:rPr>
          <w:color w:val="auto"/>
        </w:rPr>
        <w:t xml:space="preserve">  It </w:t>
      </w:r>
      <w:r w:rsidR="008D0D03">
        <w:rPr>
          <w:color w:val="auto"/>
        </w:rPr>
        <w:t>then</w:t>
      </w:r>
      <w:r w:rsidR="00005405">
        <w:rPr>
          <w:color w:val="auto"/>
        </w:rPr>
        <w:t xml:space="preserve"> </w:t>
      </w:r>
      <w:r w:rsidR="008D0D03">
        <w:rPr>
          <w:color w:val="auto"/>
        </w:rPr>
        <w:t>sets out the circumstances in which an occupation lane may become a highway.</w:t>
      </w:r>
    </w:p>
    <w:p w14:paraId="1E01793B" w14:textId="217451D1" w:rsidR="00C344B6" w:rsidRDefault="00C344B6" w:rsidP="00C344B6">
      <w:pPr>
        <w:pStyle w:val="Style1"/>
        <w:numPr>
          <w:ilvl w:val="0"/>
          <w:numId w:val="0"/>
        </w:numPr>
        <w:rPr>
          <w:i/>
          <w:iCs/>
          <w:color w:val="auto"/>
        </w:rPr>
      </w:pPr>
      <w:r w:rsidRPr="002815B7">
        <w:rPr>
          <w:i/>
          <w:iCs/>
          <w:color w:val="auto"/>
        </w:rPr>
        <w:lastRenderedPageBreak/>
        <w:t>Ordnance Survey Name Book</w:t>
      </w:r>
    </w:p>
    <w:p w14:paraId="1D8A0650" w14:textId="34BD9715" w:rsidR="0015001B" w:rsidRDefault="00C344B6" w:rsidP="00C344B6">
      <w:pPr>
        <w:pStyle w:val="Style1"/>
        <w:rPr>
          <w:color w:val="auto"/>
        </w:rPr>
      </w:pPr>
      <w:r w:rsidRPr="00041572">
        <w:rPr>
          <w:color w:val="auto"/>
        </w:rPr>
        <w:t>This is dated 1901</w:t>
      </w:r>
      <w:r>
        <w:rPr>
          <w:color w:val="auto"/>
        </w:rPr>
        <w:t>.</w:t>
      </w:r>
      <w:r w:rsidR="00940687">
        <w:rPr>
          <w:color w:val="auto"/>
        </w:rPr>
        <w:t xml:space="preserve">  The Crewkerne Urban District Council Surveyor</w:t>
      </w:r>
      <w:r w:rsidR="00C806D7">
        <w:rPr>
          <w:color w:val="auto"/>
        </w:rPr>
        <w:t xml:space="preserve"> provided the authority for the descriptions</w:t>
      </w:r>
      <w:r w:rsidR="00940687">
        <w:rPr>
          <w:color w:val="auto"/>
        </w:rPr>
        <w:t>.</w:t>
      </w:r>
      <w:r>
        <w:rPr>
          <w:color w:val="auto"/>
        </w:rPr>
        <w:t xml:space="preserve">  </w:t>
      </w:r>
    </w:p>
    <w:p w14:paraId="149C558C" w14:textId="285344FA" w:rsidR="00C344B6" w:rsidRDefault="00C344B6" w:rsidP="00C344B6">
      <w:pPr>
        <w:pStyle w:val="Style1"/>
        <w:rPr>
          <w:color w:val="auto"/>
        </w:rPr>
      </w:pPr>
      <w:r>
        <w:rPr>
          <w:color w:val="auto"/>
        </w:rPr>
        <w:t xml:space="preserve">The authority for the recorded modes of spelling is listed as “Form 230 attached” for Butts Quarry Lane.  The </w:t>
      </w:r>
      <w:r w:rsidR="00F83368">
        <w:rPr>
          <w:color w:val="auto"/>
        </w:rPr>
        <w:t>lane</w:t>
      </w:r>
      <w:r>
        <w:rPr>
          <w:color w:val="auto"/>
        </w:rPr>
        <w:t xml:space="preserve"> is described as “a road extending from Yeovil Road to Higher </w:t>
      </w:r>
      <w:proofErr w:type="spellStart"/>
      <w:r>
        <w:rPr>
          <w:color w:val="auto"/>
        </w:rPr>
        <w:t>Easthams</w:t>
      </w:r>
      <w:proofErr w:type="spellEnd"/>
      <w:r>
        <w:rPr>
          <w:color w:val="auto"/>
        </w:rPr>
        <w:t xml:space="preserve"> Lane”.</w:t>
      </w:r>
    </w:p>
    <w:p w14:paraId="63EF790E" w14:textId="391D5D5D" w:rsidR="00F83368" w:rsidRDefault="00821551" w:rsidP="00C344B6">
      <w:pPr>
        <w:pStyle w:val="Style1"/>
        <w:rPr>
          <w:color w:val="auto"/>
        </w:rPr>
      </w:pPr>
      <w:r>
        <w:rPr>
          <w:color w:val="auto"/>
        </w:rPr>
        <w:t xml:space="preserve">The authority for the spelling of Higher </w:t>
      </w:r>
      <w:proofErr w:type="spellStart"/>
      <w:r>
        <w:rPr>
          <w:color w:val="auto"/>
        </w:rPr>
        <w:t>Easthams</w:t>
      </w:r>
      <w:proofErr w:type="spellEnd"/>
      <w:r>
        <w:rPr>
          <w:color w:val="auto"/>
        </w:rPr>
        <w:t xml:space="preserve"> Lane is also recorded as “Form 230 attached”.  The lane is described as </w:t>
      </w:r>
      <w:r w:rsidR="005B4538">
        <w:rPr>
          <w:color w:val="auto"/>
        </w:rPr>
        <w:t xml:space="preserve">“a road extending from junction </w:t>
      </w:r>
      <w:r w:rsidR="00D00981">
        <w:rPr>
          <w:color w:val="auto"/>
        </w:rPr>
        <w:t>of roads a short distance N.W. of Lower Eastham</w:t>
      </w:r>
      <w:r w:rsidR="00A54917">
        <w:rPr>
          <w:color w:val="auto"/>
        </w:rPr>
        <w:t>’</w:t>
      </w:r>
      <w:r w:rsidR="00D00981">
        <w:rPr>
          <w:color w:val="auto"/>
        </w:rPr>
        <w:t>s</w:t>
      </w:r>
      <w:r w:rsidR="00A54917">
        <w:rPr>
          <w:color w:val="auto"/>
        </w:rPr>
        <w:t xml:space="preserve"> Farm</w:t>
      </w:r>
      <w:r w:rsidR="00D00981">
        <w:rPr>
          <w:color w:val="auto"/>
        </w:rPr>
        <w:t xml:space="preserve"> </w:t>
      </w:r>
      <w:r w:rsidR="00D3171D">
        <w:rPr>
          <w:color w:val="auto"/>
        </w:rPr>
        <w:t xml:space="preserve">to </w:t>
      </w:r>
      <w:r w:rsidR="00E70947">
        <w:rPr>
          <w:color w:val="auto"/>
        </w:rPr>
        <w:t xml:space="preserve">a </w:t>
      </w:r>
      <w:r w:rsidR="00DB7F5C">
        <w:rPr>
          <w:color w:val="auto"/>
        </w:rPr>
        <w:t xml:space="preserve">sharp turn </w:t>
      </w:r>
      <w:r w:rsidR="00E70947">
        <w:rPr>
          <w:color w:val="auto"/>
        </w:rPr>
        <w:t>westward where it joins Butts Quarry</w:t>
      </w:r>
      <w:r w:rsidR="00D3171D">
        <w:rPr>
          <w:color w:val="auto"/>
        </w:rPr>
        <w:t>”</w:t>
      </w:r>
      <w:r w:rsidR="00E70947">
        <w:rPr>
          <w:color w:val="auto"/>
        </w:rPr>
        <w:t>.</w:t>
      </w:r>
    </w:p>
    <w:p w14:paraId="456793F3" w14:textId="69D3ABF2" w:rsidR="00DC6B71" w:rsidRDefault="00F81954" w:rsidP="00C344B6">
      <w:pPr>
        <w:pStyle w:val="Style1"/>
        <w:rPr>
          <w:color w:val="auto"/>
        </w:rPr>
      </w:pPr>
      <w:r>
        <w:rPr>
          <w:color w:val="auto"/>
        </w:rPr>
        <w:t xml:space="preserve">Descriptions used for routes recorded in the Name Book include </w:t>
      </w:r>
      <w:r w:rsidR="00C45380">
        <w:rPr>
          <w:color w:val="auto"/>
        </w:rPr>
        <w:t>Public Road, Road, Occupation Road, District Road, Footpath and Private Road</w:t>
      </w:r>
      <w:r w:rsidR="0017531F">
        <w:rPr>
          <w:color w:val="auto"/>
        </w:rPr>
        <w:t xml:space="preserve">.  </w:t>
      </w:r>
      <w:r w:rsidR="00650B33">
        <w:rPr>
          <w:color w:val="auto"/>
        </w:rPr>
        <w:t xml:space="preserve">Whilst </w:t>
      </w:r>
      <w:r w:rsidR="00C94250">
        <w:rPr>
          <w:color w:val="auto"/>
        </w:rPr>
        <w:t>many of the routes described are modern-day carriageway</w:t>
      </w:r>
      <w:r w:rsidR="008C25FF">
        <w:rPr>
          <w:color w:val="auto"/>
        </w:rPr>
        <w:t>s</w:t>
      </w:r>
      <w:r w:rsidR="00C94250">
        <w:rPr>
          <w:color w:val="auto"/>
        </w:rPr>
        <w:t xml:space="preserve">, a number are </w:t>
      </w:r>
      <w:r w:rsidR="0097656E">
        <w:rPr>
          <w:color w:val="auto"/>
        </w:rPr>
        <w:t>currently recorded as public footpaths.</w:t>
      </w:r>
      <w:r w:rsidR="00C45380">
        <w:rPr>
          <w:color w:val="auto"/>
        </w:rPr>
        <w:t xml:space="preserve"> </w:t>
      </w:r>
    </w:p>
    <w:p w14:paraId="16F2D679" w14:textId="4CA02F1C" w:rsidR="00F4521D" w:rsidRDefault="00F95345" w:rsidP="00F4521D">
      <w:pPr>
        <w:pStyle w:val="Style1"/>
        <w:numPr>
          <w:ilvl w:val="0"/>
          <w:numId w:val="0"/>
        </w:numPr>
        <w:rPr>
          <w:i/>
          <w:iCs/>
        </w:rPr>
      </w:pPr>
      <w:r w:rsidRPr="00F95345">
        <w:rPr>
          <w:i/>
          <w:iCs/>
        </w:rPr>
        <w:t>Finance Act 1910 records</w:t>
      </w:r>
    </w:p>
    <w:p w14:paraId="55C249E5" w14:textId="1F18AD80" w:rsidR="00A85505" w:rsidRPr="00A4265A" w:rsidRDefault="00433D88" w:rsidP="00F95345">
      <w:pPr>
        <w:pStyle w:val="Style1"/>
        <w:rPr>
          <w:color w:val="0070C0"/>
        </w:rPr>
      </w:pPr>
      <w:r>
        <w:rPr>
          <w:color w:val="auto"/>
        </w:rPr>
        <w:t xml:space="preserve">On the map </w:t>
      </w:r>
      <w:r w:rsidR="006C169F">
        <w:rPr>
          <w:color w:val="auto"/>
        </w:rPr>
        <w:t>most of the route is excluded from surrounding land parcels.</w:t>
      </w:r>
      <w:r w:rsidR="004E1584">
        <w:rPr>
          <w:color w:val="auto"/>
        </w:rPr>
        <w:t xml:space="preserve">  However, </w:t>
      </w:r>
      <w:r w:rsidR="006853EE">
        <w:rPr>
          <w:color w:val="auto"/>
        </w:rPr>
        <w:t xml:space="preserve">the eastern half of section </w:t>
      </w:r>
      <w:r w:rsidR="006E3C74">
        <w:rPr>
          <w:color w:val="auto"/>
        </w:rPr>
        <w:t xml:space="preserve">B-C is included within parcel number </w:t>
      </w:r>
      <w:r w:rsidR="006E3C74" w:rsidRPr="00EF6D6D">
        <w:rPr>
          <w:color w:val="auto"/>
        </w:rPr>
        <w:t>1582</w:t>
      </w:r>
      <w:r w:rsidR="00EF6D6D">
        <w:rPr>
          <w:color w:val="auto"/>
        </w:rPr>
        <w:t>.</w:t>
      </w:r>
      <w:r w:rsidR="00F20A7B">
        <w:rPr>
          <w:color w:val="auto"/>
        </w:rPr>
        <w:t xml:space="preserve">  </w:t>
      </w:r>
      <w:r w:rsidR="00651DFE">
        <w:rPr>
          <w:color w:val="auto"/>
        </w:rPr>
        <w:t>Some of the land parcels which lie off section A-B are unannotated with colour, or the</w:t>
      </w:r>
      <w:r w:rsidR="00325081">
        <w:rPr>
          <w:color w:val="auto"/>
        </w:rPr>
        <w:t>re is a gap</w:t>
      </w:r>
      <w:r w:rsidR="00325081" w:rsidRPr="006D4CE0">
        <w:rPr>
          <w:color w:val="auto"/>
        </w:rPr>
        <w:t xml:space="preserve"> in the</w:t>
      </w:r>
      <w:r w:rsidR="00651DFE" w:rsidRPr="006D4CE0">
        <w:rPr>
          <w:color w:val="auto"/>
        </w:rPr>
        <w:t xml:space="preserve"> colouring.</w:t>
      </w:r>
      <w:r w:rsidR="000F4A2E" w:rsidRPr="006D4CE0">
        <w:rPr>
          <w:color w:val="auto"/>
        </w:rPr>
        <w:t xml:space="preserve">  The boundary of a land parcel marked in green extends over the Order route approximately halfway along </w:t>
      </w:r>
      <w:r w:rsidR="00732D76" w:rsidRPr="006D4CE0">
        <w:rPr>
          <w:color w:val="auto"/>
        </w:rPr>
        <w:t>section C-D.</w:t>
      </w:r>
    </w:p>
    <w:p w14:paraId="1A79231F" w14:textId="5DB639B6" w:rsidR="00D85288" w:rsidRPr="0033739E" w:rsidRDefault="00295A05" w:rsidP="0033739E">
      <w:pPr>
        <w:pStyle w:val="Style1"/>
        <w:rPr>
          <w:color w:val="0070C0"/>
        </w:rPr>
      </w:pPr>
      <w:r>
        <w:rPr>
          <w:color w:val="auto"/>
        </w:rPr>
        <w:t xml:space="preserve">The accompanying </w:t>
      </w:r>
      <w:r w:rsidR="00643064">
        <w:rPr>
          <w:color w:val="auto"/>
        </w:rPr>
        <w:t>Field</w:t>
      </w:r>
      <w:r>
        <w:rPr>
          <w:color w:val="auto"/>
        </w:rPr>
        <w:t xml:space="preserve"> Book records a deduction from the tax of </w:t>
      </w:r>
      <w:r w:rsidR="00CB7757">
        <w:rPr>
          <w:color w:val="auto"/>
        </w:rPr>
        <w:t>£175 for public rights of way or user</w:t>
      </w:r>
      <w:r w:rsidR="00296BDE">
        <w:rPr>
          <w:color w:val="auto"/>
        </w:rPr>
        <w:t xml:space="preserve"> in respect of </w:t>
      </w:r>
      <w:r w:rsidR="00AE725A">
        <w:rPr>
          <w:color w:val="auto"/>
        </w:rPr>
        <w:t>h</w:t>
      </w:r>
      <w:r>
        <w:rPr>
          <w:color w:val="auto"/>
        </w:rPr>
        <w:t>ereditament 1582</w:t>
      </w:r>
      <w:r w:rsidR="00AE725A">
        <w:rPr>
          <w:color w:val="auto"/>
        </w:rPr>
        <w:t xml:space="preserve"> (Eastham’s Farm).  The farm </w:t>
      </w:r>
      <w:r w:rsidR="00FD63E4">
        <w:rPr>
          <w:color w:val="auto"/>
        </w:rPr>
        <w:t>is described as “</w:t>
      </w:r>
      <w:r w:rsidR="00FD63E4">
        <w:t xml:space="preserve">a compact dairy and grazing farm close to </w:t>
      </w:r>
      <w:r w:rsidR="007A1FA1">
        <w:t>T</w:t>
      </w:r>
      <w:r w:rsidR="00FD63E4">
        <w:t xml:space="preserve">own of Crewkerne approached by a private road of a rough nature…a number of footpaths”. </w:t>
      </w:r>
    </w:p>
    <w:p w14:paraId="710F597A" w14:textId="1E92841E" w:rsidR="004431D2" w:rsidRDefault="004431D2" w:rsidP="00EA65EB">
      <w:pPr>
        <w:pStyle w:val="Style1"/>
        <w:numPr>
          <w:ilvl w:val="0"/>
          <w:numId w:val="0"/>
        </w:numPr>
        <w:rPr>
          <w:i/>
          <w:iCs/>
          <w:color w:val="auto"/>
        </w:rPr>
      </w:pPr>
      <w:r>
        <w:rPr>
          <w:i/>
          <w:iCs/>
          <w:color w:val="auto"/>
        </w:rPr>
        <w:t>Bartholomew</w:t>
      </w:r>
      <w:r w:rsidR="00B5312F">
        <w:rPr>
          <w:i/>
          <w:iCs/>
          <w:color w:val="auto"/>
        </w:rPr>
        <w:t>’s Map</w:t>
      </w:r>
    </w:p>
    <w:p w14:paraId="75E3289E" w14:textId="67337523" w:rsidR="00B5312F" w:rsidRPr="00B5312F" w:rsidRDefault="00B5312F" w:rsidP="00B5312F">
      <w:pPr>
        <w:pStyle w:val="Style1"/>
        <w:rPr>
          <w:color w:val="auto"/>
        </w:rPr>
      </w:pPr>
      <w:r>
        <w:rPr>
          <w:color w:val="auto"/>
        </w:rPr>
        <w:t xml:space="preserve">This 1927 map </w:t>
      </w:r>
      <w:r w:rsidR="006621D0">
        <w:rPr>
          <w:color w:val="auto"/>
        </w:rPr>
        <w:t>shows the Order route as uncoloured between double solid lines.  The key sets out that “the uncoloured roads are inferior and not to be recommende</w:t>
      </w:r>
      <w:r w:rsidR="00F30F11">
        <w:rPr>
          <w:color w:val="auto"/>
        </w:rPr>
        <w:t>d”.  It further states that “</w:t>
      </w:r>
      <w:r w:rsidR="004A46F9">
        <w:rPr>
          <w:color w:val="auto"/>
        </w:rPr>
        <w:t>the representation of a road or footpath is no evidence of the existence of a right of way”.</w:t>
      </w:r>
    </w:p>
    <w:p w14:paraId="40047840" w14:textId="03D081C7" w:rsidR="00FA418C" w:rsidRDefault="00FA418C" w:rsidP="00EA65EB">
      <w:pPr>
        <w:pStyle w:val="Style1"/>
        <w:numPr>
          <w:ilvl w:val="0"/>
          <w:numId w:val="0"/>
        </w:numPr>
        <w:rPr>
          <w:i/>
          <w:iCs/>
          <w:color w:val="auto"/>
        </w:rPr>
      </w:pPr>
      <w:r>
        <w:rPr>
          <w:i/>
          <w:iCs/>
          <w:color w:val="auto"/>
        </w:rPr>
        <w:t>Aerial photograph</w:t>
      </w:r>
    </w:p>
    <w:p w14:paraId="4AB030C2" w14:textId="604E593A" w:rsidR="00FA418C" w:rsidRDefault="00FA418C" w:rsidP="00FA418C">
      <w:pPr>
        <w:pStyle w:val="Style1"/>
        <w:rPr>
          <w:color w:val="auto"/>
        </w:rPr>
      </w:pPr>
      <w:r>
        <w:rPr>
          <w:color w:val="auto"/>
        </w:rPr>
        <w:t>This is dated 194</w:t>
      </w:r>
      <w:r w:rsidR="00F14246">
        <w:rPr>
          <w:color w:val="auto"/>
        </w:rPr>
        <w:t>6 and shows the Order route to be an enclosed and de</w:t>
      </w:r>
      <w:r w:rsidR="001871A3">
        <w:rPr>
          <w:color w:val="auto"/>
        </w:rPr>
        <w:t>fined way.</w:t>
      </w:r>
    </w:p>
    <w:p w14:paraId="38C1E4EE" w14:textId="3E474FDB" w:rsidR="00420E7F" w:rsidRDefault="00420E7F" w:rsidP="00420E7F">
      <w:pPr>
        <w:pStyle w:val="Style1"/>
        <w:numPr>
          <w:ilvl w:val="0"/>
          <w:numId w:val="0"/>
        </w:numPr>
        <w:rPr>
          <w:i/>
          <w:iCs/>
          <w:color w:val="auto"/>
        </w:rPr>
      </w:pPr>
      <w:r w:rsidRPr="00420E7F">
        <w:rPr>
          <w:i/>
          <w:iCs/>
          <w:color w:val="auto"/>
        </w:rPr>
        <w:t>Parish Survey records</w:t>
      </w:r>
    </w:p>
    <w:p w14:paraId="7992EEE6" w14:textId="373D0ABC" w:rsidR="00D11690" w:rsidRDefault="005C6E3E" w:rsidP="00420E7F">
      <w:pPr>
        <w:pStyle w:val="Style1"/>
        <w:rPr>
          <w:color w:val="auto"/>
        </w:rPr>
      </w:pPr>
      <w:r>
        <w:rPr>
          <w:color w:val="auto"/>
        </w:rPr>
        <w:t xml:space="preserve">The parish survey was the first stage in the production of the </w:t>
      </w:r>
      <w:r w:rsidR="003550D1">
        <w:rPr>
          <w:color w:val="auto"/>
        </w:rPr>
        <w:t>DM&amp;S</w:t>
      </w:r>
      <w:r>
        <w:rPr>
          <w:color w:val="auto"/>
        </w:rPr>
        <w:t>.  This survey was carried out in 1950.</w:t>
      </w:r>
      <w:r w:rsidR="00D52696">
        <w:rPr>
          <w:color w:val="auto"/>
        </w:rPr>
        <w:t xml:space="preserve">  </w:t>
      </w:r>
      <w:r w:rsidR="00111BAF">
        <w:rPr>
          <w:color w:val="auto"/>
        </w:rPr>
        <w:t xml:space="preserve">It records the route as a footpath.  </w:t>
      </w:r>
      <w:r w:rsidR="00552F4F">
        <w:rPr>
          <w:color w:val="auto"/>
        </w:rPr>
        <w:t xml:space="preserve">Points </w:t>
      </w:r>
      <w:r w:rsidR="00EC2513">
        <w:rPr>
          <w:color w:val="auto"/>
        </w:rPr>
        <w:t>A</w:t>
      </w:r>
      <w:r w:rsidR="00552F4F">
        <w:rPr>
          <w:color w:val="auto"/>
        </w:rPr>
        <w:t>-C</w:t>
      </w:r>
      <w:r w:rsidR="00BA57F9">
        <w:rPr>
          <w:color w:val="auto"/>
        </w:rPr>
        <w:t xml:space="preserve"> are</w:t>
      </w:r>
      <w:r w:rsidR="00552F4F">
        <w:rPr>
          <w:color w:val="auto"/>
        </w:rPr>
        <w:t xml:space="preserve"> </w:t>
      </w:r>
      <w:r w:rsidR="005518C5">
        <w:rPr>
          <w:color w:val="auto"/>
        </w:rPr>
        <w:t xml:space="preserve">described </w:t>
      </w:r>
      <w:r w:rsidR="00552F4F">
        <w:rPr>
          <w:color w:val="auto"/>
        </w:rPr>
        <w:t>as a “green lane of cart width”.</w:t>
      </w:r>
      <w:r w:rsidR="005518C5">
        <w:rPr>
          <w:color w:val="auto"/>
        </w:rPr>
        <w:t xml:space="preserve">  Points C-D are described as following “a well metalled lane for whole length”.  </w:t>
      </w:r>
      <w:r w:rsidR="001027ED">
        <w:rPr>
          <w:color w:val="auto"/>
        </w:rPr>
        <w:t xml:space="preserve">The route is shown coloured brown on the parish survey map.  </w:t>
      </w:r>
      <w:r w:rsidR="0015115E">
        <w:rPr>
          <w:color w:val="auto"/>
        </w:rPr>
        <w:t xml:space="preserve">The survey was approved by </w:t>
      </w:r>
      <w:r w:rsidR="00BA681F">
        <w:rPr>
          <w:color w:val="auto"/>
        </w:rPr>
        <w:t>the Clerk to the Crewkerne</w:t>
      </w:r>
      <w:r w:rsidR="00BF23E3">
        <w:rPr>
          <w:color w:val="auto"/>
        </w:rPr>
        <w:t xml:space="preserve"> Urban Council.</w:t>
      </w:r>
    </w:p>
    <w:p w14:paraId="17D10627" w14:textId="77777777" w:rsidR="003E38F0" w:rsidRDefault="003E38F0" w:rsidP="00D11690">
      <w:pPr>
        <w:pStyle w:val="Style1"/>
        <w:numPr>
          <w:ilvl w:val="0"/>
          <w:numId w:val="0"/>
        </w:numPr>
        <w:rPr>
          <w:i/>
          <w:iCs/>
          <w:color w:val="auto"/>
        </w:rPr>
      </w:pPr>
    </w:p>
    <w:p w14:paraId="315A51BE" w14:textId="77777777" w:rsidR="003E38F0" w:rsidRDefault="003E38F0" w:rsidP="00D11690">
      <w:pPr>
        <w:pStyle w:val="Style1"/>
        <w:numPr>
          <w:ilvl w:val="0"/>
          <w:numId w:val="0"/>
        </w:numPr>
        <w:rPr>
          <w:i/>
          <w:iCs/>
          <w:color w:val="auto"/>
        </w:rPr>
      </w:pPr>
    </w:p>
    <w:p w14:paraId="50CF6AE9" w14:textId="48E5C243" w:rsidR="00420E7F" w:rsidRDefault="00D11690" w:rsidP="00D11690">
      <w:pPr>
        <w:pStyle w:val="Style1"/>
        <w:numPr>
          <w:ilvl w:val="0"/>
          <w:numId w:val="0"/>
        </w:numPr>
        <w:rPr>
          <w:i/>
          <w:iCs/>
          <w:color w:val="auto"/>
        </w:rPr>
      </w:pPr>
      <w:r w:rsidRPr="00D11690">
        <w:rPr>
          <w:i/>
          <w:iCs/>
          <w:color w:val="auto"/>
        </w:rPr>
        <w:lastRenderedPageBreak/>
        <w:t>Draft Map</w:t>
      </w:r>
      <w:r w:rsidR="005C6E3E" w:rsidRPr="00D11690">
        <w:rPr>
          <w:i/>
          <w:iCs/>
          <w:color w:val="auto"/>
        </w:rPr>
        <w:t xml:space="preserve">  </w:t>
      </w:r>
    </w:p>
    <w:p w14:paraId="22696316" w14:textId="5699B68C" w:rsidR="00422887" w:rsidRDefault="00606A59" w:rsidP="00D11690">
      <w:pPr>
        <w:pStyle w:val="Style1"/>
        <w:rPr>
          <w:color w:val="auto"/>
        </w:rPr>
      </w:pPr>
      <w:r>
        <w:rPr>
          <w:color w:val="auto"/>
        </w:rPr>
        <w:t>This document from a later stage in the DM&amp;S process is dated 1954.</w:t>
      </w:r>
      <w:r w:rsidR="00426F7C">
        <w:rPr>
          <w:color w:val="auto"/>
        </w:rPr>
        <w:t xml:space="preserve">  The route is</w:t>
      </w:r>
      <w:r w:rsidR="00972F1F">
        <w:rPr>
          <w:color w:val="auto"/>
        </w:rPr>
        <w:t xml:space="preserve"> coloured </w:t>
      </w:r>
      <w:r w:rsidR="006C230C">
        <w:rPr>
          <w:color w:val="auto"/>
        </w:rPr>
        <w:t>purple/</w:t>
      </w:r>
      <w:r w:rsidR="00A115E4">
        <w:rPr>
          <w:color w:val="auto"/>
        </w:rPr>
        <w:t>pecked</w:t>
      </w:r>
      <w:r w:rsidR="006C230C">
        <w:rPr>
          <w:color w:val="auto"/>
        </w:rPr>
        <w:t xml:space="preserve"> green.</w:t>
      </w:r>
      <w:r w:rsidR="0049798B">
        <w:rPr>
          <w:color w:val="auto"/>
        </w:rPr>
        <w:t xml:space="preserve">  Purple represented a public footpath, and </w:t>
      </w:r>
      <w:r w:rsidR="00A115E4">
        <w:rPr>
          <w:color w:val="auto"/>
        </w:rPr>
        <w:t>pecked</w:t>
      </w:r>
      <w:r w:rsidR="0049798B">
        <w:rPr>
          <w:color w:val="auto"/>
        </w:rPr>
        <w:t xml:space="preserve"> green a Road Used as a Public Path</w:t>
      </w:r>
      <w:r w:rsidR="006465BE">
        <w:rPr>
          <w:color w:val="auto"/>
        </w:rPr>
        <w:t xml:space="preserve"> (RUPP)</w:t>
      </w:r>
      <w:r w:rsidR="00375073">
        <w:rPr>
          <w:color w:val="auto"/>
        </w:rPr>
        <w:t xml:space="preserve">, which </w:t>
      </w:r>
      <w:proofErr w:type="gramStart"/>
      <w:r w:rsidR="00375073">
        <w:rPr>
          <w:color w:val="auto"/>
        </w:rPr>
        <w:t>according</w:t>
      </w:r>
      <w:proofErr w:type="gramEnd"/>
      <w:r w:rsidR="00375073">
        <w:rPr>
          <w:color w:val="auto"/>
        </w:rPr>
        <w:t xml:space="preserve"> the National </w:t>
      </w:r>
      <w:r w:rsidR="00B141C6">
        <w:rPr>
          <w:color w:val="auto"/>
        </w:rPr>
        <w:t>Parks and Access to the Countryside Act 1949 was “</w:t>
      </w:r>
      <w:r w:rsidR="000768EB">
        <w:rPr>
          <w:color w:val="auto"/>
        </w:rPr>
        <w:t>a highway, other than a public path, used by the public mainly for the purposes for which footpaths or bridleways are so used”.</w:t>
      </w:r>
      <w:r w:rsidR="007147FC">
        <w:rPr>
          <w:color w:val="auto"/>
        </w:rPr>
        <w:t xml:space="preserve">  There were no objections to the draft map</w:t>
      </w:r>
      <w:r w:rsidR="008F57A7">
        <w:rPr>
          <w:color w:val="auto"/>
        </w:rPr>
        <w:t>.</w:t>
      </w:r>
    </w:p>
    <w:p w14:paraId="68085AFC" w14:textId="77777777" w:rsidR="00422887" w:rsidRPr="00422887" w:rsidRDefault="00422887" w:rsidP="00422887">
      <w:pPr>
        <w:pStyle w:val="Style1"/>
        <w:numPr>
          <w:ilvl w:val="0"/>
          <w:numId w:val="0"/>
        </w:numPr>
        <w:rPr>
          <w:i/>
          <w:iCs/>
          <w:color w:val="auto"/>
        </w:rPr>
      </w:pPr>
      <w:r w:rsidRPr="00422887">
        <w:rPr>
          <w:i/>
          <w:iCs/>
          <w:color w:val="auto"/>
        </w:rPr>
        <w:t>Provisional Map</w:t>
      </w:r>
    </w:p>
    <w:p w14:paraId="636E5445" w14:textId="3FB014D1" w:rsidR="00D11690" w:rsidRPr="00422887" w:rsidRDefault="00422887" w:rsidP="00422887">
      <w:pPr>
        <w:pStyle w:val="Style1"/>
        <w:rPr>
          <w:color w:val="auto"/>
        </w:rPr>
      </w:pPr>
      <w:r>
        <w:rPr>
          <w:color w:val="auto"/>
        </w:rPr>
        <w:t xml:space="preserve">This </w:t>
      </w:r>
      <w:r w:rsidR="002373A0">
        <w:rPr>
          <w:color w:val="auto"/>
        </w:rPr>
        <w:t>is</w:t>
      </w:r>
      <w:r>
        <w:rPr>
          <w:color w:val="auto"/>
        </w:rPr>
        <w:t xml:space="preserve"> dated </w:t>
      </w:r>
      <w:proofErr w:type="gramStart"/>
      <w:r>
        <w:rPr>
          <w:color w:val="auto"/>
        </w:rPr>
        <w:t>1962</w:t>
      </w:r>
      <w:r w:rsidR="00CA365D">
        <w:rPr>
          <w:color w:val="auto"/>
        </w:rPr>
        <w:t>, and</w:t>
      </w:r>
      <w:proofErr w:type="gramEnd"/>
      <w:r w:rsidR="00CA365D">
        <w:rPr>
          <w:color w:val="auto"/>
        </w:rPr>
        <w:t xml:space="preserve"> shows</w:t>
      </w:r>
      <w:r>
        <w:rPr>
          <w:color w:val="auto"/>
        </w:rPr>
        <w:t xml:space="preserve"> </w:t>
      </w:r>
      <w:r w:rsidR="002373A0">
        <w:rPr>
          <w:color w:val="auto"/>
        </w:rPr>
        <w:t>the route</w:t>
      </w:r>
      <w:r w:rsidR="00CA365D" w:rsidRPr="00905F56">
        <w:rPr>
          <w:color w:val="FF0000"/>
        </w:rPr>
        <w:t xml:space="preserve"> </w:t>
      </w:r>
      <w:r w:rsidR="00CA365D">
        <w:rPr>
          <w:color w:val="auto"/>
        </w:rPr>
        <w:t>coloured purple.</w:t>
      </w:r>
    </w:p>
    <w:p w14:paraId="0644A840" w14:textId="5EB77B5D" w:rsidR="00EA65EB" w:rsidRDefault="00EA65EB" w:rsidP="00EA65EB">
      <w:pPr>
        <w:pStyle w:val="Style1"/>
        <w:numPr>
          <w:ilvl w:val="0"/>
          <w:numId w:val="0"/>
        </w:numPr>
        <w:rPr>
          <w:i/>
          <w:iCs/>
          <w:color w:val="auto"/>
        </w:rPr>
      </w:pPr>
      <w:r w:rsidRPr="00EA65EB">
        <w:rPr>
          <w:i/>
          <w:iCs/>
          <w:color w:val="auto"/>
        </w:rPr>
        <w:t>Definitive Map and Statement</w:t>
      </w:r>
    </w:p>
    <w:p w14:paraId="489526D9" w14:textId="722CEFD9" w:rsidR="00EA65EB" w:rsidRPr="00481767" w:rsidRDefault="00521CA8" w:rsidP="00EA65EB">
      <w:pPr>
        <w:pStyle w:val="Style1"/>
        <w:rPr>
          <w:i/>
          <w:iCs/>
          <w:color w:val="auto"/>
        </w:rPr>
      </w:pPr>
      <w:r>
        <w:rPr>
          <w:color w:val="auto"/>
        </w:rPr>
        <w:t>The route</w:t>
      </w:r>
      <w:r w:rsidR="000372C2">
        <w:rPr>
          <w:color w:val="auto"/>
        </w:rPr>
        <w:t xml:space="preserve"> is coloured purple on the map</w:t>
      </w:r>
      <w:r w:rsidR="00147BFB">
        <w:rPr>
          <w:color w:val="auto"/>
        </w:rPr>
        <w:t xml:space="preserve">, and given path numbers </w:t>
      </w:r>
      <w:r w:rsidR="00143311">
        <w:rPr>
          <w:color w:val="auto"/>
        </w:rPr>
        <w:t xml:space="preserve">33/34, </w:t>
      </w:r>
      <w:r w:rsidR="00F53F9F">
        <w:rPr>
          <w:color w:val="auto"/>
        </w:rPr>
        <w:t>33/</w:t>
      </w:r>
      <w:r w:rsidR="006663D2">
        <w:rPr>
          <w:color w:val="auto"/>
        </w:rPr>
        <w:t xml:space="preserve">35 and </w:t>
      </w:r>
      <w:r w:rsidR="00F53F9F">
        <w:rPr>
          <w:color w:val="auto"/>
        </w:rPr>
        <w:t>33/</w:t>
      </w:r>
      <w:r w:rsidR="00B32BB1">
        <w:rPr>
          <w:color w:val="auto"/>
        </w:rPr>
        <w:t>36</w:t>
      </w:r>
      <w:r w:rsidR="00147BFB">
        <w:rPr>
          <w:color w:val="auto"/>
        </w:rPr>
        <w:t>.  These</w:t>
      </w:r>
      <w:r w:rsidR="00B32BB1">
        <w:rPr>
          <w:color w:val="auto"/>
        </w:rPr>
        <w:t xml:space="preserve"> </w:t>
      </w:r>
      <w:r w:rsidR="007F1196">
        <w:rPr>
          <w:color w:val="auto"/>
        </w:rPr>
        <w:t xml:space="preserve">were originally described </w:t>
      </w:r>
      <w:r w:rsidR="00A07055">
        <w:rPr>
          <w:color w:val="auto"/>
        </w:rPr>
        <w:t xml:space="preserve">in the </w:t>
      </w:r>
      <w:r w:rsidR="00EB52C9">
        <w:rPr>
          <w:color w:val="auto"/>
        </w:rPr>
        <w:t xml:space="preserve">typewritten </w:t>
      </w:r>
      <w:r w:rsidR="00147BFB">
        <w:rPr>
          <w:color w:val="auto"/>
        </w:rPr>
        <w:t>accompanying s</w:t>
      </w:r>
      <w:r w:rsidR="00A07055">
        <w:rPr>
          <w:color w:val="auto"/>
        </w:rPr>
        <w:t xml:space="preserve">tatement </w:t>
      </w:r>
      <w:r w:rsidR="007F1196">
        <w:rPr>
          <w:color w:val="auto"/>
        </w:rPr>
        <w:t>as “C.R.F.”</w:t>
      </w:r>
      <w:r w:rsidR="005B13C8">
        <w:rPr>
          <w:color w:val="auto"/>
        </w:rPr>
        <w:t xml:space="preserve"> (public carriage or cart road or green unmetalled lane mainly used as a footpath)</w:t>
      </w:r>
      <w:r w:rsidR="00A07055">
        <w:rPr>
          <w:color w:val="auto"/>
        </w:rPr>
        <w:t>, however th</w:t>
      </w:r>
      <w:r w:rsidR="004C26C6">
        <w:rPr>
          <w:color w:val="auto"/>
        </w:rPr>
        <w:t>i</w:t>
      </w:r>
      <w:r w:rsidR="00A07055">
        <w:rPr>
          <w:color w:val="auto"/>
        </w:rPr>
        <w:t xml:space="preserve">s has been </w:t>
      </w:r>
      <w:r w:rsidR="00EC0EA9">
        <w:rPr>
          <w:color w:val="auto"/>
        </w:rPr>
        <w:t>struck through</w:t>
      </w:r>
      <w:r w:rsidR="00A07055">
        <w:rPr>
          <w:color w:val="auto"/>
        </w:rPr>
        <w:t xml:space="preserve"> </w:t>
      </w:r>
      <w:r w:rsidR="00EB52C9">
        <w:rPr>
          <w:color w:val="auto"/>
        </w:rPr>
        <w:t xml:space="preserve">by hand </w:t>
      </w:r>
      <w:r w:rsidR="00A07055">
        <w:rPr>
          <w:color w:val="auto"/>
        </w:rPr>
        <w:t>and replace</w:t>
      </w:r>
      <w:r w:rsidR="00F53F9F">
        <w:rPr>
          <w:color w:val="auto"/>
        </w:rPr>
        <w:t>d</w:t>
      </w:r>
      <w:r w:rsidR="00A07055">
        <w:rPr>
          <w:color w:val="auto"/>
        </w:rPr>
        <w:t xml:space="preserve"> with</w:t>
      </w:r>
      <w:r w:rsidR="0031114F">
        <w:rPr>
          <w:color w:val="auto"/>
        </w:rPr>
        <w:t xml:space="preserve"> the word</w:t>
      </w:r>
      <w:r w:rsidR="00A07055">
        <w:rPr>
          <w:color w:val="auto"/>
        </w:rPr>
        <w:t xml:space="preserve"> “footpath”.</w:t>
      </w:r>
      <w:r w:rsidR="00973251">
        <w:rPr>
          <w:color w:val="auto"/>
        </w:rPr>
        <w:t xml:space="preserve"> </w:t>
      </w:r>
    </w:p>
    <w:p w14:paraId="0356ECA8" w14:textId="49F705A6" w:rsidR="00481767" w:rsidRDefault="00481767" w:rsidP="00481767">
      <w:pPr>
        <w:pStyle w:val="Style1"/>
        <w:numPr>
          <w:ilvl w:val="0"/>
          <w:numId w:val="0"/>
        </w:numPr>
        <w:rPr>
          <w:i/>
          <w:iCs/>
          <w:color w:val="auto"/>
        </w:rPr>
      </w:pPr>
      <w:r w:rsidRPr="00481767">
        <w:rPr>
          <w:i/>
          <w:iCs/>
          <w:color w:val="auto"/>
        </w:rPr>
        <w:t>Other records</w:t>
      </w:r>
    </w:p>
    <w:p w14:paraId="24A09051" w14:textId="27FB6A58" w:rsidR="00481767" w:rsidRPr="00481767" w:rsidRDefault="00481767" w:rsidP="00481767">
      <w:pPr>
        <w:pStyle w:val="Style1"/>
        <w:rPr>
          <w:color w:val="auto"/>
        </w:rPr>
      </w:pPr>
      <w:r>
        <w:rPr>
          <w:color w:val="auto"/>
        </w:rPr>
        <w:t>The 1969 Chard Urban District Council map,</w:t>
      </w:r>
      <w:r w:rsidR="00B64073">
        <w:rPr>
          <w:color w:val="auto"/>
        </w:rPr>
        <w:t xml:space="preserve"> List of Streets </w:t>
      </w:r>
      <w:r w:rsidR="0079698B">
        <w:rPr>
          <w:color w:val="auto"/>
        </w:rPr>
        <w:t>information</w:t>
      </w:r>
      <w:r w:rsidR="00B64073">
        <w:rPr>
          <w:color w:val="auto"/>
        </w:rPr>
        <w:t xml:space="preserve"> and INSPIRE online mapping </w:t>
      </w:r>
      <w:r w:rsidR="0079698B">
        <w:rPr>
          <w:color w:val="auto"/>
        </w:rPr>
        <w:t>extract do not provide any additional information regarding the status of the Order route.</w:t>
      </w:r>
    </w:p>
    <w:p w14:paraId="06B99965" w14:textId="5DF7C350" w:rsidR="00E61212" w:rsidRPr="00E61212" w:rsidRDefault="00E61212" w:rsidP="00FD0CF3">
      <w:pPr>
        <w:pStyle w:val="Heading6blackfont"/>
        <w:rPr>
          <w:i/>
          <w:iCs/>
        </w:rPr>
      </w:pPr>
      <w:r w:rsidRPr="00E61212">
        <w:rPr>
          <w:i/>
          <w:iCs/>
        </w:rPr>
        <w:t xml:space="preserve">Landowner </w:t>
      </w:r>
      <w:r>
        <w:rPr>
          <w:i/>
          <w:iCs/>
        </w:rPr>
        <w:t>E</w:t>
      </w:r>
      <w:r w:rsidRPr="00E61212">
        <w:rPr>
          <w:i/>
          <w:iCs/>
        </w:rPr>
        <w:t>vidence</w:t>
      </w:r>
    </w:p>
    <w:p w14:paraId="66678F0C" w14:textId="545AD6BA" w:rsidR="004C77D5" w:rsidRDefault="00765F73" w:rsidP="00E61212">
      <w:pPr>
        <w:pStyle w:val="Style1"/>
      </w:pPr>
      <w:r>
        <w:t xml:space="preserve">The owner of land crossed by </w:t>
      </w:r>
      <w:r w:rsidR="004E6EC5">
        <w:t xml:space="preserve">sections A-B-C of </w:t>
      </w:r>
      <w:r>
        <w:t>the Order route has submitted evidence which states that they</w:t>
      </w:r>
      <w:r w:rsidR="00017AE7">
        <w:t xml:space="preserve"> have owned the land for 7 years and</w:t>
      </w:r>
      <w:r>
        <w:t xml:space="preserve"> believe </w:t>
      </w:r>
      <w:r w:rsidR="00017AE7">
        <w:t>the Order route</w:t>
      </w:r>
      <w:r>
        <w:t xml:space="preserve"> to be a footpath</w:t>
      </w:r>
      <w:r w:rsidR="00017AE7">
        <w:t>.</w:t>
      </w:r>
    </w:p>
    <w:p w14:paraId="2B7667DD" w14:textId="3E4D71D3" w:rsidR="00765F73" w:rsidRDefault="004C77D5" w:rsidP="00E61212">
      <w:pPr>
        <w:pStyle w:val="Style1"/>
      </w:pPr>
      <w:r>
        <w:t>A</w:t>
      </w:r>
      <w:r w:rsidR="004E6EC5">
        <w:t xml:space="preserve">n </w:t>
      </w:r>
      <w:r>
        <w:t xml:space="preserve">owner </w:t>
      </w:r>
      <w:r w:rsidR="004E6EC5">
        <w:t xml:space="preserve">of land crossed by </w:t>
      </w:r>
      <w:r w:rsidR="00BE0812">
        <w:t xml:space="preserve">or adjacent to </w:t>
      </w:r>
      <w:r w:rsidR="004E6EC5">
        <w:t>section</w:t>
      </w:r>
      <w:r w:rsidR="00BE0812">
        <w:t xml:space="preserve"> A-B </w:t>
      </w:r>
      <w:r w:rsidR="00B93630">
        <w:t xml:space="preserve">for </w:t>
      </w:r>
      <w:r w:rsidR="004F6C6B">
        <w:t xml:space="preserve">23 years </w:t>
      </w:r>
      <w:r w:rsidR="00520397">
        <w:t xml:space="preserve">has submitted evidence which states that they </w:t>
      </w:r>
      <w:r w:rsidR="004F6C6B">
        <w:t xml:space="preserve">have owned the land for 23 years and </w:t>
      </w:r>
      <w:r w:rsidR="00520397">
        <w:t xml:space="preserve">believe the </w:t>
      </w:r>
      <w:r w:rsidR="005A3784">
        <w:t>way to be a byway open to all traffic.</w:t>
      </w:r>
    </w:p>
    <w:p w14:paraId="536A4EFD" w14:textId="28179330" w:rsidR="00E61212" w:rsidRDefault="004D51B5" w:rsidP="00E61212">
      <w:pPr>
        <w:pStyle w:val="Style1"/>
      </w:pPr>
      <w:r>
        <w:t xml:space="preserve">The owner of adjoining land has submitted evidence </w:t>
      </w:r>
      <w:r w:rsidR="001D6432">
        <w:t>which states that they believe th</w:t>
      </w:r>
      <w:r w:rsidR="0040100D">
        <w:t>at Butts Quarry Lane is a bridleway</w:t>
      </w:r>
      <w:r w:rsidR="003813EE">
        <w:t>, and that this is shown on Land Registry documents from the early twentieth century.</w:t>
      </w:r>
    </w:p>
    <w:p w14:paraId="6C0D166C" w14:textId="7A4541F7" w:rsidR="00423159" w:rsidRPr="00E61212" w:rsidRDefault="009F70BE" w:rsidP="00E61212">
      <w:pPr>
        <w:pStyle w:val="Style1"/>
      </w:pPr>
      <w:r>
        <w:t xml:space="preserve">The owner of land to which the </w:t>
      </w:r>
      <w:r w:rsidR="00F62CE6">
        <w:t>section A-B</w:t>
      </w:r>
      <w:r>
        <w:t xml:space="preserve"> forms access has submitted evidence </w:t>
      </w:r>
      <w:r w:rsidR="00C6708A">
        <w:t>which states that they understand the route to be a private road and a public footpath.</w:t>
      </w:r>
    </w:p>
    <w:p w14:paraId="0E16BC88" w14:textId="2343D500" w:rsidR="00355FCC" w:rsidRDefault="00627768" w:rsidP="00FD0CF3">
      <w:pPr>
        <w:pStyle w:val="Heading6blackfont"/>
      </w:pPr>
      <w:r>
        <w:t>Reasoning</w:t>
      </w:r>
    </w:p>
    <w:p w14:paraId="37D3D07E" w14:textId="39946972" w:rsidR="00D0513B" w:rsidRPr="00D0513B" w:rsidRDefault="00D0513B" w:rsidP="00D0513B">
      <w:pPr>
        <w:pStyle w:val="Style1"/>
      </w:pPr>
      <w:r>
        <w:t>The evidence consistently depicts the Order route in a different manner from some routes which were later recorded in the DM&amp;S as public footpaths.</w:t>
      </w:r>
      <w:r w:rsidR="0051295E">
        <w:t xml:space="preserve">  T</w:t>
      </w:r>
      <w:r>
        <w:t xml:space="preserve">he question before me is consequently whether this difference in depiction reflects the existence along the route of public rights of a higher status than those recorded, or whether it </w:t>
      </w:r>
      <w:r w:rsidR="00762B29">
        <w:t>may be</w:t>
      </w:r>
      <w:r>
        <w:t xml:space="preserve"> explained by the</w:t>
      </w:r>
      <w:r w:rsidR="00973B14">
        <w:t xml:space="preserve"> coexistence of public and private access</w:t>
      </w:r>
      <w:r>
        <w:t>.</w:t>
      </w:r>
    </w:p>
    <w:p w14:paraId="00554B3E" w14:textId="77777777" w:rsidR="00E524AC" w:rsidRDefault="00B941EB" w:rsidP="00501A6B">
      <w:pPr>
        <w:pStyle w:val="Style1"/>
      </w:pPr>
      <w:r>
        <w:t xml:space="preserve">The Order route </w:t>
      </w:r>
      <w:r w:rsidR="00F54564">
        <w:t>is enclosed on one or both sides by mature hedgerow and banks</w:t>
      </w:r>
      <w:r w:rsidR="007F073B">
        <w:t xml:space="preserve">.  It currently provides access to </w:t>
      </w:r>
      <w:proofErr w:type="gramStart"/>
      <w:r w:rsidR="007F073B">
        <w:t>a number of</w:t>
      </w:r>
      <w:proofErr w:type="gramEnd"/>
      <w:r w:rsidR="007F073B">
        <w:t xml:space="preserve"> field entrances, and </w:t>
      </w:r>
      <w:r w:rsidR="00BD3E3C">
        <w:t xml:space="preserve">this </w:t>
      </w:r>
      <w:r w:rsidR="00BD3E3C">
        <w:lastRenderedPageBreak/>
        <w:t>also appears to have been the case historically according to the documents consi</w:t>
      </w:r>
      <w:r w:rsidR="0054280F">
        <w:t>dered</w:t>
      </w:r>
      <w:r w:rsidR="007F073B">
        <w:t>.</w:t>
      </w:r>
    </w:p>
    <w:p w14:paraId="13EE01E9" w14:textId="30BEFFA4" w:rsidR="004C352C" w:rsidRDefault="004C352C" w:rsidP="00DC322E">
      <w:pPr>
        <w:pStyle w:val="Style1"/>
        <w:rPr>
          <w:color w:val="auto"/>
        </w:rPr>
      </w:pPr>
      <w:r>
        <w:rPr>
          <w:color w:val="auto"/>
        </w:rPr>
        <w:t xml:space="preserve">The OS maps </w:t>
      </w:r>
      <w:r w:rsidR="00D5586E">
        <w:rPr>
          <w:color w:val="auto"/>
        </w:rPr>
        <w:t xml:space="preserve">demonstrate the existence of the route as a physical feature </w:t>
      </w:r>
      <w:r w:rsidR="006913C9">
        <w:rPr>
          <w:color w:val="auto"/>
        </w:rPr>
        <w:t>over many years.  However, they do not purport to record the status of the ways shown.</w:t>
      </w:r>
    </w:p>
    <w:p w14:paraId="4F4C5CF7" w14:textId="3311A267" w:rsidR="00DC322E" w:rsidRPr="00DC322E" w:rsidRDefault="00DC322E" w:rsidP="00DC322E">
      <w:pPr>
        <w:pStyle w:val="Style1"/>
        <w:rPr>
          <w:color w:val="auto"/>
        </w:rPr>
      </w:pPr>
      <w:r w:rsidRPr="00DC322E">
        <w:rPr>
          <w:color w:val="auto"/>
        </w:rPr>
        <w:t xml:space="preserve">The key which accompanies the extract from Greenwood’s Map provides for only two classifications of route: turnpike roads and </w:t>
      </w:r>
      <w:proofErr w:type="gramStart"/>
      <w:r w:rsidRPr="00DC322E">
        <w:rPr>
          <w:color w:val="auto"/>
        </w:rPr>
        <w:t>cross roads</w:t>
      </w:r>
      <w:proofErr w:type="gramEnd"/>
      <w:r w:rsidRPr="00DC322E">
        <w:rPr>
          <w:color w:val="auto"/>
        </w:rPr>
        <w:t>.</w:t>
      </w:r>
      <w:r w:rsidR="005B2481">
        <w:rPr>
          <w:color w:val="auto"/>
        </w:rPr>
        <w:t xml:space="preserve">  </w:t>
      </w:r>
      <w:r w:rsidRPr="00DC322E">
        <w:rPr>
          <w:color w:val="auto"/>
        </w:rPr>
        <w:t xml:space="preserve">The definitive footpath 33/40, to the south of the Order route, is shown as a </w:t>
      </w:r>
      <w:proofErr w:type="gramStart"/>
      <w:r w:rsidRPr="00DC322E">
        <w:rPr>
          <w:color w:val="auto"/>
        </w:rPr>
        <w:t>cross road</w:t>
      </w:r>
      <w:proofErr w:type="gramEnd"/>
      <w:r w:rsidRPr="00DC322E">
        <w:rPr>
          <w:color w:val="auto"/>
        </w:rPr>
        <w:t xml:space="preserve">.  The track leading to </w:t>
      </w:r>
      <w:proofErr w:type="spellStart"/>
      <w:r w:rsidRPr="00DC322E">
        <w:rPr>
          <w:color w:val="auto"/>
        </w:rPr>
        <w:t>Easthams</w:t>
      </w:r>
      <w:proofErr w:type="spellEnd"/>
      <w:r w:rsidRPr="00DC322E">
        <w:rPr>
          <w:color w:val="auto"/>
        </w:rPr>
        <w:t xml:space="preserve"> Farm is also shown in this way, although it is not currently a recorded public right of way and the other documentary evidence before me suggests that it is a track leading to a dwelling.  The approximate Order route is also shown as a </w:t>
      </w:r>
      <w:proofErr w:type="gramStart"/>
      <w:r w:rsidRPr="00DC322E">
        <w:rPr>
          <w:color w:val="auto"/>
        </w:rPr>
        <w:t>cross road</w:t>
      </w:r>
      <w:proofErr w:type="gramEnd"/>
      <w:r w:rsidRPr="00DC322E">
        <w:rPr>
          <w:color w:val="auto"/>
        </w:rPr>
        <w:t>.  Given the limited classifications of route shown on the map</w:t>
      </w:r>
      <w:r w:rsidR="001C23E4">
        <w:rPr>
          <w:color w:val="auto"/>
        </w:rPr>
        <w:t xml:space="preserve"> and the variation in the modern-day status of </w:t>
      </w:r>
      <w:r w:rsidR="00B664D6">
        <w:rPr>
          <w:color w:val="auto"/>
        </w:rPr>
        <w:t xml:space="preserve">the </w:t>
      </w:r>
      <w:proofErr w:type="gramStart"/>
      <w:r w:rsidR="00B664D6">
        <w:rPr>
          <w:color w:val="auto"/>
        </w:rPr>
        <w:t>cross roads</w:t>
      </w:r>
      <w:proofErr w:type="gramEnd"/>
      <w:r w:rsidR="00B664D6">
        <w:rPr>
          <w:color w:val="auto"/>
        </w:rPr>
        <w:t xml:space="preserve"> shown</w:t>
      </w:r>
      <w:r w:rsidRPr="00DC322E">
        <w:rPr>
          <w:color w:val="auto"/>
        </w:rPr>
        <w:t>, the map provides evidence only of the existence of the Order route on the ground at the time.  It does not illuminate its status.</w:t>
      </w:r>
    </w:p>
    <w:p w14:paraId="19A686FC" w14:textId="5740F77F" w:rsidR="009C7AC0" w:rsidRDefault="009C7AC0" w:rsidP="009C7AC0">
      <w:pPr>
        <w:pStyle w:val="Style1"/>
      </w:pPr>
      <w:r>
        <w:t xml:space="preserve">The Second Quarter of the Manor Map ascribes the name “Fox Ditch Lane” to part of the route.  However, this is the name of another route in the vicinity according to some of the evidence and the Council’s records.  On balance, this name consequently appears to be an error, which brings into question the accuracy of the map.  </w:t>
      </w:r>
      <w:r w:rsidR="00970BE8">
        <w:t xml:space="preserve">Furthermore, there is no indication that the map was produced </w:t>
      </w:r>
      <w:r w:rsidR="00541B71">
        <w:t xml:space="preserve">with the purpose of depicting highways.  </w:t>
      </w:r>
      <w:r>
        <w:t>As a result, I attach only minimal weight to the relevance of this document.</w:t>
      </w:r>
    </w:p>
    <w:p w14:paraId="2835DAF0" w14:textId="619CF5EB" w:rsidR="0038055F" w:rsidRPr="00984E43" w:rsidRDefault="00AB29CC" w:rsidP="00501A6B">
      <w:pPr>
        <w:pStyle w:val="Style1"/>
        <w:rPr>
          <w:color w:val="auto"/>
        </w:rPr>
      </w:pPr>
      <w:r w:rsidRPr="00984E43">
        <w:rPr>
          <w:color w:val="auto"/>
        </w:rPr>
        <w:t xml:space="preserve">No key </w:t>
      </w:r>
      <w:r w:rsidR="00C62060" w:rsidRPr="00984E43">
        <w:rPr>
          <w:color w:val="auto"/>
        </w:rPr>
        <w:t xml:space="preserve">or apportionment </w:t>
      </w:r>
      <w:r w:rsidRPr="00984E43">
        <w:rPr>
          <w:color w:val="auto"/>
        </w:rPr>
        <w:t>is provided with the submitted Tithe documents.</w:t>
      </w:r>
      <w:r w:rsidR="00984E43" w:rsidRPr="00984E43">
        <w:rPr>
          <w:color w:val="auto"/>
        </w:rPr>
        <w:t xml:space="preserve">  Additionally, there is no annotation on the map extracts to provide any indication of the believed status of the route.</w:t>
      </w:r>
      <w:r w:rsidR="00555C31" w:rsidRPr="00984E43">
        <w:rPr>
          <w:color w:val="auto"/>
        </w:rPr>
        <w:t xml:space="preserve"> Whilst the</w:t>
      </w:r>
      <w:r w:rsidR="007F0C9F">
        <w:rPr>
          <w:color w:val="auto"/>
        </w:rPr>
        <w:t xml:space="preserve"> extracts</w:t>
      </w:r>
      <w:r w:rsidR="00555C31" w:rsidRPr="00984E43">
        <w:rPr>
          <w:color w:val="auto"/>
        </w:rPr>
        <w:t xml:space="preserve"> show the physical existence of the route, Tithe maps make no distinction between a public and a private road.  Their object is to show what is </w:t>
      </w:r>
      <w:proofErr w:type="spellStart"/>
      <w:r w:rsidR="00555C31" w:rsidRPr="00984E43">
        <w:rPr>
          <w:color w:val="auto"/>
        </w:rPr>
        <w:t>titheable</w:t>
      </w:r>
      <w:proofErr w:type="spellEnd"/>
      <w:r w:rsidR="00555C31" w:rsidRPr="00984E43">
        <w:rPr>
          <w:color w:val="auto"/>
        </w:rPr>
        <w:t xml:space="preserve">, and roadways are marked on them as </w:t>
      </w:r>
      <w:proofErr w:type="spellStart"/>
      <w:r w:rsidR="00555C31" w:rsidRPr="00984E43">
        <w:rPr>
          <w:color w:val="auto"/>
        </w:rPr>
        <w:t>untitheable</w:t>
      </w:r>
      <w:proofErr w:type="spellEnd"/>
      <w:r w:rsidR="00555C31" w:rsidRPr="00984E43">
        <w:rPr>
          <w:color w:val="auto"/>
        </w:rPr>
        <w:t xml:space="preserve"> pieces of land whether they are public or </w:t>
      </w:r>
      <w:r w:rsidR="00075DA5">
        <w:rPr>
          <w:color w:val="auto"/>
        </w:rPr>
        <w:t>private, or both</w:t>
      </w:r>
      <w:r w:rsidR="00555C31" w:rsidRPr="00984E43">
        <w:rPr>
          <w:color w:val="auto"/>
        </w:rPr>
        <w:t xml:space="preserve">.  </w:t>
      </w:r>
      <w:r w:rsidR="00564237" w:rsidRPr="00984E43">
        <w:rPr>
          <w:color w:val="auto"/>
        </w:rPr>
        <w:t xml:space="preserve">As a result, the Tithe maps do not provide </w:t>
      </w:r>
      <w:r w:rsidR="00B20EF4">
        <w:rPr>
          <w:color w:val="auto"/>
        </w:rPr>
        <w:t xml:space="preserve">clear </w:t>
      </w:r>
      <w:r w:rsidR="00564237" w:rsidRPr="00984E43">
        <w:rPr>
          <w:color w:val="auto"/>
        </w:rPr>
        <w:t>evidence</w:t>
      </w:r>
      <w:r w:rsidR="00E112A8" w:rsidRPr="00984E43">
        <w:rPr>
          <w:color w:val="auto"/>
        </w:rPr>
        <w:t xml:space="preserve"> of the existence of a public road </w:t>
      </w:r>
      <w:r w:rsidR="003B62F7" w:rsidRPr="00984E43">
        <w:rPr>
          <w:color w:val="auto"/>
        </w:rPr>
        <w:t xml:space="preserve">along the route </w:t>
      </w:r>
      <w:r w:rsidR="00E112A8" w:rsidRPr="00984E43">
        <w:rPr>
          <w:color w:val="auto"/>
        </w:rPr>
        <w:t>at the dates concerned</w:t>
      </w:r>
      <w:r w:rsidR="00564237" w:rsidRPr="00984E43">
        <w:rPr>
          <w:color w:val="auto"/>
        </w:rPr>
        <w:t>.</w:t>
      </w:r>
      <w:r w:rsidR="001D4094" w:rsidRPr="00984E43">
        <w:rPr>
          <w:color w:val="auto"/>
        </w:rPr>
        <w:t xml:space="preserve"> </w:t>
      </w:r>
    </w:p>
    <w:p w14:paraId="54372205" w14:textId="5578849B" w:rsidR="00C248E2" w:rsidRDefault="0045375B" w:rsidP="00501A6B">
      <w:pPr>
        <w:pStyle w:val="Style1"/>
      </w:pPr>
      <w:r>
        <w:rPr>
          <w:color w:val="auto"/>
        </w:rPr>
        <w:t xml:space="preserve">The only status of route which the </w:t>
      </w:r>
      <w:proofErr w:type="spellStart"/>
      <w:r>
        <w:rPr>
          <w:color w:val="auto"/>
        </w:rPr>
        <w:t>Donisthorpe</w:t>
      </w:r>
      <w:proofErr w:type="spellEnd"/>
      <w:r>
        <w:rPr>
          <w:color w:val="auto"/>
        </w:rPr>
        <w:t xml:space="preserve"> estate map records, according to the key, is road.  The Order route is shown in this way, as is Yeovil Road.</w:t>
      </w:r>
      <w:r w:rsidR="008C5623">
        <w:rPr>
          <w:color w:val="auto"/>
        </w:rPr>
        <w:t xml:space="preserve">  The map </w:t>
      </w:r>
      <w:r w:rsidR="00302FE6">
        <w:t xml:space="preserve">shows the physical existence of the </w:t>
      </w:r>
      <w:proofErr w:type="gramStart"/>
      <w:r w:rsidR="00302FE6">
        <w:t>route, but</w:t>
      </w:r>
      <w:proofErr w:type="gramEnd"/>
      <w:r w:rsidR="00302FE6">
        <w:t xml:space="preserve"> </w:t>
      </w:r>
      <w:r w:rsidR="00E524AC">
        <w:t xml:space="preserve">was not produced for the purpose of depicting highways </w:t>
      </w:r>
      <w:r w:rsidR="00602464">
        <w:t>and is of limited evidential value as a result.</w:t>
      </w:r>
    </w:p>
    <w:p w14:paraId="64BD4858" w14:textId="7E30D859" w:rsidR="003860BA" w:rsidRPr="003860BA" w:rsidRDefault="003860BA" w:rsidP="003860BA">
      <w:pPr>
        <w:pStyle w:val="Style1"/>
        <w:rPr>
          <w:color w:val="auto"/>
        </w:rPr>
      </w:pPr>
      <w:r w:rsidRPr="003860BA">
        <w:rPr>
          <w:color w:val="auto"/>
        </w:rPr>
        <w:t xml:space="preserve">Whilst the Highway </w:t>
      </w:r>
      <w:r w:rsidR="009B1432">
        <w:rPr>
          <w:color w:val="auto"/>
        </w:rPr>
        <w:t>District</w:t>
      </w:r>
      <w:r w:rsidRPr="003860BA">
        <w:rPr>
          <w:color w:val="auto"/>
        </w:rPr>
        <w:t xml:space="preserve"> map depicts the Order route, the Board is not recorded as liable for its maintenance.</w:t>
      </w:r>
      <w:r w:rsidR="005D14AB">
        <w:rPr>
          <w:color w:val="auto"/>
        </w:rPr>
        <w:t xml:space="preserve">  </w:t>
      </w:r>
      <w:r w:rsidRPr="003860BA">
        <w:rPr>
          <w:color w:val="auto"/>
        </w:rPr>
        <w:t>The reason for the route’s inclusion on the map when it is not publicly maintainable is unclear.</w:t>
      </w:r>
    </w:p>
    <w:p w14:paraId="6869EA70" w14:textId="1FBCE540" w:rsidR="00453AF8" w:rsidRDefault="00C248E2" w:rsidP="00501A6B">
      <w:pPr>
        <w:pStyle w:val="Style1"/>
      </w:pPr>
      <w:r>
        <w:t xml:space="preserve">The Highway Board </w:t>
      </w:r>
      <w:r w:rsidR="00643AA5">
        <w:t>carried out some repairs to “the roads near” Higher Eastham’s Farm in 1883.</w:t>
      </w:r>
      <w:r w:rsidR="00AA7216">
        <w:t xml:space="preserve">  Nevertheless, this </w:t>
      </w:r>
      <w:r w:rsidR="00657838">
        <w:t xml:space="preserve">evidence </w:t>
      </w:r>
      <w:r w:rsidR="003C4F0B">
        <w:t xml:space="preserve">is locationally imprecise.  </w:t>
      </w:r>
      <w:r w:rsidR="003B5E46">
        <w:t>Moreover</w:t>
      </w:r>
      <w:r w:rsidR="003C4F0B">
        <w:t xml:space="preserve">, </w:t>
      </w:r>
      <w:r w:rsidR="006C0AD7">
        <w:t xml:space="preserve">it </w:t>
      </w:r>
      <w:r w:rsidR="00657838">
        <w:t xml:space="preserve">is preceded by a Highway Board map which records the route as an occupation </w:t>
      </w:r>
      <w:proofErr w:type="gramStart"/>
      <w:r w:rsidR="00657838">
        <w:t>road, and</w:t>
      </w:r>
      <w:proofErr w:type="gramEnd"/>
      <w:r w:rsidR="00657838">
        <w:t xml:space="preserve"> </w:t>
      </w:r>
      <w:r w:rsidR="00230B06">
        <w:t xml:space="preserve">followed by </w:t>
      </w:r>
      <w:r w:rsidR="00AB7143">
        <w:t xml:space="preserve">evidence which shows that the </w:t>
      </w:r>
      <w:r w:rsidR="00014650">
        <w:t>C</w:t>
      </w:r>
      <w:r w:rsidR="00AB7143">
        <w:t>ouncil</w:t>
      </w:r>
      <w:r w:rsidR="009A3B01">
        <w:t xml:space="preserve"> later</w:t>
      </w:r>
      <w:r w:rsidR="00AB7143">
        <w:t xml:space="preserve"> sought clarification on any liability to repair </w:t>
      </w:r>
      <w:r w:rsidR="000349C6">
        <w:t>occupation roads.</w:t>
      </w:r>
      <w:r w:rsidR="006C0AD7">
        <w:t xml:space="preserve"> Th</w:t>
      </w:r>
      <w:r w:rsidR="00F02847">
        <w:t>is last evidence</w:t>
      </w:r>
      <w:r w:rsidR="006C0AD7">
        <w:t xml:space="preserve"> suggests that the Council </w:t>
      </w:r>
      <w:r w:rsidR="004D4314">
        <w:t>may have</w:t>
      </w:r>
      <w:r w:rsidR="00BA1AD2">
        <w:t xml:space="preserve"> been carrying out maintenance of routes including those which it considered to be occupation roads.</w:t>
      </w:r>
      <w:r w:rsidR="00BE0EBB">
        <w:t xml:space="preserve">  </w:t>
      </w:r>
      <w:r w:rsidR="003B5E46">
        <w:t>Furthermore</w:t>
      </w:r>
      <w:r w:rsidR="003035D8">
        <w:t xml:space="preserve">, </w:t>
      </w:r>
      <w:r w:rsidR="003A1B65">
        <w:t xml:space="preserve">footpaths were also </w:t>
      </w:r>
      <w:r w:rsidR="000C232E">
        <w:t xml:space="preserve">publicly maintainable at the time and the </w:t>
      </w:r>
      <w:r w:rsidR="004A48F6">
        <w:t xml:space="preserve">repair evidence is silent on whether the “roads” </w:t>
      </w:r>
      <w:r w:rsidR="00DE1B71">
        <w:t>might have been</w:t>
      </w:r>
      <w:r w:rsidR="004A48F6">
        <w:t xml:space="preserve"> considered to carry this status.</w:t>
      </w:r>
      <w:r w:rsidR="00DE1B71">
        <w:t xml:space="preserve">  </w:t>
      </w:r>
      <w:r w:rsidR="00BE0EBB">
        <w:t xml:space="preserve">For these reasons the Highway Board evidence does not </w:t>
      </w:r>
      <w:r w:rsidR="00957C96">
        <w:lastRenderedPageBreak/>
        <w:t xml:space="preserve">provide </w:t>
      </w:r>
      <w:r w:rsidR="006F338D">
        <w:t xml:space="preserve">unequivocal </w:t>
      </w:r>
      <w:r w:rsidR="00BE0EBB">
        <w:t xml:space="preserve">support </w:t>
      </w:r>
      <w:r w:rsidR="00E41A10">
        <w:t xml:space="preserve">for </w:t>
      </w:r>
      <w:r w:rsidR="00730E8D">
        <w:t>the hypothesis that the</w:t>
      </w:r>
      <w:r w:rsidR="00ED7F52">
        <w:t xml:space="preserve"> board </w:t>
      </w:r>
      <w:r w:rsidR="00A00333">
        <w:t xml:space="preserve">maintained the </w:t>
      </w:r>
      <w:r w:rsidR="00730E8D">
        <w:t>route</w:t>
      </w:r>
      <w:r w:rsidR="00A00333">
        <w:t xml:space="preserve"> at the time because it</w:t>
      </w:r>
      <w:r w:rsidR="00730E8D">
        <w:t xml:space="preserve"> </w:t>
      </w:r>
      <w:r w:rsidR="00B87C82">
        <w:t xml:space="preserve">was considered to </w:t>
      </w:r>
      <w:r w:rsidR="00730E8D">
        <w:t>carr</w:t>
      </w:r>
      <w:r w:rsidR="00197673">
        <w:t>y</w:t>
      </w:r>
      <w:r w:rsidR="00ED7F52">
        <w:t xml:space="preserve"> </w:t>
      </w:r>
      <w:r w:rsidR="00B52CBD">
        <w:t xml:space="preserve">public </w:t>
      </w:r>
      <w:r w:rsidR="00730E8D">
        <w:t>vehicular or equestrian</w:t>
      </w:r>
      <w:r w:rsidR="00B52CBD">
        <w:t xml:space="preserve"> </w:t>
      </w:r>
      <w:r w:rsidR="00730E8D">
        <w:t>rights.</w:t>
      </w:r>
    </w:p>
    <w:p w14:paraId="53DE243D" w14:textId="2C4D42BE" w:rsidR="008B4DAD" w:rsidRDefault="004E7C9E" w:rsidP="00453AF8">
      <w:pPr>
        <w:pStyle w:val="Style1"/>
        <w:rPr>
          <w:color w:val="auto"/>
        </w:rPr>
      </w:pPr>
      <w:r>
        <w:rPr>
          <w:color w:val="auto"/>
        </w:rPr>
        <w:t>T</w:t>
      </w:r>
      <w:r w:rsidR="00453AF8" w:rsidRPr="00453AF8">
        <w:rPr>
          <w:color w:val="auto"/>
        </w:rPr>
        <w:t xml:space="preserve">he </w:t>
      </w:r>
      <w:r w:rsidR="002D7D46">
        <w:rPr>
          <w:color w:val="auto"/>
        </w:rPr>
        <w:t xml:space="preserve">exchange of lands agreements </w:t>
      </w:r>
      <w:r w:rsidR="00453AF8" w:rsidRPr="00453AF8">
        <w:rPr>
          <w:color w:val="auto"/>
        </w:rPr>
        <w:t xml:space="preserve">extracts </w:t>
      </w:r>
      <w:proofErr w:type="gramStart"/>
      <w:r w:rsidR="00453AF8" w:rsidRPr="00453AF8">
        <w:rPr>
          <w:color w:val="auto"/>
        </w:rPr>
        <w:t>are</w:t>
      </w:r>
      <w:proofErr w:type="gramEnd"/>
      <w:r w:rsidR="00453AF8" w:rsidRPr="00453AF8">
        <w:rPr>
          <w:color w:val="auto"/>
        </w:rPr>
        <w:t xml:space="preserve"> limited and it is not possible to say with </w:t>
      </w:r>
      <w:r w:rsidR="00165E58">
        <w:rPr>
          <w:color w:val="auto"/>
        </w:rPr>
        <w:t>any clarity</w:t>
      </w:r>
      <w:r w:rsidR="00453AF8" w:rsidRPr="00453AF8">
        <w:rPr>
          <w:color w:val="auto"/>
        </w:rPr>
        <w:t xml:space="preserve"> why a private easement is not recorded to the land in question.  The existence of public vehicular rights could be an explanation, but there could equally be other reasons.  The document was not produced for the purpose of depicting the status of the routes shown.</w:t>
      </w:r>
    </w:p>
    <w:p w14:paraId="46E05364" w14:textId="6A8E4E2F" w:rsidR="003A1F34" w:rsidRDefault="008B4DAD" w:rsidP="008B4DAD">
      <w:pPr>
        <w:pStyle w:val="Style1"/>
        <w:rPr>
          <w:color w:val="auto"/>
        </w:rPr>
      </w:pPr>
      <w:r w:rsidRPr="008B4DAD">
        <w:rPr>
          <w:color w:val="auto"/>
        </w:rPr>
        <w:t>Given the variety of route descriptions used and the variation in their modern-day status from carriageway to footpath, it is difficult to draw conclusions regarding the believed status of the routes concerned from th</w:t>
      </w:r>
      <w:r w:rsidR="00AC47F2">
        <w:rPr>
          <w:color w:val="auto"/>
        </w:rPr>
        <w:t>e OS Name Book</w:t>
      </w:r>
      <w:r w:rsidRPr="008B4DAD">
        <w:rPr>
          <w:color w:val="auto"/>
        </w:rPr>
        <w:t xml:space="preserve">.  </w:t>
      </w:r>
    </w:p>
    <w:p w14:paraId="02E8D251" w14:textId="3F54E48E" w:rsidR="00D34F92" w:rsidRPr="003A1F34" w:rsidRDefault="003A1F34" w:rsidP="003A1F34">
      <w:pPr>
        <w:pStyle w:val="Style1"/>
        <w:rPr>
          <w:color w:val="auto"/>
        </w:rPr>
      </w:pPr>
      <w:r w:rsidRPr="003A1F34">
        <w:rPr>
          <w:color w:val="auto"/>
        </w:rPr>
        <w:t>An extract from instructions to OS surveyors from the start of the twentieth century is provided.  This sets out that footpaths should be marked “F.P.” so as to avoid “their being mistaken on the plans for roads traversable by horses or wheeled traffic”.  Nevertheless, OS</w:t>
      </w:r>
      <w:r w:rsidR="002D6CC8">
        <w:rPr>
          <w:color w:val="auto"/>
        </w:rPr>
        <w:t xml:space="preserve"> m</w:t>
      </w:r>
      <w:r w:rsidRPr="003A1F34">
        <w:rPr>
          <w:color w:val="auto"/>
        </w:rPr>
        <w:t xml:space="preserve">aps generally provide a reliable indication of </w:t>
      </w:r>
      <w:proofErr w:type="gramStart"/>
      <w:r w:rsidRPr="003A1F34">
        <w:rPr>
          <w:color w:val="auto"/>
        </w:rPr>
        <w:t>particular physical</w:t>
      </w:r>
      <w:proofErr w:type="gramEnd"/>
      <w:r w:rsidRPr="003A1F34">
        <w:rPr>
          <w:color w:val="auto"/>
        </w:rPr>
        <w:t xml:space="preserve"> features when the land was surveyed. They do not set out to record the status of any paths or tracks shown.  The depiction of an enclosed lane without the “F.P” initials is consequently of limited value in support of the way being a vehicular highway. </w:t>
      </w:r>
    </w:p>
    <w:p w14:paraId="3A8F7682" w14:textId="140DAFDD" w:rsidR="00A84F4E" w:rsidRPr="00C44C1B" w:rsidRDefault="00A84F4E" w:rsidP="00A84F4E">
      <w:pPr>
        <w:pStyle w:val="Style1"/>
        <w:rPr>
          <w:color w:val="0070C0"/>
        </w:rPr>
      </w:pPr>
      <w:r w:rsidRPr="004B661B">
        <w:rPr>
          <w:color w:val="auto"/>
        </w:rPr>
        <w:t xml:space="preserve">The boundaries of hereditaments </w:t>
      </w:r>
      <w:r>
        <w:rPr>
          <w:color w:val="auto"/>
        </w:rPr>
        <w:t xml:space="preserve">on the Finance Act map </w:t>
      </w:r>
      <w:r w:rsidRPr="004B661B">
        <w:rPr>
          <w:color w:val="auto"/>
        </w:rPr>
        <w:t xml:space="preserve">have been marked </w:t>
      </w:r>
      <w:r w:rsidR="00B21F45">
        <w:rPr>
          <w:color w:val="auto"/>
        </w:rPr>
        <w:t>relatively clearly</w:t>
      </w:r>
      <w:r>
        <w:rPr>
          <w:color w:val="auto"/>
        </w:rPr>
        <w:t>, suggesting that care was taken in its production</w:t>
      </w:r>
      <w:r w:rsidRPr="004B661B">
        <w:rPr>
          <w:color w:val="auto"/>
        </w:rPr>
        <w:t>.</w:t>
      </w:r>
      <w:r>
        <w:rPr>
          <w:color w:val="auto"/>
        </w:rPr>
        <w:t xml:space="preserve">  Nevertheless, a satisfactory explanation for matters such as the lack of colouring of some parcels and the extension of colouring over the Order route at some points is not apparent.  These leave aspects of the approach to producing the map </w:t>
      </w:r>
      <w:proofErr w:type="gramStart"/>
      <w:r>
        <w:rPr>
          <w:color w:val="auto"/>
        </w:rPr>
        <w:t>equivocal, and</w:t>
      </w:r>
      <w:proofErr w:type="gramEnd"/>
      <w:r>
        <w:rPr>
          <w:color w:val="auto"/>
        </w:rPr>
        <w:t xml:space="preserve"> reduce the evidential weight which I am able to apply to it.</w:t>
      </w:r>
    </w:p>
    <w:p w14:paraId="65410678" w14:textId="17730605" w:rsidR="000B0DD9" w:rsidRPr="000B0DD9" w:rsidRDefault="00C44C1B" w:rsidP="000B0DD9">
      <w:pPr>
        <w:pStyle w:val="Style1"/>
        <w:rPr>
          <w:color w:val="auto"/>
        </w:rPr>
      </w:pPr>
      <w:r w:rsidRPr="000B0DD9">
        <w:rPr>
          <w:color w:val="auto"/>
        </w:rPr>
        <w:t xml:space="preserve">Whilst </w:t>
      </w:r>
      <w:proofErr w:type="gramStart"/>
      <w:r w:rsidRPr="000B0DD9">
        <w:rPr>
          <w:color w:val="auto"/>
        </w:rPr>
        <w:t>the majority of</w:t>
      </w:r>
      <w:proofErr w:type="gramEnd"/>
      <w:r w:rsidRPr="000B0DD9">
        <w:rPr>
          <w:color w:val="auto"/>
        </w:rPr>
        <w:t xml:space="preserve"> the route is shown on the Finance Act map as excluded from surrounding land parcels, a section of it is shown to lie within parcel 1582.</w:t>
      </w:r>
      <w:r w:rsidR="000B0DD9">
        <w:rPr>
          <w:color w:val="auto"/>
        </w:rPr>
        <w:t xml:space="preserve">  </w:t>
      </w:r>
      <w:r w:rsidR="000B0DD9" w:rsidRPr="000B0DD9">
        <w:rPr>
          <w:color w:val="auto"/>
        </w:rPr>
        <w:t>This reduces the ability of the Finance Act evidence to support the assertion that the route is a vehicular highway, because it introduces ambiguity regarding the ability of public vehicular traffic to pass and repass over the entirety of the route at that time.</w:t>
      </w:r>
      <w:r w:rsidRPr="000B0DD9">
        <w:rPr>
          <w:color w:val="auto"/>
        </w:rPr>
        <w:t xml:space="preserve">  </w:t>
      </w:r>
    </w:p>
    <w:p w14:paraId="6C207924" w14:textId="734CD1C9" w:rsidR="00C44C1B" w:rsidRPr="00C44C1B" w:rsidRDefault="00C44C1B" w:rsidP="00C44C1B">
      <w:pPr>
        <w:pStyle w:val="Style1"/>
        <w:rPr>
          <w:color w:val="auto"/>
        </w:rPr>
      </w:pPr>
      <w:r w:rsidRPr="00C44C1B">
        <w:rPr>
          <w:color w:val="auto"/>
        </w:rPr>
        <w:t xml:space="preserve">The submission that </w:t>
      </w:r>
      <w:proofErr w:type="gramStart"/>
      <w:r w:rsidR="000B0DD9">
        <w:rPr>
          <w:color w:val="auto"/>
        </w:rPr>
        <w:t>parcel</w:t>
      </w:r>
      <w:proofErr w:type="gramEnd"/>
      <w:r w:rsidR="00332957">
        <w:rPr>
          <w:color w:val="auto"/>
        </w:rPr>
        <w:t xml:space="preserve"> number</w:t>
      </w:r>
      <w:r w:rsidR="000B0DD9">
        <w:rPr>
          <w:color w:val="auto"/>
        </w:rPr>
        <w:t xml:space="preserve"> 1582</w:t>
      </w:r>
      <w:r w:rsidRPr="00C44C1B">
        <w:rPr>
          <w:color w:val="auto"/>
        </w:rPr>
        <w:t xml:space="preserve"> is the only land parcel where ownership is the same on both sides of the route fails to account for the exclusion of a section of the southern end of Higher </w:t>
      </w:r>
      <w:proofErr w:type="spellStart"/>
      <w:r w:rsidRPr="00C44C1B">
        <w:rPr>
          <w:color w:val="auto"/>
        </w:rPr>
        <w:t>Easthams</w:t>
      </w:r>
      <w:proofErr w:type="spellEnd"/>
      <w:r w:rsidRPr="00C44C1B">
        <w:rPr>
          <w:color w:val="auto"/>
        </w:rPr>
        <w:t xml:space="preserve"> Lane from the same parcel.  Hence it does not adequately explain the difference in the recording of the Order route through </w:t>
      </w:r>
      <w:r w:rsidR="005828CF">
        <w:rPr>
          <w:color w:val="auto"/>
        </w:rPr>
        <w:t>parcel</w:t>
      </w:r>
      <w:r w:rsidRPr="00C44C1B">
        <w:rPr>
          <w:color w:val="auto"/>
        </w:rPr>
        <w:t xml:space="preserve"> 1582.</w:t>
      </w:r>
    </w:p>
    <w:p w14:paraId="0D71EDD0" w14:textId="00D7480F" w:rsidR="00A07163" w:rsidRDefault="00324185" w:rsidP="00324185">
      <w:pPr>
        <w:pStyle w:val="Style1"/>
        <w:rPr>
          <w:color w:val="auto"/>
        </w:rPr>
      </w:pPr>
      <w:r w:rsidRPr="00324185">
        <w:rPr>
          <w:color w:val="auto"/>
        </w:rPr>
        <w:t>It is unclear whether deductions for “public rights of way or user” claimed in respect of the parcel concerned relate to the Order route, other public rights of way which cross the land, or all of these.  The existence of a vehicular highway is one explanation which could account for the route’s exclusion from surrounding land parcels.  Nevertheless, the existence of highways was incidental to the Finance Act and there may be other reasons for its exclusion.</w:t>
      </w:r>
    </w:p>
    <w:p w14:paraId="75EE3A90" w14:textId="1D6A7F7C" w:rsidR="00787C2D" w:rsidRDefault="0085212E" w:rsidP="00501A6B">
      <w:pPr>
        <w:pStyle w:val="Style1"/>
        <w:rPr>
          <w:color w:val="auto"/>
        </w:rPr>
      </w:pPr>
      <w:r>
        <w:rPr>
          <w:color w:val="auto"/>
        </w:rPr>
        <w:t>I note the submission that case law</w:t>
      </w:r>
      <w:r w:rsidR="00337EAF">
        <w:rPr>
          <w:rStyle w:val="FootnoteReference"/>
          <w:color w:val="auto"/>
        </w:rPr>
        <w:footnoteReference w:id="1"/>
      </w:r>
      <w:r>
        <w:rPr>
          <w:color w:val="auto"/>
        </w:rPr>
        <w:t xml:space="preserve"> provides support</w:t>
      </w:r>
      <w:r w:rsidR="00907253">
        <w:rPr>
          <w:color w:val="auto"/>
        </w:rPr>
        <w:t xml:space="preserve"> for an</w:t>
      </w:r>
      <w:r w:rsidR="00CF2DA2">
        <w:rPr>
          <w:color w:val="auto"/>
        </w:rPr>
        <w:t xml:space="preserve"> </w:t>
      </w:r>
      <w:r w:rsidR="00DE3A70">
        <w:rPr>
          <w:color w:val="auto"/>
        </w:rPr>
        <w:t>interpretation of Bar</w:t>
      </w:r>
      <w:r w:rsidR="00CF2DA2">
        <w:rPr>
          <w:color w:val="auto"/>
        </w:rPr>
        <w:t>tholomew</w:t>
      </w:r>
      <w:r w:rsidR="00907253">
        <w:rPr>
          <w:color w:val="auto"/>
        </w:rPr>
        <w:t>’s</w:t>
      </w:r>
      <w:r w:rsidR="00CF2DA2">
        <w:rPr>
          <w:color w:val="auto"/>
        </w:rPr>
        <w:t xml:space="preserve"> Map as showing a </w:t>
      </w:r>
      <w:r w:rsidR="000B3F7B">
        <w:rPr>
          <w:color w:val="auto"/>
        </w:rPr>
        <w:t xml:space="preserve">public carriageway </w:t>
      </w:r>
      <w:r w:rsidR="00907253">
        <w:rPr>
          <w:color w:val="auto"/>
        </w:rPr>
        <w:t xml:space="preserve">along the route.  </w:t>
      </w:r>
      <w:r w:rsidR="000B3F7B">
        <w:rPr>
          <w:color w:val="auto"/>
        </w:rPr>
        <w:lastRenderedPageBreak/>
        <w:t>Nevertheless, I treat this</w:t>
      </w:r>
      <w:r w:rsidR="00FD1282">
        <w:rPr>
          <w:color w:val="auto"/>
        </w:rPr>
        <w:t xml:space="preserve"> submission</w:t>
      </w:r>
      <w:r w:rsidR="000B3F7B">
        <w:rPr>
          <w:color w:val="auto"/>
        </w:rPr>
        <w:t xml:space="preserve"> with some caution as</w:t>
      </w:r>
      <w:r w:rsidR="00FD1282">
        <w:rPr>
          <w:color w:val="auto"/>
        </w:rPr>
        <w:t xml:space="preserve"> th</w:t>
      </w:r>
      <w:r w:rsidR="00A25D2C">
        <w:rPr>
          <w:color w:val="auto"/>
        </w:rPr>
        <w:t>at</w:t>
      </w:r>
      <w:r w:rsidR="00FD1282">
        <w:rPr>
          <w:color w:val="auto"/>
        </w:rPr>
        <w:t xml:space="preserve"> case considered</w:t>
      </w:r>
      <w:r w:rsidR="0061737F">
        <w:rPr>
          <w:color w:val="auto"/>
        </w:rPr>
        <w:t xml:space="preserve"> </w:t>
      </w:r>
      <w:r w:rsidR="00907253">
        <w:rPr>
          <w:color w:val="auto"/>
        </w:rPr>
        <w:t>different</w:t>
      </w:r>
      <w:r w:rsidR="0061737F">
        <w:rPr>
          <w:color w:val="auto"/>
        </w:rPr>
        <w:t xml:space="preserve"> </w:t>
      </w:r>
      <w:r w:rsidR="00907253">
        <w:rPr>
          <w:color w:val="auto"/>
        </w:rPr>
        <w:t xml:space="preserve">map </w:t>
      </w:r>
      <w:r w:rsidR="0061737F">
        <w:rPr>
          <w:color w:val="auto"/>
        </w:rPr>
        <w:t>editions from the 192</w:t>
      </w:r>
      <w:r w:rsidR="00697601">
        <w:rPr>
          <w:color w:val="auto"/>
        </w:rPr>
        <w:t>7</w:t>
      </w:r>
      <w:r w:rsidR="0061737F">
        <w:rPr>
          <w:color w:val="auto"/>
        </w:rPr>
        <w:t xml:space="preserve"> </w:t>
      </w:r>
      <w:r w:rsidR="00A40679">
        <w:rPr>
          <w:color w:val="auto"/>
        </w:rPr>
        <w:t>map</w:t>
      </w:r>
      <w:r w:rsidR="0061737F">
        <w:rPr>
          <w:color w:val="auto"/>
        </w:rPr>
        <w:t xml:space="preserve"> submitted in this case</w:t>
      </w:r>
      <w:r w:rsidR="00251419">
        <w:rPr>
          <w:color w:val="auto"/>
        </w:rPr>
        <w:t>, with different accompanying legends</w:t>
      </w:r>
      <w:r w:rsidR="0061737F">
        <w:rPr>
          <w:color w:val="auto"/>
        </w:rPr>
        <w:t>.</w:t>
      </w:r>
      <w:r w:rsidR="00251419">
        <w:rPr>
          <w:color w:val="auto"/>
        </w:rPr>
        <w:t xml:space="preserve">  Furthermore, the </w:t>
      </w:r>
      <w:r w:rsidR="00514FD2">
        <w:rPr>
          <w:color w:val="auto"/>
        </w:rPr>
        <w:t>judgment</w:t>
      </w:r>
      <w:r w:rsidR="00251419">
        <w:rPr>
          <w:color w:val="auto"/>
        </w:rPr>
        <w:t xml:space="preserve"> notes that </w:t>
      </w:r>
      <w:r w:rsidR="00B155BD">
        <w:rPr>
          <w:color w:val="auto"/>
        </w:rPr>
        <w:t>“one cannot place much weight on Bartholomew’s maps, or indeed any map which does not have the positive function</w:t>
      </w:r>
      <w:r w:rsidR="000422DD">
        <w:rPr>
          <w:color w:val="auto"/>
        </w:rPr>
        <w:t xml:space="preserve"> of identifying public carriageways”.</w:t>
      </w:r>
    </w:p>
    <w:p w14:paraId="35507863" w14:textId="30A847A7" w:rsidR="002F26AF" w:rsidRPr="000258FA" w:rsidRDefault="002F26AF" w:rsidP="00501A6B">
      <w:pPr>
        <w:pStyle w:val="Style1"/>
        <w:rPr>
          <w:color w:val="auto"/>
        </w:rPr>
      </w:pPr>
      <w:r w:rsidRPr="000258FA">
        <w:rPr>
          <w:color w:val="auto"/>
        </w:rPr>
        <w:t>Th</w:t>
      </w:r>
      <w:r w:rsidR="000258FA" w:rsidRPr="000258FA">
        <w:rPr>
          <w:color w:val="auto"/>
        </w:rPr>
        <w:t xml:space="preserve">e uncoloured road </w:t>
      </w:r>
      <w:r w:rsidRPr="000258FA">
        <w:rPr>
          <w:color w:val="auto"/>
        </w:rPr>
        <w:t xml:space="preserve">designation </w:t>
      </w:r>
      <w:r w:rsidR="008407C4">
        <w:rPr>
          <w:color w:val="auto"/>
        </w:rPr>
        <w:t xml:space="preserve">on the Bartholomew’s Map </w:t>
      </w:r>
      <w:r w:rsidRPr="000258FA">
        <w:rPr>
          <w:color w:val="auto"/>
        </w:rPr>
        <w:t>relates to the condition of the route at the time of the survey. There is nothing to suggest that the legal status of roads shown on th</w:t>
      </w:r>
      <w:r w:rsidR="00491671" w:rsidRPr="000258FA">
        <w:rPr>
          <w:color w:val="auto"/>
        </w:rPr>
        <w:t xml:space="preserve">e </w:t>
      </w:r>
      <w:r w:rsidRPr="000258FA">
        <w:rPr>
          <w:color w:val="auto"/>
        </w:rPr>
        <w:t xml:space="preserve">map </w:t>
      </w:r>
      <w:r w:rsidR="00491671" w:rsidRPr="000258FA">
        <w:rPr>
          <w:color w:val="auto"/>
        </w:rPr>
        <w:t>was</w:t>
      </w:r>
      <w:r w:rsidRPr="000258FA">
        <w:rPr>
          <w:color w:val="auto"/>
        </w:rPr>
        <w:t xml:space="preserve"> investigat</w:t>
      </w:r>
      <w:r w:rsidR="00491671" w:rsidRPr="000258FA">
        <w:rPr>
          <w:color w:val="auto"/>
        </w:rPr>
        <w:t>ed</w:t>
      </w:r>
      <w:r w:rsidR="000258FA" w:rsidRPr="000258FA">
        <w:rPr>
          <w:color w:val="auto"/>
        </w:rPr>
        <w:t>.  Furthermore</w:t>
      </w:r>
      <w:r w:rsidR="00491671" w:rsidRPr="000258FA">
        <w:rPr>
          <w:color w:val="auto"/>
        </w:rPr>
        <w:t>,</w:t>
      </w:r>
      <w:r w:rsidRPr="000258FA">
        <w:rPr>
          <w:color w:val="auto"/>
        </w:rPr>
        <w:t xml:space="preserve"> </w:t>
      </w:r>
      <w:r w:rsidR="00491671" w:rsidRPr="000258FA">
        <w:rPr>
          <w:color w:val="auto"/>
        </w:rPr>
        <w:t>the map</w:t>
      </w:r>
      <w:r w:rsidRPr="000258FA">
        <w:rPr>
          <w:color w:val="auto"/>
        </w:rPr>
        <w:t xml:space="preserve"> carries a disclaimer that</w:t>
      </w:r>
      <w:r w:rsidR="000258FA" w:rsidRPr="000258FA">
        <w:rPr>
          <w:color w:val="auto"/>
        </w:rPr>
        <w:t xml:space="preserve"> “the representation of a road or footpath is no evidence of the existence of a right of way”.</w:t>
      </w:r>
    </w:p>
    <w:p w14:paraId="453B2CBF" w14:textId="37444AE6" w:rsidR="00C62FCF" w:rsidRDefault="00087BF2" w:rsidP="00992CF5">
      <w:pPr>
        <w:pStyle w:val="Style1"/>
      </w:pPr>
      <w:r>
        <w:t>The a</w:t>
      </w:r>
      <w:r w:rsidR="00C62FCF">
        <w:t xml:space="preserve">erial </w:t>
      </w:r>
      <w:r>
        <w:t xml:space="preserve">photograph shows the physical existence of the route at the </w:t>
      </w:r>
      <w:proofErr w:type="gramStart"/>
      <w:r>
        <w:t>time, but</w:t>
      </w:r>
      <w:proofErr w:type="gramEnd"/>
      <w:r>
        <w:t xml:space="preserve"> does not provide evidence of its status.</w:t>
      </w:r>
    </w:p>
    <w:p w14:paraId="2298C007" w14:textId="6A5EF4C7" w:rsidR="00992CF5" w:rsidRDefault="00992CF5" w:rsidP="00992CF5">
      <w:pPr>
        <w:pStyle w:val="Style1"/>
      </w:pPr>
      <w:r>
        <w:t>It was open to the parish surveyors to record the route in their survey cards as one carrying additional rights such as a bridleway or RUPP, however it was recorded as a footpath.</w:t>
      </w:r>
    </w:p>
    <w:p w14:paraId="2AF89D72" w14:textId="07D76114" w:rsidR="00992CF5" w:rsidRDefault="00992CF5" w:rsidP="00992CF5">
      <w:pPr>
        <w:pStyle w:val="Style1"/>
      </w:pPr>
      <w:r>
        <w:t>Section 28 of the N</w:t>
      </w:r>
      <w:r w:rsidR="00336998">
        <w:t xml:space="preserve">ational </w:t>
      </w:r>
      <w:r>
        <w:t>P</w:t>
      </w:r>
      <w:r w:rsidR="00336998">
        <w:t xml:space="preserve">arks and </w:t>
      </w:r>
      <w:r>
        <w:t>A</w:t>
      </w:r>
      <w:r w:rsidR="00336998">
        <w:t xml:space="preserve">ccess to the </w:t>
      </w:r>
      <w:r>
        <w:t>C</w:t>
      </w:r>
      <w:r w:rsidR="00336998">
        <w:t xml:space="preserve">ountryside </w:t>
      </w:r>
      <w:r>
        <w:t>A</w:t>
      </w:r>
      <w:r w:rsidR="00336998">
        <w:t>ct</w:t>
      </w:r>
      <w:r w:rsidR="00B6229A">
        <w:t xml:space="preserve"> 1949</w:t>
      </w:r>
      <w:r>
        <w:t xml:space="preserve"> required the Town Council to consider the contents of the parish survey prior to the publication of the Draft Map in 1954, which </w:t>
      </w:r>
      <w:proofErr w:type="gramStart"/>
      <w:r>
        <w:t>took into account</w:t>
      </w:r>
      <w:proofErr w:type="gramEnd"/>
      <w:r>
        <w:t xml:space="preserve"> all evidence discovered.  It is therefore likely that the alteration in the recording of the route from a footpath in the survey to a footpath/RUPP in the Draft Map arose either </w:t>
      </w:r>
      <w:proofErr w:type="gramStart"/>
      <w:r>
        <w:t>as a result of</w:t>
      </w:r>
      <w:proofErr w:type="gramEnd"/>
      <w:r>
        <w:t xml:space="preserve"> the Town Council’s checking of the survey information, or from evidence supplied by another party.</w:t>
      </w:r>
    </w:p>
    <w:p w14:paraId="17C91DE7" w14:textId="0F37BEB2" w:rsidR="007C4AA2" w:rsidRDefault="007C4AA2" w:rsidP="007C4AA2">
      <w:pPr>
        <w:pStyle w:val="Style1"/>
      </w:pPr>
      <w:r>
        <w:t>The Ministry of Town Planning’s Circular 91, paragraph 5 of 30 June 1950 advised authorities that “all the paths likely to come forward to serious consideration should, if possible, be included in the draft map and border-line cases should be decided in favour of inclusion rather than omission at the first stage”.</w:t>
      </w:r>
      <w:r w:rsidR="005F0429">
        <w:t xml:space="preserve">  </w:t>
      </w:r>
      <w:r w:rsidR="00D1596E">
        <w:t>It is consequently possible that the route</w:t>
      </w:r>
      <w:r w:rsidR="00FF0D06">
        <w:t xml:space="preserve"> was considered such a border-line case, giving rise to its</w:t>
      </w:r>
      <w:r w:rsidR="00D1596E">
        <w:t xml:space="preserve"> dual depiction in the Draft Map</w:t>
      </w:r>
      <w:r w:rsidR="00FF0D06">
        <w:t>.</w:t>
      </w:r>
      <w:r w:rsidR="00D1596E">
        <w:t xml:space="preserve"> </w:t>
      </w:r>
    </w:p>
    <w:p w14:paraId="4E29546D" w14:textId="3F5C2E98" w:rsidR="00992CF5" w:rsidRPr="00992CF5" w:rsidRDefault="00992CF5" w:rsidP="00992CF5">
      <w:pPr>
        <w:pStyle w:val="Style1"/>
      </w:pPr>
      <w:r>
        <w:t xml:space="preserve">Public notice was given of the Draft Map and Statement, and anyone could object to their contents.  The equivocal depiction on the Draft Map of </w:t>
      </w:r>
      <w:r w:rsidR="00B573E8">
        <w:t>the route</w:t>
      </w:r>
      <w:r>
        <w:t xml:space="preserve"> as both a footpath and a RUPP was open to challenge by anyone who considered that it carried the “higher” status of the two.  However, no objections were received to the Draft Map.  </w:t>
      </w:r>
    </w:p>
    <w:p w14:paraId="56D23005" w14:textId="23816FD9" w:rsidR="001C783A" w:rsidRDefault="00F47AA1" w:rsidP="005E16C7">
      <w:pPr>
        <w:pStyle w:val="Style1"/>
        <w:rPr>
          <w:color w:val="auto"/>
        </w:rPr>
      </w:pPr>
      <w:r>
        <w:rPr>
          <w:color w:val="auto"/>
        </w:rPr>
        <w:t>It is su</w:t>
      </w:r>
      <w:r w:rsidR="00DC3BDA">
        <w:rPr>
          <w:color w:val="auto"/>
        </w:rPr>
        <w:t>ggest</w:t>
      </w:r>
      <w:r>
        <w:rPr>
          <w:color w:val="auto"/>
        </w:rPr>
        <w:t>ed that case law</w:t>
      </w:r>
      <w:r w:rsidR="00DC3BDA">
        <w:rPr>
          <w:rStyle w:val="FootnoteReference"/>
          <w:color w:val="auto"/>
        </w:rPr>
        <w:footnoteReference w:id="2"/>
      </w:r>
      <w:r>
        <w:rPr>
          <w:color w:val="auto"/>
        </w:rPr>
        <w:t xml:space="preserve"> </w:t>
      </w:r>
      <w:r w:rsidR="00B47934">
        <w:rPr>
          <w:color w:val="auto"/>
        </w:rPr>
        <w:t>supports t</w:t>
      </w:r>
      <w:r w:rsidR="00DC3BDA">
        <w:rPr>
          <w:color w:val="auto"/>
        </w:rPr>
        <w:t>he submission that the route is part of the local road network.</w:t>
      </w:r>
      <w:r w:rsidR="000038D1">
        <w:rPr>
          <w:color w:val="auto"/>
        </w:rPr>
        <w:t xml:space="preserve">  Th</w:t>
      </w:r>
      <w:r w:rsidR="007F7E61">
        <w:rPr>
          <w:color w:val="auto"/>
        </w:rPr>
        <w:t>at</w:t>
      </w:r>
      <w:r w:rsidR="000038D1">
        <w:rPr>
          <w:color w:val="auto"/>
        </w:rPr>
        <w:t xml:space="preserve"> case </w:t>
      </w:r>
      <w:r w:rsidR="00532F41">
        <w:rPr>
          <w:color w:val="auto"/>
        </w:rPr>
        <w:t xml:space="preserve">suggested that </w:t>
      </w:r>
      <w:r w:rsidR="00297C87">
        <w:rPr>
          <w:color w:val="auto"/>
        </w:rPr>
        <w:t xml:space="preserve">historic </w:t>
      </w:r>
      <w:r w:rsidR="00532F41">
        <w:rPr>
          <w:color w:val="auto"/>
        </w:rPr>
        <w:t>use of the lane concerned must have been “either…as part of a network of highways (</w:t>
      </w:r>
      <w:proofErr w:type="gramStart"/>
      <w:r w:rsidR="00532F41">
        <w:rPr>
          <w:color w:val="auto"/>
        </w:rPr>
        <w:t>i.e.</w:t>
      </w:r>
      <w:proofErr w:type="gramEnd"/>
      <w:r w:rsidR="00532F41">
        <w:rPr>
          <w:color w:val="auto"/>
        </w:rPr>
        <w:t xml:space="preserve"> as a thoroughfare) or they were visiting some particular place simply as members of the public”.</w:t>
      </w:r>
      <w:r w:rsidR="00C35773">
        <w:rPr>
          <w:color w:val="auto"/>
        </w:rPr>
        <w:t xml:space="preserve">  </w:t>
      </w:r>
    </w:p>
    <w:p w14:paraId="45CDA883" w14:textId="30293F91" w:rsidR="00FA0B9A" w:rsidRPr="00967927" w:rsidRDefault="00FA0B9A" w:rsidP="00FA0B9A">
      <w:pPr>
        <w:pStyle w:val="Style1"/>
        <w:rPr>
          <w:b/>
          <w:bCs/>
          <w:i/>
          <w:iCs/>
          <w:color w:val="auto"/>
        </w:rPr>
      </w:pPr>
      <w:r w:rsidRPr="00FA0B9A">
        <w:rPr>
          <w:color w:val="auto"/>
        </w:rPr>
        <w:t xml:space="preserve">The </w:t>
      </w:r>
      <w:r w:rsidR="00827E80">
        <w:rPr>
          <w:color w:val="auto"/>
        </w:rPr>
        <w:t xml:space="preserve">Order route </w:t>
      </w:r>
      <w:r w:rsidRPr="00FA0B9A">
        <w:rPr>
          <w:color w:val="auto"/>
        </w:rPr>
        <w:t>form</w:t>
      </w:r>
      <w:r w:rsidR="00827E80">
        <w:rPr>
          <w:color w:val="auto"/>
        </w:rPr>
        <w:t>s</w:t>
      </w:r>
      <w:r w:rsidRPr="00FA0B9A">
        <w:rPr>
          <w:color w:val="auto"/>
        </w:rPr>
        <w:t xml:space="preserve"> a loop which leaves and then </w:t>
      </w:r>
      <w:proofErr w:type="spellStart"/>
      <w:r w:rsidRPr="00FA0B9A">
        <w:rPr>
          <w:color w:val="auto"/>
        </w:rPr>
        <w:t>rejoins</w:t>
      </w:r>
      <w:proofErr w:type="spellEnd"/>
      <w:r w:rsidRPr="00FA0B9A">
        <w:rPr>
          <w:color w:val="auto"/>
        </w:rPr>
        <w:t xml:space="preserve"> Yeovil Road.  There are no</w:t>
      </w:r>
      <w:r w:rsidR="00C62E9A">
        <w:rPr>
          <w:color w:val="auto"/>
        </w:rPr>
        <w:t xml:space="preserve"> </w:t>
      </w:r>
      <w:r w:rsidRPr="00FA0B9A">
        <w:rPr>
          <w:color w:val="auto"/>
        </w:rPr>
        <w:t xml:space="preserve">submissions before me to suggest a reason why the public might </w:t>
      </w:r>
      <w:r w:rsidR="009B41BB">
        <w:rPr>
          <w:color w:val="auto"/>
        </w:rPr>
        <w:t xml:space="preserve">have historically </w:t>
      </w:r>
      <w:r w:rsidRPr="00FA0B9A">
        <w:rPr>
          <w:color w:val="auto"/>
        </w:rPr>
        <w:t>elect</w:t>
      </w:r>
      <w:r w:rsidR="009B41BB">
        <w:rPr>
          <w:color w:val="auto"/>
        </w:rPr>
        <w:t>ed</w:t>
      </w:r>
      <w:r w:rsidRPr="00FA0B9A">
        <w:rPr>
          <w:color w:val="auto"/>
        </w:rPr>
        <w:t xml:space="preserve"> to leave the Yeovil Road in carts and wagons to follow a longer and </w:t>
      </w:r>
      <w:r w:rsidR="009B56D6">
        <w:rPr>
          <w:color w:val="auto"/>
        </w:rPr>
        <w:t xml:space="preserve">apparently </w:t>
      </w:r>
      <w:r w:rsidRPr="00FA0B9A">
        <w:rPr>
          <w:color w:val="auto"/>
        </w:rPr>
        <w:t xml:space="preserve">less suitable route for such use and then to </w:t>
      </w:r>
      <w:proofErr w:type="spellStart"/>
      <w:r w:rsidRPr="00FA0B9A">
        <w:rPr>
          <w:color w:val="auto"/>
        </w:rPr>
        <w:t>rejoin</w:t>
      </w:r>
      <w:proofErr w:type="spellEnd"/>
      <w:r w:rsidRPr="00FA0B9A">
        <w:rPr>
          <w:color w:val="auto"/>
        </w:rPr>
        <w:t xml:space="preserve"> Yeovil Road.  Definitive paths which adjoin the route </w:t>
      </w:r>
      <w:r w:rsidR="00A97F3E">
        <w:rPr>
          <w:color w:val="auto"/>
        </w:rPr>
        <w:t xml:space="preserve">to the south </w:t>
      </w:r>
      <w:r w:rsidRPr="00FA0B9A">
        <w:rPr>
          <w:color w:val="auto"/>
        </w:rPr>
        <w:t xml:space="preserve">have the status of footpath, so that the Order route would have formed a connecting route to these for </w:t>
      </w:r>
      <w:r w:rsidR="007A5B0F">
        <w:rPr>
          <w:color w:val="auto"/>
        </w:rPr>
        <w:t>pedestrian</w:t>
      </w:r>
      <w:r w:rsidRPr="00FA0B9A">
        <w:rPr>
          <w:color w:val="auto"/>
        </w:rPr>
        <w:t xml:space="preserve"> use</w:t>
      </w:r>
      <w:r w:rsidR="009E5087">
        <w:rPr>
          <w:color w:val="auto"/>
        </w:rPr>
        <w:t xml:space="preserve"> only</w:t>
      </w:r>
      <w:r w:rsidRPr="00FA0B9A">
        <w:rPr>
          <w:color w:val="auto"/>
        </w:rPr>
        <w:t xml:space="preserve">.  </w:t>
      </w:r>
      <w:r w:rsidR="00A97F3E">
        <w:rPr>
          <w:color w:val="auto"/>
        </w:rPr>
        <w:t>Thus</w:t>
      </w:r>
      <w:r w:rsidRPr="00FA0B9A">
        <w:rPr>
          <w:color w:val="auto"/>
        </w:rPr>
        <w:t xml:space="preserve">, the route has no public vehicular destination other than the same section of highway as that from which it </w:t>
      </w:r>
      <w:r w:rsidRPr="00FA0B9A">
        <w:rPr>
          <w:color w:val="auto"/>
        </w:rPr>
        <w:lastRenderedPageBreak/>
        <w:t>departed.</w:t>
      </w:r>
      <w:r w:rsidR="00BA2115">
        <w:t xml:space="preserve">  A</w:t>
      </w:r>
      <w:r w:rsidR="00BA2115" w:rsidRPr="00AB04EE">
        <w:t>s the route is at least twice the distance of that between Points A and D, it forms a significantly more circuitous route than use of Yeovil Road.  There is no suggestion that</w:t>
      </w:r>
      <w:r w:rsidR="001B13C0">
        <w:t xml:space="preserve"> it </w:t>
      </w:r>
      <w:r w:rsidR="00BA2115" w:rsidRPr="00AB04EE">
        <w:t xml:space="preserve">offered, for example, a less </w:t>
      </w:r>
      <w:proofErr w:type="spellStart"/>
      <w:r w:rsidR="00BA2115" w:rsidRPr="00AB04EE">
        <w:t>founderous</w:t>
      </w:r>
      <w:proofErr w:type="spellEnd"/>
      <w:r w:rsidR="00BA2115" w:rsidRPr="00AB04EE">
        <w:t xml:space="preserve"> way than Yeovil Road in wet weather</w:t>
      </w:r>
      <w:r w:rsidR="00BA2115">
        <w:t xml:space="preserve">.  For these reasons the route is consequently unlikely to have formed a </w:t>
      </w:r>
      <w:r w:rsidR="0079774F">
        <w:t xml:space="preserve">public vehicular </w:t>
      </w:r>
      <w:r w:rsidR="00BA2115">
        <w:t>thoroughfare</w:t>
      </w:r>
      <w:r w:rsidR="001E6C56" w:rsidRPr="001E6C56">
        <w:rPr>
          <w:color w:val="auto"/>
        </w:rPr>
        <w:t xml:space="preserve"> </w:t>
      </w:r>
      <w:r w:rsidR="001E6C56">
        <w:rPr>
          <w:color w:val="auto"/>
        </w:rPr>
        <w:t xml:space="preserve">which formed part of a network of highways as envisaged by the </w:t>
      </w:r>
      <w:r w:rsidR="006E3448" w:rsidRPr="006E3448">
        <w:rPr>
          <w:i/>
          <w:iCs/>
          <w:color w:val="auto"/>
        </w:rPr>
        <w:t>Fortune</w:t>
      </w:r>
      <w:r w:rsidR="006E3448">
        <w:rPr>
          <w:color w:val="auto"/>
        </w:rPr>
        <w:t xml:space="preserve"> case</w:t>
      </w:r>
      <w:r w:rsidR="00BA2115">
        <w:t>.</w:t>
      </w:r>
    </w:p>
    <w:p w14:paraId="23CC41F8" w14:textId="471FB603" w:rsidR="007A5B0F" w:rsidRDefault="00072264" w:rsidP="007A5B0F">
      <w:pPr>
        <w:pStyle w:val="Style1"/>
      </w:pPr>
      <w:r>
        <w:t>Turning to the other consideration</w:t>
      </w:r>
      <w:r w:rsidR="00522F21">
        <w:rPr>
          <w:i/>
          <w:iCs/>
        </w:rPr>
        <w:t xml:space="preserve"> </w:t>
      </w:r>
      <w:r w:rsidR="006E3448">
        <w:t>referred to</w:t>
      </w:r>
      <w:r w:rsidR="008D492C">
        <w:t xml:space="preserve"> in </w:t>
      </w:r>
      <w:r w:rsidR="008D492C" w:rsidRPr="008D492C">
        <w:rPr>
          <w:i/>
          <w:iCs/>
        </w:rPr>
        <w:t>Fortune</w:t>
      </w:r>
      <w:r w:rsidR="008D492C">
        <w:t>,</w:t>
      </w:r>
      <w:r>
        <w:t xml:space="preserve"> </w:t>
      </w:r>
      <w:r w:rsidR="007A5B0F" w:rsidRPr="00CF715D">
        <w:t xml:space="preserve">there is no evidence that members of the public were using the route to visit some </w:t>
      </w:r>
      <w:proofErr w:type="gramStart"/>
      <w:r w:rsidR="007A5B0F" w:rsidRPr="00CF715D">
        <w:t>particular place</w:t>
      </w:r>
      <w:proofErr w:type="gramEnd"/>
      <w:r w:rsidR="007A5B0F" w:rsidRPr="00CF715D">
        <w:t xml:space="preserve">.  Thus, the </w:t>
      </w:r>
      <w:r w:rsidR="00643F3D">
        <w:t>extracted</w:t>
      </w:r>
      <w:r w:rsidR="003136AB">
        <w:t xml:space="preserve"> points from the </w:t>
      </w:r>
      <w:r w:rsidR="003136AB" w:rsidRPr="006E3448">
        <w:rPr>
          <w:i/>
          <w:iCs/>
        </w:rPr>
        <w:t>Fortune</w:t>
      </w:r>
      <w:r w:rsidR="003136AB">
        <w:t xml:space="preserve"> case do not provide support for confirmation of the </w:t>
      </w:r>
      <w:r w:rsidR="00180001">
        <w:t>O</w:t>
      </w:r>
      <w:r w:rsidR="003136AB">
        <w:t>rder before me.</w:t>
      </w:r>
    </w:p>
    <w:p w14:paraId="54AAF738" w14:textId="4C51B0A8" w:rsidR="007B65D2" w:rsidRPr="007B65D2" w:rsidRDefault="007B65D2" w:rsidP="007B65D2">
      <w:pPr>
        <w:pStyle w:val="Style1"/>
        <w:rPr>
          <w:b/>
          <w:bCs/>
          <w:i/>
          <w:iCs/>
          <w:color w:val="auto"/>
        </w:rPr>
      </w:pPr>
      <w:r w:rsidRPr="007B65D2">
        <w:rPr>
          <w:color w:val="auto"/>
        </w:rPr>
        <w:t>Case law</w:t>
      </w:r>
      <w:r>
        <w:rPr>
          <w:rStyle w:val="FootnoteReference"/>
          <w:color w:val="auto"/>
        </w:rPr>
        <w:footnoteReference w:id="3"/>
      </w:r>
      <w:r w:rsidRPr="007B65D2">
        <w:rPr>
          <w:color w:val="auto"/>
        </w:rPr>
        <w:t xml:space="preserve"> referred to in submissions concerning the meaning of the term “lane” defines the term as usually meaning a minor road between one main road and another.  However, the definition distinguishes between two main roads.  In this case the route returns to the same section of road from which it departed.  </w:t>
      </w:r>
      <w:r w:rsidR="003163CF">
        <w:rPr>
          <w:color w:val="auto"/>
        </w:rPr>
        <w:t>Thus</w:t>
      </w:r>
      <w:r w:rsidRPr="007B65D2">
        <w:rPr>
          <w:color w:val="auto"/>
        </w:rPr>
        <w:t xml:space="preserve">, whilst the Order route is named </w:t>
      </w:r>
      <w:r w:rsidR="003163CF">
        <w:rPr>
          <w:color w:val="auto"/>
        </w:rPr>
        <w:t xml:space="preserve">as </w:t>
      </w:r>
      <w:r w:rsidRPr="007B65D2">
        <w:rPr>
          <w:color w:val="auto"/>
        </w:rPr>
        <w:t>a lane, it is materially different from the type of route referred to in the cases.</w:t>
      </w:r>
      <w:r w:rsidR="00AE03A6">
        <w:rPr>
          <w:color w:val="auto"/>
        </w:rPr>
        <w:t xml:space="preserve">  They consequently do not provide support for confirmation of the order.</w:t>
      </w:r>
      <w:r w:rsidRPr="007B65D2">
        <w:rPr>
          <w:color w:val="auto"/>
        </w:rPr>
        <w:t xml:space="preserve">  </w:t>
      </w:r>
    </w:p>
    <w:p w14:paraId="6D702AFA" w14:textId="34DB5B87" w:rsidR="0064288C" w:rsidRDefault="00791866" w:rsidP="0064288C">
      <w:pPr>
        <w:pStyle w:val="Style1"/>
        <w:rPr>
          <w:color w:val="auto"/>
        </w:rPr>
      </w:pPr>
      <w:r>
        <w:rPr>
          <w:color w:val="auto"/>
        </w:rPr>
        <w:t xml:space="preserve">A parish boundary exists along Higher </w:t>
      </w:r>
      <w:proofErr w:type="spellStart"/>
      <w:r>
        <w:rPr>
          <w:color w:val="auto"/>
        </w:rPr>
        <w:t>Easthams</w:t>
      </w:r>
      <w:proofErr w:type="spellEnd"/>
      <w:r>
        <w:rPr>
          <w:color w:val="auto"/>
        </w:rPr>
        <w:t xml:space="preserve"> Lane.  I concur with the submission that </w:t>
      </w:r>
      <w:r w:rsidR="00657305">
        <w:rPr>
          <w:color w:val="auto"/>
        </w:rPr>
        <w:t xml:space="preserve">many </w:t>
      </w:r>
      <w:r>
        <w:rPr>
          <w:color w:val="auto"/>
        </w:rPr>
        <w:t xml:space="preserve">such </w:t>
      </w:r>
      <w:r w:rsidR="00D2637A">
        <w:rPr>
          <w:color w:val="auto"/>
        </w:rPr>
        <w:t xml:space="preserve">administrative </w:t>
      </w:r>
      <w:r>
        <w:rPr>
          <w:color w:val="auto"/>
        </w:rPr>
        <w:t>boundaries follow relatively permanent landscape features.</w:t>
      </w:r>
      <w:r w:rsidR="00FF63ED">
        <w:rPr>
          <w:color w:val="auto"/>
        </w:rPr>
        <w:t xml:space="preserve">  The lane is a </w:t>
      </w:r>
      <w:r w:rsidR="004A6145">
        <w:rPr>
          <w:color w:val="auto"/>
        </w:rPr>
        <w:t>track between banks and hedgerow of some age</w:t>
      </w:r>
      <w:r w:rsidR="00443EAE">
        <w:rPr>
          <w:color w:val="auto"/>
        </w:rPr>
        <w:t xml:space="preserve">, and there is no dispute that it </w:t>
      </w:r>
      <w:r w:rsidR="00F17C0B">
        <w:rPr>
          <w:color w:val="auto"/>
        </w:rPr>
        <w:t>has historically carried public</w:t>
      </w:r>
      <w:r w:rsidR="00F27426">
        <w:rPr>
          <w:color w:val="auto"/>
        </w:rPr>
        <w:t xml:space="preserve"> </w:t>
      </w:r>
      <w:r w:rsidR="00F17C0B">
        <w:rPr>
          <w:color w:val="auto"/>
        </w:rPr>
        <w:t>rights</w:t>
      </w:r>
      <w:r w:rsidR="004A6145">
        <w:rPr>
          <w:color w:val="auto"/>
        </w:rPr>
        <w:t>.</w:t>
      </w:r>
      <w:r w:rsidR="00F27426">
        <w:rPr>
          <w:color w:val="auto"/>
        </w:rPr>
        <w:t xml:space="preserve">  Nevertheless, th</w:t>
      </w:r>
      <w:r w:rsidR="00735140">
        <w:rPr>
          <w:color w:val="auto"/>
        </w:rPr>
        <w:t>e coexistent parish boundary</w:t>
      </w:r>
      <w:r w:rsidR="00FF0BB5">
        <w:rPr>
          <w:color w:val="auto"/>
        </w:rPr>
        <w:t xml:space="preserve"> does not </w:t>
      </w:r>
      <w:r w:rsidR="00CC1A53">
        <w:rPr>
          <w:color w:val="auto"/>
        </w:rPr>
        <w:t>assist in ascertaining the status of these</w:t>
      </w:r>
      <w:r w:rsidR="00FF0BB5" w:rsidRPr="00CC1A53">
        <w:rPr>
          <w:color w:val="auto"/>
        </w:rPr>
        <w:t>.</w:t>
      </w:r>
    </w:p>
    <w:p w14:paraId="5E53224F" w14:textId="1B427950" w:rsidR="0064288C" w:rsidRPr="0064288C" w:rsidRDefault="00D910CF" w:rsidP="0064288C">
      <w:pPr>
        <w:pStyle w:val="Style1"/>
        <w:numPr>
          <w:ilvl w:val="0"/>
          <w:numId w:val="22"/>
        </w:numPr>
        <w:rPr>
          <w:color w:val="auto"/>
        </w:rPr>
      </w:pPr>
      <w:r>
        <w:rPr>
          <w:color w:val="auto"/>
        </w:rPr>
        <w:t xml:space="preserve">Whilst I note the </w:t>
      </w:r>
      <w:r w:rsidR="00F01FFD">
        <w:rPr>
          <w:color w:val="auto"/>
        </w:rPr>
        <w:t xml:space="preserve">comparison of the numbers of </w:t>
      </w:r>
      <w:r w:rsidR="003056EB">
        <w:rPr>
          <w:color w:val="auto"/>
        </w:rPr>
        <w:t xml:space="preserve">different types of definitive rights of way in the area, </w:t>
      </w:r>
      <w:r w:rsidR="00BA1D41">
        <w:rPr>
          <w:color w:val="auto"/>
        </w:rPr>
        <w:t>th</w:t>
      </w:r>
      <w:r w:rsidR="00EE34D1">
        <w:rPr>
          <w:color w:val="auto"/>
        </w:rPr>
        <w:t xml:space="preserve">e likelihood or otherwise of this providing support for the existence of unrecorded public vehicular or equestrian rights along the route </w:t>
      </w:r>
      <w:r w:rsidR="00BA1D41">
        <w:rPr>
          <w:color w:val="auto"/>
        </w:rPr>
        <w:t>is conjecture</w:t>
      </w:r>
      <w:r w:rsidR="009A23F1">
        <w:rPr>
          <w:color w:val="auto"/>
        </w:rPr>
        <w:t xml:space="preserve">.  As a result, it </w:t>
      </w:r>
      <w:r w:rsidR="00BA1D41">
        <w:rPr>
          <w:color w:val="auto"/>
        </w:rPr>
        <w:t xml:space="preserve">cannot provide support for the </w:t>
      </w:r>
      <w:r w:rsidR="00590443">
        <w:rPr>
          <w:color w:val="auto"/>
        </w:rPr>
        <w:t xml:space="preserve">order before </w:t>
      </w:r>
      <w:r w:rsidR="009A23F1">
        <w:rPr>
          <w:color w:val="auto"/>
        </w:rPr>
        <w:t>me</w:t>
      </w:r>
      <w:r w:rsidR="00590443">
        <w:rPr>
          <w:color w:val="auto"/>
        </w:rPr>
        <w:t>.</w:t>
      </w:r>
      <w:r w:rsidR="00EC6FD5">
        <w:rPr>
          <w:color w:val="auto"/>
        </w:rPr>
        <w:t xml:space="preserve"> </w:t>
      </w:r>
    </w:p>
    <w:p w14:paraId="21AA2407" w14:textId="3F9AE80D" w:rsidR="00F23DE0" w:rsidRDefault="004B5684" w:rsidP="004B5684">
      <w:pPr>
        <w:pStyle w:val="Style1"/>
        <w:numPr>
          <w:ilvl w:val="0"/>
          <w:numId w:val="0"/>
        </w:numPr>
        <w:rPr>
          <w:b/>
          <w:bCs/>
        </w:rPr>
      </w:pPr>
      <w:r w:rsidRPr="004B5684">
        <w:rPr>
          <w:b/>
          <w:bCs/>
        </w:rPr>
        <w:t>Other Matters</w:t>
      </w:r>
      <w:r w:rsidR="005544F1" w:rsidRPr="004B5684">
        <w:rPr>
          <w:b/>
          <w:bCs/>
        </w:rPr>
        <w:t xml:space="preserve">  </w:t>
      </w:r>
      <w:r w:rsidR="002C7C0F" w:rsidRPr="004B5684">
        <w:rPr>
          <w:b/>
          <w:bCs/>
        </w:rPr>
        <w:t xml:space="preserve">  </w:t>
      </w:r>
      <w:r w:rsidR="00915E99" w:rsidRPr="004B5684">
        <w:rPr>
          <w:b/>
          <w:bCs/>
        </w:rPr>
        <w:t xml:space="preserve"> </w:t>
      </w:r>
      <w:r w:rsidR="00A4227F" w:rsidRPr="004B5684">
        <w:rPr>
          <w:b/>
          <w:bCs/>
        </w:rPr>
        <w:t xml:space="preserve">  </w:t>
      </w:r>
      <w:r w:rsidR="008110F7" w:rsidRPr="004B5684">
        <w:rPr>
          <w:b/>
          <w:bCs/>
        </w:rPr>
        <w:t xml:space="preserve">  </w:t>
      </w:r>
    </w:p>
    <w:p w14:paraId="09C38658" w14:textId="49DD6341" w:rsidR="007B0774" w:rsidRPr="00627768" w:rsidRDefault="007B0774" w:rsidP="007B0774">
      <w:pPr>
        <w:pStyle w:val="Style1"/>
        <w:rPr>
          <w:i/>
          <w:iCs/>
        </w:rPr>
      </w:pPr>
      <w:r>
        <w:t xml:space="preserve">Whilst I acknowledge concerns raised regarding the suitability of the route for equestrian use, </w:t>
      </w:r>
      <w:r w:rsidR="007832CC">
        <w:t>the effect on wildlife</w:t>
      </w:r>
      <w:r w:rsidR="0028732E">
        <w:t xml:space="preserve">, </w:t>
      </w:r>
      <w:r w:rsidR="007832CC">
        <w:t>maintenance of the route</w:t>
      </w:r>
      <w:r w:rsidR="0028732E">
        <w:t xml:space="preserve"> and the Council’s approach</w:t>
      </w:r>
      <w:r w:rsidR="007832CC">
        <w:t xml:space="preserve">, </w:t>
      </w:r>
      <w:r w:rsidRPr="007B0774">
        <w:t>I cannot give them weight in reaching my decision</w:t>
      </w:r>
      <w:r>
        <w:t xml:space="preserve"> </w:t>
      </w:r>
      <w:r w:rsidRPr="007B0774">
        <w:t>as they lie outside the criteria set out within the relevant legislation</w:t>
      </w:r>
      <w:r>
        <w:t>.</w:t>
      </w:r>
    </w:p>
    <w:p w14:paraId="01BFF343" w14:textId="67770DF9" w:rsidR="00627768" w:rsidRDefault="00627768" w:rsidP="00627768">
      <w:pPr>
        <w:pStyle w:val="Style1"/>
        <w:numPr>
          <w:ilvl w:val="0"/>
          <w:numId w:val="0"/>
        </w:numPr>
        <w:rPr>
          <w:b/>
          <w:bCs/>
          <w:color w:val="auto"/>
        </w:rPr>
      </w:pPr>
      <w:r w:rsidRPr="00627768">
        <w:rPr>
          <w:b/>
          <w:bCs/>
          <w:color w:val="auto"/>
        </w:rPr>
        <w:t>Conclusion</w:t>
      </w:r>
    </w:p>
    <w:p w14:paraId="0C791D12" w14:textId="765D25E2" w:rsidR="00E24AD4" w:rsidRPr="00E24AD4" w:rsidRDefault="00092C09" w:rsidP="00E24AD4">
      <w:pPr>
        <w:pStyle w:val="Style1"/>
        <w:rPr>
          <w:b/>
          <w:bCs/>
          <w:i/>
          <w:iCs/>
          <w:color w:val="auto"/>
        </w:rPr>
      </w:pPr>
      <w:r w:rsidRPr="00E24AD4">
        <w:rPr>
          <w:color w:val="auto"/>
        </w:rPr>
        <w:t>The</w:t>
      </w:r>
      <w:r w:rsidR="00257E9C" w:rsidRPr="00E24AD4">
        <w:rPr>
          <w:color w:val="auto"/>
        </w:rPr>
        <w:t xml:space="preserve"> </w:t>
      </w:r>
      <w:r w:rsidRPr="00E24AD4">
        <w:rPr>
          <w:color w:val="auto"/>
        </w:rPr>
        <w:t xml:space="preserve">Order </w:t>
      </w:r>
      <w:r w:rsidR="00257E9C" w:rsidRPr="00E24AD4">
        <w:rPr>
          <w:color w:val="auto"/>
        </w:rPr>
        <w:t>route has physically existed</w:t>
      </w:r>
      <w:r w:rsidRPr="00E24AD4">
        <w:rPr>
          <w:color w:val="auto"/>
        </w:rPr>
        <w:t xml:space="preserve"> for centuries and </w:t>
      </w:r>
      <w:r w:rsidR="00257E9C" w:rsidRPr="00E24AD4">
        <w:rPr>
          <w:color w:val="auto"/>
        </w:rPr>
        <w:t xml:space="preserve">the documents indicate a level of </w:t>
      </w:r>
      <w:r w:rsidR="00CF3ED5" w:rsidRPr="00E24AD4">
        <w:rPr>
          <w:color w:val="auto"/>
        </w:rPr>
        <w:t>public access</w:t>
      </w:r>
      <w:r w:rsidR="003122F7">
        <w:rPr>
          <w:color w:val="auto"/>
        </w:rPr>
        <w:t xml:space="preserve"> over it</w:t>
      </w:r>
      <w:r w:rsidR="00152AAC">
        <w:rPr>
          <w:color w:val="auto"/>
        </w:rPr>
        <w:t xml:space="preserve"> </w:t>
      </w:r>
      <w:r w:rsidR="00455F8C">
        <w:rPr>
          <w:color w:val="auto"/>
        </w:rPr>
        <w:t>historically</w:t>
      </w:r>
      <w:r w:rsidR="00CF3ED5" w:rsidRPr="00E24AD4">
        <w:rPr>
          <w:color w:val="auto"/>
        </w:rPr>
        <w:t xml:space="preserve">.  </w:t>
      </w:r>
      <w:r w:rsidR="005745B4" w:rsidRPr="00E24AD4">
        <w:rPr>
          <w:color w:val="auto"/>
        </w:rPr>
        <w:t xml:space="preserve">Whilst the Finance Act documents could suggest public vehicular rights over part of the route, </w:t>
      </w:r>
      <w:proofErr w:type="gramStart"/>
      <w:r w:rsidR="005745B4" w:rsidRPr="00E24AD4">
        <w:rPr>
          <w:color w:val="auto"/>
        </w:rPr>
        <w:t>the majority of</w:t>
      </w:r>
      <w:proofErr w:type="gramEnd"/>
      <w:r w:rsidR="005745B4" w:rsidRPr="00E24AD4">
        <w:rPr>
          <w:color w:val="auto"/>
        </w:rPr>
        <w:t xml:space="preserve"> the evidence from before and since then does not demonstrate the existence of any such rights.</w:t>
      </w:r>
      <w:r w:rsidR="00591412">
        <w:rPr>
          <w:color w:val="auto"/>
        </w:rPr>
        <w:t xml:space="preserve">  </w:t>
      </w:r>
      <w:r w:rsidR="00FF6AD3" w:rsidRPr="004221F0">
        <w:rPr>
          <w:color w:val="auto"/>
        </w:rPr>
        <w:t xml:space="preserve">The evidence </w:t>
      </w:r>
      <w:r w:rsidR="00FF6A7E">
        <w:rPr>
          <w:color w:val="auto"/>
        </w:rPr>
        <w:t xml:space="preserve">is </w:t>
      </w:r>
      <w:r w:rsidR="00FF6AD3" w:rsidRPr="004221F0">
        <w:rPr>
          <w:color w:val="auto"/>
        </w:rPr>
        <w:t>consequently equivocal</w:t>
      </w:r>
      <w:r w:rsidR="0007529E">
        <w:rPr>
          <w:color w:val="auto"/>
        </w:rPr>
        <w:t xml:space="preserve"> concerning any “higher” public rights</w:t>
      </w:r>
      <w:r w:rsidR="00D30684">
        <w:rPr>
          <w:color w:val="auto"/>
        </w:rPr>
        <w:t xml:space="preserve"> than </w:t>
      </w:r>
      <w:r w:rsidR="00B66E8E">
        <w:rPr>
          <w:color w:val="auto"/>
        </w:rPr>
        <w:t>those currently recorded in the DM&amp;S</w:t>
      </w:r>
      <w:r w:rsidR="00FF6AD3" w:rsidRPr="004221F0">
        <w:rPr>
          <w:color w:val="auto"/>
        </w:rPr>
        <w:t>.  For this reason</w:t>
      </w:r>
      <w:r w:rsidR="006E4D45">
        <w:rPr>
          <w:color w:val="auto"/>
        </w:rPr>
        <w:t>,</w:t>
      </w:r>
      <w:r w:rsidR="00FF6AD3" w:rsidRPr="004221F0">
        <w:rPr>
          <w:color w:val="auto"/>
        </w:rPr>
        <w:t xml:space="preserve"> the application fails to pass the balance of probability test.</w:t>
      </w:r>
      <w:r w:rsidR="0005275F">
        <w:rPr>
          <w:color w:val="auto"/>
        </w:rPr>
        <w:t xml:space="preserve">  Thus, having regard to all the evidence before me, I conclude that the DMMO should not be confirmed.</w:t>
      </w:r>
    </w:p>
    <w:p w14:paraId="3A54B46B" w14:textId="77777777" w:rsidR="00F524A4" w:rsidRDefault="00F524A4" w:rsidP="00BD7921">
      <w:pPr>
        <w:pStyle w:val="Style1"/>
        <w:numPr>
          <w:ilvl w:val="0"/>
          <w:numId w:val="0"/>
        </w:numPr>
        <w:rPr>
          <w:b/>
          <w:bCs/>
          <w:color w:val="auto"/>
        </w:rPr>
      </w:pPr>
    </w:p>
    <w:p w14:paraId="2C635555" w14:textId="5738D51E" w:rsidR="00BD7921" w:rsidRPr="00BD7921" w:rsidRDefault="00BD7921" w:rsidP="00BD7921">
      <w:pPr>
        <w:pStyle w:val="Style1"/>
        <w:numPr>
          <w:ilvl w:val="0"/>
          <w:numId w:val="0"/>
        </w:numPr>
        <w:rPr>
          <w:b/>
          <w:bCs/>
          <w:color w:val="auto"/>
        </w:rPr>
      </w:pPr>
      <w:r w:rsidRPr="00BD7921">
        <w:rPr>
          <w:b/>
          <w:bCs/>
          <w:color w:val="auto"/>
        </w:rPr>
        <w:lastRenderedPageBreak/>
        <w:t>Formal Decision</w:t>
      </w:r>
    </w:p>
    <w:p w14:paraId="039A8C34" w14:textId="4550DEA3" w:rsidR="00BD7921" w:rsidRDefault="00BD7921" w:rsidP="00BD7921">
      <w:pPr>
        <w:pStyle w:val="Style1"/>
        <w:numPr>
          <w:ilvl w:val="0"/>
          <w:numId w:val="34"/>
        </w:numPr>
        <w:rPr>
          <w:color w:val="auto"/>
        </w:rPr>
      </w:pPr>
      <w:r w:rsidRPr="00BD7921">
        <w:rPr>
          <w:color w:val="auto"/>
        </w:rPr>
        <w:t xml:space="preserve">I do not confirm the </w:t>
      </w:r>
      <w:r w:rsidR="009F000A">
        <w:rPr>
          <w:color w:val="auto"/>
        </w:rPr>
        <w:t>D</w:t>
      </w:r>
      <w:r w:rsidR="0005275F">
        <w:rPr>
          <w:color w:val="auto"/>
        </w:rPr>
        <w:t>MMO</w:t>
      </w:r>
      <w:r w:rsidRPr="00BD7921">
        <w:rPr>
          <w:color w:val="auto"/>
        </w:rPr>
        <w:t>.</w:t>
      </w:r>
    </w:p>
    <w:p w14:paraId="157BC1C1" w14:textId="0F0625FD" w:rsidR="00BD7921" w:rsidRPr="00BD7921" w:rsidRDefault="00BD7921" w:rsidP="00BD7921">
      <w:pPr>
        <w:pStyle w:val="Style1"/>
        <w:numPr>
          <w:ilvl w:val="0"/>
          <w:numId w:val="0"/>
        </w:numPr>
        <w:rPr>
          <w:rFonts w:ascii="Monotype Corsiva" w:hAnsi="Monotype Corsiva"/>
          <w:i/>
          <w:iCs/>
          <w:color w:val="auto"/>
          <w:sz w:val="36"/>
          <w:szCs w:val="36"/>
        </w:rPr>
      </w:pPr>
      <w:r w:rsidRPr="00BD7921">
        <w:rPr>
          <w:rFonts w:ascii="Monotype Corsiva" w:hAnsi="Monotype Corsiva"/>
          <w:i/>
          <w:iCs/>
          <w:color w:val="auto"/>
          <w:sz w:val="36"/>
          <w:szCs w:val="36"/>
        </w:rPr>
        <w:t>C Beeby</w:t>
      </w:r>
    </w:p>
    <w:p w14:paraId="71BF8ED6" w14:textId="3E5E0061" w:rsidR="00AE05C7" w:rsidRDefault="00BD7921" w:rsidP="00F83D71">
      <w:pPr>
        <w:pStyle w:val="Style1"/>
        <w:numPr>
          <w:ilvl w:val="0"/>
          <w:numId w:val="0"/>
        </w:numPr>
        <w:rPr>
          <w:color w:val="auto"/>
        </w:rPr>
      </w:pPr>
      <w:r>
        <w:rPr>
          <w:color w:val="auto"/>
        </w:rPr>
        <w:t>INSPECTOR</w:t>
      </w:r>
    </w:p>
    <w:p w14:paraId="374150B9" w14:textId="5FC2879F" w:rsidR="00565260" w:rsidRDefault="00565260">
      <w:pPr>
        <w:rPr>
          <w:kern w:val="28"/>
        </w:rPr>
      </w:pPr>
      <w:r>
        <w:br w:type="page"/>
      </w:r>
    </w:p>
    <w:p w14:paraId="44D9C45D" w14:textId="226A7933" w:rsidR="00565260" w:rsidRPr="0015036D" w:rsidRDefault="00565260" w:rsidP="00F83D71">
      <w:pPr>
        <w:pStyle w:val="Style1"/>
        <w:numPr>
          <w:ilvl w:val="0"/>
          <w:numId w:val="0"/>
        </w:numPr>
        <w:rPr>
          <w:color w:val="auto"/>
        </w:rPr>
      </w:pPr>
      <w:r>
        <w:rPr>
          <w:noProof/>
        </w:rPr>
        <w:lastRenderedPageBreak/>
        <w:drawing>
          <wp:inline distT="0" distB="0" distL="0" distR="0" wp14:anchorId="546CDE0E" wp14:editId="5350A40C">
            <wp:extent cx="5908040" cy="8354060"/>
            <wp:effectExtent l="0" t="0" r="0" b="8890"/>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8040" cy="8354060"/>
                    </a:xfrm>
                    <a:prstGeom prst="rect">
                      <a:avLst/>
                    </a:prstGeom>
                    <a:noFill/>
                    <a:ln>
                      <a:noFill/>
                    </a:ln>
                  </pic:spPr>
                </pic:pic>
              </a:graphicData>
            </a:graphic>
          </wp:inline>
        </w:drawing>
      </w:r>
    </w:p>
    <w:sectPr w:rsidR="00565260" w:rsidRPr="0015036D"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40971" w14:textId="77777777" w:rsidR="004320DB" w:rsidRDefault="004320DB" w:rsidP="00F62916">
      <w:r>
        <w:separator/>
      </w:r>
    </w:p>
  </w:endnote>
  <w:endnote w:type="continuationSeparator" w:id="0">
    <w:p w14:paraId="01D285FD" w14:textId="77777777" w:rsidR="004320DB" w:rsidRDefault="004320DB"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45D0"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9E2324"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8029"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0212577" wp14:editId="789BD9F3">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71DE1"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48566615" w14:textId="77777777" w:rsidR="00366F95" w:rsidRPr="00E45340" w:rsidRDefault="004320DB"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A1DB" w14:textId="77777777" w:rsidR="00366F95" w:rsidRDefault="00366F95" w:rsidP="00FD0CF3">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23270F2" wp14:editId="0E052688">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E2829"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2EE03CB4" w14:textId="77777777" w:rsidR="00366F95" w:rsidRPr="00451EE4" w:rsidRDefault="004320DB">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AF190" w14:textId="77777777" w:rsidR="004320DB" w:rsidRDefault="004320DB" w:rsidP="00F62916">
      <w:r>
        <w:separator/>
      </w:r>
    </w:p>
  </w:footnote>
  <w:footnote w:type="continuationSeparator" w:id="0">
    <w:p w14:paraId="09938D17" w14:textId="77777777" w:rsidR="004320DB" w:rsidRDefault="004320DB" w:rsidP="00F62916">
      <w:r>
        <w:continuationSeparator/>
      </w:r>
    </w:p>
  </w:footnote>
  <w:footnote w:id="1">
    <w:p w14:paraId="3DD3026C" w14:textId="10309B2B" w:rsidR="00337EAF" w:rsidRDefault="00337EAF">
      <w:pPr>
        <w:pStyle w:val="FootnoteText"/>
      </w:pPr>
      <w:r>
        <w:rPr>
          <w:rStyle w:val="FootnoteReference"/>
        </w:rPr>
        <w:footnoteRef/>
      </w:r>
      <w:r>
        <w:t xml:space="preserve"> Commission for New Towns &amp; Worcestershire</w:t>
      </w:r>
      <w:r w:rsidR="005957BA">
        <w:t xml:space="preserve"> County Council v JJ Gallagher Ltd [2002] EWHC 2668 (Ch), [2003] 2 P &amp; CR 3</w:t>
      </w:r>
    </w:p>
  </w:footnote>
  <w:footnote w:id="2">
    <w:p w14:paraId="3DA93E03" w14:textId="77139AC0" w:rsidR="00DC3BDA" w:rsidRDefault="00DC3BDA">
      <w:pPr>
        <w:pStyle w:val="FootnoteText"/>
      </w:pPr>
      <w:r>
        <w:rPr>
          <w:rStyle w:val="FootnoteReference"/>
        </w:rPr>
        <w:footnoteRef/>
      </w:r>
      <w:r>
        <w:t xml:space="preserve"> </w:t>
      </w:r>
      <w:r w:rsidR="00E11CC8">
        <w:t xml:space="preserve">Fortune and others v Wiltshire Council and Taylor Wimpey </w:t>
      </w:r>
      <w:r w:rsidR="001A7697">
        <w:t>[2010] EWHC B33 (Ch) [2012] EWCA Civ334</w:t>
      </w:r>
    </w:p>
  </w:footnote>
  <w:footnote w:id="3">
    <w:p w14:paraId="05EC7CBD" w14:textId="77777777" w:rsidR="007B65D2" w:rsidRDefault="007B65D2" w:rsidP="007B65D2">
      <w:pPr>
        <w:pStyle w:val="FootnoteText"/>
      </w:pPr>
      <w:r>
        <w:rPr>
          <w:rStyle w:val="FootnoteReference"/>
        </w:rPr>
        <w:footnoteRef/>
      </w:r>
      <w:r>
        <w:t xml:space="preserve"> A-G v. Council of the Metropolitan Borough of Woolwich [KBD] JP &amp; LGRR, 5 October 1929 and </w:t>
      </w:r>
      <w:r w:rsidRPr="007B0A4A">
        <w:rPr>
          <w:i/>
          <w:iCs/>
        </w:rPr>
        <w:t>Fortune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53C560F7" w14:textId="77777777">
      <w:tc>
        <w:tcPr>
          <w:tcW w:w="9520" w:type="dxa"/>
        </w:tcPr>
        <w:p w14:paraId="764BC4AF" w14:textId="4A598226" w:rsidR="00366F95" w:rsidRDefault="00FD0CF3">
          <w:pPr>
            <w:pStyle w:val="Footer"/>
          </w:pPr>
          <w:r>
            <w:t>Order Decision ROW/3224099/</w:t>
          </w:r>
        </w:p>
      </w:tc>
    </w:tr>
  </w:tbl>
  <w:p w14:paraId="5625B314"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71F89C8A" wp14:editId="38BE53A6">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7933B"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C474"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49F2219A"/>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720"/>
        </w:tabs>
        <w:ind w:left="431" w:hanging="431"/>
      </w:pPr>
      <w:rPr>
        <w:rFonts w:hint="default"/>
      </w:rPr>
    </w:lvl>
    <w:lvl w:ilvl="2">
      <w:start w:val="1"/>
      <w:numFmt w:val="decimal"/>
      <w:pStyle w:val="Heading3"/>
      <w:lvlText w:val="%1.%2.%3"/>
      <w:lvlJc w:val="left"/>
      <w:pPr>
        <w:tabs>
          <w:tab w:val="num" w:pos="720"/>
        </w:tabs>
        <w:ind w:left="431" w:hanging="431"/>
      </w:pPr>
      <w:rPr>
        <w:rFonts w:hint="default"/>
      </w:rPr>
    </w:lvl>
    <w:lvl w:ilvl="3">
      <w:start w:val="1"/>
      <w:numFmt w:val="decimal"/>
      <w:pStyle w:val="Heading4"/>
      <w:lvlText w:val="%1.%2.%3.%4"/>
      <w:lvlJc w:val="left"/>
      <w:pPr>
        <w:tabs>
          <w:tab w:val="num" w:pos="720"/>
        </w:tabs>
        <w:ind w:left="431" w:hanging="431"/>
      </w:pPr>
      <w:rPr>
        <w:rFonts w:hint="default"/>
      </w:rPr>
    </w:lvl>
    <w:lvl w:ilvl="4">
      <w:start w:val="1"/>
      <w:numFmt w:val="decimal"/>
      <w:pStyle w:val="Heading5"/>
      <w:lvlText w:val="%1.%2.%3.%4.%5"/>
      <w:lvlJc w:val="left"/>
      <w:pPr>
        <w:tabs>
          <w:tab w:val="num" w:pos="720"/>
        </w:tabs>
        <w:ind w:left="431" w:hanging="431"/>
      </w:pPr>
      <w:rPr>
        <w:rFonts w:hint="default"/>
      </w:rPr>
    </w:lvl>
    <w:lvl w:ilvl="5">
      <w:start w:val="1"/>
      <w:numFmt w:val="decimal"/>
      <w:lvlText w:val="%1.%2.%3.%4.%5.%6"/>
      <w:lvlJc w:val="left"/>
      <w:pPr>
        <w:tabs>
          <w:tab w:val="num" w:pos="720"/>
        </w:tabs>
        <w:ind w:left="431" w:hanging="431"/>
      </w:pPr>
      <w:rPr>
        <w:rFonts w:hint="default"/>
      </w:rPr>
    </w:lvl>
    <w:lvl w:ilvl="6">
      <w:start w:val="1"/>
      <w:numFmt w:val="decimal"/>
      <w:pStyle w:val="Heading7"/>
      <w:lvlText w:val="%1.%2.%3.%4.%5.%6.%7"/>
      <w:lvlJc w:val="left"/>
      <w:pPr>
        <w:tabs>
          <w:tab w:val="num" w:pos="720"/>
        </w:tabs>
        <w:ind w:left="431" w:hanging="431"/>
      </w:pPr>
      <w:rPr>
        <w:rFonts w:hint="default"/>
      </w:rPr>
    </w:lvl>
    <w:lvl w:ilvl="7">
      <w:start w:val="1"/>
      <w:numFmt w:val="decimal"/>
      <w:pStyle w:val="Heading8"/>
      <w:lvlText w:val="%1.%2.%3.%4.%5.%6.%7.%8"/>
      <w:lvlJc w:val="left"/>
      <w:pPr>
        <w:tabs>
          <w:tab w:val="num" w:pos="720"/>
        </w:tabs>
        <w:ind w:left="431" w:hanging="431"/>
      </w:pPr>
      <w:rPr>
        <w:rFonts w:hint="default"/>
      </w:rPr>
    </w:lvl>
    <w:lvl w:ilvl="8">
      <w:start w:val="1"/>
      <w:numFmt w:val="decimal"/>
      <w:pStyle w:val="Heading9"/>
      <w:lvlText w:val="%1.%2.%3.%4.%5.%6.%7.%8.%9"/>
      <w:lvlJc w:val="left"/>
      <w:pPr>
        <w:tabs>
          <w:tab w:val="num" w:pos="720"/>
        </w:tabs>
        <w:ind w:left="431" w:hanging="431"/>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lvlOverride w:ilvl="0">
      <w:lvl w:ilvl="0">
        <w:start w:val="1"/>
        <w:numFmt w:val="decimal"/>
        <w:pStyle w:val="Style1"/>
        <w:lvlText w:val="%1."/>
        <w:lvlJc w:val="left"/>
        <w:pPr>
          <w:tabs>
            <w:tab w:val="num" w:pos="720"/>
          </w:tabs>
          <w:ind w:left="431" w:hanging="431"/>
        </w:pPr>
        <w:rPr>
          <w:rFonts w:hint="default"/>
          <w:b w:val="0"/>
          <w:bCs w:val="0"/>
          <w:i w:val="0"/>
          <w:iCs w:val="0"/>
          <w:strike w:val="0"/>
          <w:color w:val="auto"/>
        </w:rPr>
      </w:lvl>
    </w:lvlOverride>
    <w:lvlOverride w:ilvl="1">
      <w:lvl w:ilvl="1">
        <w:start w:val="1"/>
        <w:numFmt w:val="decimal"/>
        <w:pStyle w:val="Heading2"/>
        <w:lvlText w:val="%1.%2"/>
        <w:lvlJc w:val="left"/>
        <w:pPr>
          <w:tabs>
            <w:tab w:val="num" w:pos="720"/>
          </w:tabs>
          <w:ind w:left="431" w:hanging="431"/>
        </w:pPr>
        <w:rPr>
          <w:rFonts w:hint="default"/>
        </w:rPr>
      </w:lvl>
    </w:lvlOverride>
    <w:lvlOverride w:ilvl="2">
      <w:lvl w:ilvl="2">
        <w:start w:val="1"/>
        <w:numFmt w:val="decimal"/>
        <w:pStyle w:val="Heading3"/>
        <w:lvlText w:val="%1.%2.%3"/>
        <w:lvlJc w:val="left"/>
        <w:pPr>
          <w:tabs>
            <w:tab w:val="num" w:pos="720"/>
          </w:tabs>
          <w:ind w:left="431" w:hanging="431"/>
        </w:pPr>
        <w:rPr>
          <w:rFonts w:hint="default"/>
        </w:rPr>
      </w:lvl>
    </w:lvlOverride>
    <w:lvlOverride w:ilvl="3">
      <w:lvl w:ilvl="3">
        <w:start w:val="1"/>
        <w:numFmt w:val="decimal"/>
        <w:pStyle w:val="Heading4"/>
        <w:lvlText w:val="%1.%2.%3.%4"/>
        <w:lvlJc w:val="left"/>
        <w:pPr>
          <w:tabs>
            <w:tab w:val="num" w:pos="720"/>
          </w:tabs>
          <w:ind w:left="431" w:hanging="431"/>
        </w:pPr>
        <w:rPr>
          <w:rFonts w:hint="default"/>
        </w:rPr>
      </w:lvl>
    </w:lvlOverride>
    <w:lvlOverride w:ilvl="4">
      <w:lvl w:ilvl="4">
        <w:start w:val="1"/>
        <w:numFmt w:val="decimal"/>
        <w:pStyle w:val="Heading5"/>
        <w:lvlText w:val="%1.%2.%3.%4.%5"/>
        <w:lvlJc w:val="left"/>
        <w:pPr>
          <w:tabs>
            <w:tab w:val="num" w:pos="720"/>
          </w:tabs>
          <w:ind w:left="431" w:hanging="431"/>
        </w:pPr>
        <w:rPr>
          <w:rFonts w:hint="default"/>
        </w:rPr>
      </w:lvl>
    </w:lvlOverride>
    <w:lvlOverride w:ilvl="5">
      <w:lvl w:ilvl="5">
        <w:start w:val="1"/>
        <w:numFmt w:val="decimal"/>
        <w:lvlText w:val="%1.%2.%3.%4.%5.%6"/>
        <w:lvlJc w:val="left"/>
        <w:pPr>
          <w:tabs>
            <w:tab w:val="num" w:pos="720"/>
          </w:tabs>
          <w:ind w:left="431" w:hanging="431"/>
        </w:pPr>
        <w:rPr>
          <w:rFonts w:hint="default"/>
        </w:rPr>
      </w:lvl>
    </w:lvlOverride>
    <w:lvlOverride w:ilvl="6">
      <w:lvl w:ilvl="6">
        <w:start w:val="1"/>
        <w:numFmt w:val="decimal"/>
        <w:pStyle w:val="Heading7"/>
        <w:lvlText w:val="%1.%2.%3.%4.%5.%6.%7"/>
        <w:lvlJc w:val="left"/>
        <w:pPr>
          <w:tabs>
            <w:tab w:val="num" w:pos="720"/>
          </w:tabs>
          <w:ind w:left="431" w:hanging="431"/>
        </w:pPr>
        <w:rPr>
          <w:rFonts w:hint="default"/>
        </w:rPr>
      </w:lvl>
    </w:lvlOverride>
    <w:lvlOverride w:ilvl="7">
      <w:lvl w:ilvl="7">
        <w:start w:val="1"/>
        <w:numFmt w:val="decimal"/>
        <w:pStyle w:val="Heading8"/>
        <w:lvlText w:val="%1.%2.%3.%4.%5.%6.%7.%8"/>
        <w:lvlJc w:val="left"/>
        <w:pPr>
          <w:tabs>
            <w:tab w:val="num" w:pos="720"/>
          </w:tabs>
          <w:ind w:left="431" w:hanging="431"/>
        </w:pPr>
        <w:rPr>
          <w:rFonts w:hint="default"/>
        </w:rPr>
      </w:lvl>
    </w:lvlOverride>
    <w:lvlOverride w:ilvl="8">
      <w:lvl w:ilvl="8">
        <w:start w:val="1"/>
        <w:numFmt w:val="decimal"/>
        <w:pStyle w:val="Heading9"/>
        <w:lvlText w:val="%1.%2.%3.%4.%5.%6.%7.%8.%9"/>
        <w:lvlJc w:val="left"/>
        <w:pPr>
          <w:tabs>
            <w:tab w:val="num" w:pos="720"/>
          </w:tabs>
          <w:ind w:left="431" w:hanging="431"/>
        </w:pPr>
        <w:rPr>
          <w:rFonts w:hint="default"/>
        </w:rPr>
      </w:lvl>
    </w:lvlOverride>
  </w:num>
  <w:num w:numId="22">
    <w:abstractNumId w:val="9"/>
    <w:lvlOverride w:ilvl="0">
      <w:lvl w:ilvl="0">
        <w:start w:val="1"/>
        <w:numFmt w:val="decimal"/>
        <w:pStyle w:val="Style1"/>
        <w:lvlText w:val="%1."/>
        <w:lvlJc w:val="left"/>
        <w:pPr>
          <w:tabs>
            <w:tab w:val="num" w:pos="720"/>
          </w:tabs>
          <w:ind w:left="431" w:hanging="431"/>
        </w:pPr>
        <w:rPr>
          <w:rFonts w:hint="default"/>
          <w:strike w:val="0"/>
          <w:color w:val="auto"/>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abstractNumId w:val="18"/>
  </w:num>
  <w:num w:numId="24">
    <w:abstractNumId w:val="9"/>
    <w:lvlOverride w:ilvl="0">
      <w:lvl w:ilvl="0">
        <w:start w:val="1"/>
        <w:numFmt w:val="decimal"/>
        <w:pStyle w:val="Style1"/>
        <w:lvlText w:val="%1."/>
        <w:lvlJc w:val="left"/>
        <w:pPr>
          <w:tabs>
            <w:tab w:val="num" w:pos="720"/>
          </w:tabs>
          <w:ind w:left="431" w:hanging="431"/>
        </w:pPr>
        <w:rPr>
          <w:rFonts w:hint="default"/>
          <w:strike w:val="0"/>
          <w:color w:val="auto"/>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5">
    <w:abstractNumId w:val="9"/>
    <w:lvlOverride w:ilvl="0">
      <w:lvl w:ilvl="0">
        <w:start w:val="1"/>
        <w:numFmt w:val="decimal"/>
        <w:pStyle w:val="Style1"/>
        <w:lvlText w:val="%1."/>
        <w:lvlJc w:val="left"/>
        <w:pPr>
          <w:tabs>
            <w:tab w:val="num" w:pos="720"/>
          </w:tabs>
          <w:ind w:left="431" w:hanging="431"/>
        </w:pPr>
        <w:rPr>
          <w:rFonts w:hint="default"/>
          <w:strike w:val="0"/>
          <w:color w:val="auto"/>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6">
    <w:abstractNumId w:val="9"/>
    <w:lvlOverride w:ilvl="0">
      <w:lvl w:ilvl="0">
        <w:start w:val="1"/>
        <w:numFmt w:val="decimal"/>
        <w:pStyle w:val="Style1"/>
        <w:lvlText w:val="%1."/>
        <w:lvlJc w:val="left"/>
        <w:pPr>
          <w:tabs>
            <w:tab w:val="num" w:pos="720"/>
          </w:tabs>
          <w:ind w:left="431" w:hanging="431"/>
        </w:pPr>
        <w:rPr>
          <w:rFonts w:hint="default"/>
          <w:strike w:val="0"/>
          <w:color w:val="auto"/>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7">
    <w:abstractNumId w:val="9"/>
    <w:lvlOverride w:ilvl="0">
      <w:lvl w:ilvl="0">
        <w:start w:val="1"/>
        <w:numFmt w:val="decimal"/>
        <w:pStyle w:val="Style1"/>
        <w:lvlText w:val="%1."/>
        <w:lvlJc w:val="left"/>
        <w:pPr>
          <w:tabs>
            <w:tab w:val="num" w:pos="720"/>
          </w:tabs>
          <w:ind w:left="431" w:hanging="431"/>
        </w:pPr>
        <w:rPr>
          <w:rFonts w:hint="default"/>
          <w:strike w:val="0"/>
          <w:color w:val="auto"/>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8">
    <w:abstractNumId w:val="9"/>
    <w:lvlOverride w:ilvl="0">
      <w:lvl w:ilvl="0">
        <w:start w:val="1"/>
        <w:numFmt w:val="decimal"/>
        <w:pStyle w:val="Style1"/>
        <w:lvlText w:val="%1."/>
        <w:lvlJc w:val="left"/>
        <w:pPr>
          <w:tabs>
            <w:tab w:val="num" w:pos="720"/>
          </w:tabs>
          <w:ind w:left="431" w:hanging="431"/>
        </w:pPr>
        <w:rPr>
          <w:rFonts w:hint="default"/>
          <w:strike w:val="0"/>
          <w:color w:val="auto"/>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9">
    <w:abstractNumId w:val="9"/>
    <w:lvlOverride w:ilvl="0">
      <w:lvl w:ilvl="0">
        <w:start w:val="1"/>
        <w:numFmt w:val="decimal"/>
        <w:pStyle w:val="Style1"/>
        <w:lvlText w:val="%1."/>
        <w:lvlJc w:val="left"/>
        <w:pPr>
          <w:tabs>
            <w:tab w:val="num" w:pos="720"/>
          </w:tabs>
          <w:ind w:left="431" w:hanging="431"/>
        </w:pPr>
        <w:rPr>
          <w:rFonts w:hint="default"/>
          <w:strike w:val="0"/>
          <w:color w:val="auto"/>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0">
    <w:abstractNumId w:val="9"/>
    <w:lvlOverride w:ilvl="0">
      <w:lvl w:ilvl="0">
        <w:start w:val="1"/>
        <w:numFmt w:val="decimal"/>
        <w:pStyle w:val="Style1"/>
        <w:lvlText w:val="%1."/>
        <w:lvlJc w:val="left"/>
        <w:pPr>
          <w:tabs>
            <w:tab w:val="num" w:pos="720"/>
          </w:tabs>
          <w:ind w:left="431" w:hanging="431"/>
        </w:pPr>
        <w:rPr>
          <w:rFonts w:ascii="Verdana" w:hAnsi="Verdana" w:hint="default"/>
          <w:b w:val="0"/>
          <w:bCs w:val="0"/>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shd w:val="clear" w:color="auto" w:fill="auto"/>
          <w:vertAlign w:val="baseline"/>
          <w:em w:val="none"/>
        </w:rPr>
      </w:lvl>
    </w:lvlOverride>
  </w:num>
  <w:num w:numId="31">
    <w:abstractNumId w:val="9"/>
    <w:lvlOverride w:ilvl="0">
      <w:lvl w:ilvl="0">
        <w:start w:val="1"/>
        <w:numFmt w:val="decimal"/>
        <w:pStyle w:val="Style1"/>
        <w:lvlText w:val="%1."/>
        <w:lvlJc w:val="left"/>
        <w:pPr>
          <w:tabs>
            <w:tab w:val="num" w:pos="720"/>
          </w:tabs>
          <w:ind w:left="431" w:hanging="431"/>
        </w:pPr>
        <w:rPr>
          <w:rFonts w:ascii="Verdana" w:hAnsi="Verdana" w:hint="default"/>
          <w:b w:val="0"/>
          <w:bCs w:val="0"/>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shd w:val="clear" w:color="auto" w:fill="auto"/>
          <w:vertAlign w:val="baseline"/>
          <w:em w:val="none"/>
        </w:rPr>
      </w:lvl>
    </w:lvlOverride>
  </w:num>
  <w:num w:numId="32">
    <w:abstractNumId w:val="9"/>
    <w:lvlOverride w:ilvl="0">
      <w:lvl w:ilvl="0">
        <w:start w:val="1"/>
        <w:numFmt w:val="decimal"/>
        <w:pStyle w:val="Style1"/>
        <w:lvlText w:val="%1."/>
        <w:lvlJc w:val="left"/>
        <w:pPr>
          <w:tabs>
            <w:tab w:val="num" w:pos="720"/>
          </w:tabs>
          <w:ind w:left="431" w:hanging="431"/>
        </w:pPr>
        <w:rPr>
          <w:rFonts w:ascii="Verdana" w:hAnsi="Verdana" w:hint="default"/>
          <w:b w:val="0"/>
          <w:bCs w:val="0"/>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shd w:val="clear" w:color="auto" w:fill="auto"/>
          <w:vertAlign w:val="baseline"/>
          <w:em w:val="none"/>
        </w:rPr>
      </w:lvl>
    </w:lvlOverride>
  </w:num>
  <w:num w:numId="33">
    <w:abstractNumId w:val="9"/>
  </w:num>
  <w:num w:numId="34">
    <w:abstractNumId w:val="9"/>
    <w:lvlOverride w:ilvl="0">
      <w:lvl w:ilvl="0">
        <w:start w:val="1"/>
        <w:numFmt w:val="decimal"/>
        <w:pStyle w:val="Style1"/>
        <w:lvlText w:val="%1."/>
        <w:lvlJc w:val="left"/>
        <w:pPr>
          <w:tabs>
            <w:tab w:val="num" w:pos="720"/>
          </w:tabs>
          <w:ind w:left="431" w:hanging="431"/>
        </w:pPr>
        <w:rPr>
          <w:rFonts w:hint="default"/>
        </w:rPr>
      </w:lvl>
    </w:lvlOverride>
    <w:lvlOverride w:ilvl="1">
      <w:lvl w:ilvl="1">
        <w:start w:val="1"/>
        <w:numFmt w:val="decimal"/>
        <w:pStyle w:val="Heading2"/>
        <w:lvlText w:val="%1.%2"/>
        <w:lvlJc w:val="left"/>
        <w:pPr>
          <w:tabs>
            <w:tab w:val="num" w:pos="720"/>
          </w:tabs>
          <w:ind w:left="431" w:hanging="431"/>
        </w:pPr>
        <w:rPr>
          <w:rFonts w:hint="default"/>
        </w:rPr>
      </w:lvl>
    </w:lvlOverride>
    <w:lvlOverride w:ilvl="2">
      <w:lvl w:ilvl="2">
        <w:start w:val="1"/>
        <w:numFmt w:val="decimal"/>
        <w:pStyle w:val="Heading3"/>
        <w:lvlText w:val="%1.%2.%3"/>
        <w:lvlJc w:val="left"/>
        <w:pPr>
          <w:tabs>
            <w:tab w:val="num" w:pos="720"/>
          </w:tabs>
          <w:ind w:left="431" w:hanging="431"/>
        </w:pPr>
        <w:rPr>
          <w:rFonts w:hint="default"/>
        </w:rPr>
      </w:lvl>
    </w:lvlOverride>
    <w:lvlOverride w:ilvl="3">
      <w:lvl w:ilvl="3">
        <w:start w:val="1"/>
        <w:numFmt w:val="decimal"/>
        <w:pStyle w:val="Heading4"/>
        <w:lvlText w:val="%1.%2.%3.%4"/>
        <w:lvlJc w:val="left"/>
        <w:pPr>
          <w:tabs>
            <w:tab w:val="num" w:pos="720"/>
          </w:tabs>
          <w:ind w:left="431" w:hanging="431"/>
        </w:pPr>
        <w:rPr>
          <w:rFonts w:hint="default"/>
        </w:rPr>
      </w:lvl>
    </w:lvlOverride>
    <w:lvlOverride w:ilvl="4">
      <w:lvl w:ilvl="4">
        <w:start w:val="1"/>
        <w:numFmt w:val="decimal"/>
        <w:pStyle w:val="Heading5"/>
        <w:lvlText w:val="%1.%2.%3.%4.%5"/>
        <w:lvlJc w:val="left"/>
        <w:pPr>
          <w:tabs>
            <w:tab w:val="num" w:pos="720"/>
          </w:tabs>
          <w:ind w:left="431" w:hanging="431"/>
        </w:pPr>
        <w:rPr>
          <w:rFonts w:hint="default"/>
        </w:rPr>
      </w:lvl>
    </w:lvlOverride>
    <w:lvlOverride w:ilvl="5">
      <w:lvl w:ilvl="5">
        <w:start w:val="1"/>
        <w:numFmt w:val="decimal"/>
        <w:lvlText w:val="%1.%2.%3.%4.%5.%6"/>
        <w:lvlJc w:val="left"/>
        <w:pPr>
          <w:tabs>
            <w:tab w:val="num" w:pos="720"/>
          </w:tabs>
          <w:ind w:left="431" w:hanging="431"/>
        </w:pPr>
        <w:rPr>
          <w:rFonts w:hint="default"/>
        </w:rPr>
      </w:lvl>
    </w:lvlOverride>
    <w:lvlOverride w:ilvl="6">
      <w:lvl w:ilvl="6">
        <w:start w:val="1"/>
        <w:numFmt w:val="decimal"/>
        <w:pStyle w:val="Heading7"/>
        <w:lvlText w:val="%1.%2.%3.%4.%5.%6.%7"/>
        <w:lvlJc w:val="left"/>
        <w:pPr>
          <w:tabs>
            <w:tab w:val="num" w:pos="720"/>
          </w:tabs>
          <w:ind w:left="431" w:hanging="431"/>
        </w:pPr>
        <w:rPr>
          <w:rFonts w:hint="default"/>
        </w:rPr>
      </w:lvl>
    </w:lvlOverride>
    <w:lvlOverride w:ilvl="7">
      <w:lvl w:ilvl="7">
        <w:start w:val="1"/>
        <w:numFmt w:val="decimal"/>
        <w:pStyle w:val="Heading8"/>
        <w:lvlText w:val="%1.%2.%3.%4.%5.%6.%7.%8"/>
        <w:lvlJc w:val="left"/>
        <w:pPr>
          <w:tabs>
            <w:tab w:val="num" w:pos="720"/>
          </w:tabs>
          <w:ind w:left="431" w:hanging="431"/>
        </w:pPr>
        <w:rPr>
          <w:rFonts w:hint="default"/>
        </w:rPr>
      </w:lvl>
    </w:lvlOverride>
    <w:lvlOverride w:ilvl="8">
      <w:lvl w:ilvl="8">
        <w:start w:val="1"/>
        <w:numFmt w:val="decimal"/>
        <w:pStyle w:val="Heading9"/>
        <w:lvlText w:val="%1.%2.%3.%4.%5.%6.%7.%8.%9"/>
        <w:lvlJc w:val="left"/>
        <w:pPr>
          <w:tabs>
            <w:tab w:val="num" w:pos="720"/>
          </w:tabs>
          <w:ind w:left="431" w:hanging="431"/>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D0CF3"/>
    <w:rsid w:val="000012E7"/>
    <w:rsid w:val="000014E1"/>
    <w:rsid w:val="000023C4"/>
    <w:rsid w:val="0000335F"/>
    <w:rsid w:val="000038D1"/>
    <w:rsid w:val="00005405"/>
    <w:rsid w:val="0001189F"/>
    <w:rsid w:val="00014650"/>
    <w:rsid w:val="000177B7"/>
    <w:rsid w:val="000179D2"/>
    <w:rsid w:val="00017AE7"/>
    <w:rsid w:val="0002302A"/>
    <w:rsid w:val="00024500"/>
    <w:rsid w:val="000247B2"/>
    <w:rsid w:val="00024FDC"/>
    <w:rsid w:val="000258FA"/>
    <w:rsid w:val="00025DA7"/>
    <w:rsid w:val="000264E2"/>
    <w:rsid w:val="0002671E"/>
    <w:rsid w:val="00027235"/>
    <w:rsid w:val="000301EF"/>
    <w:rsid w:val="00032045"/>
    <w:rsid w:val="00033D22"/>
    <w:rsid w:val="000349C6"/>
    <w:rsid w:val="000372C2"/>
    <w:rsid w:val="00037511"/>
    <w:rsid w:val="00041572"/>
    <w:rsid w:val="000422DD"/>
    <w:rsid w:val="000422F8"/>
    <w:rsid w:val="00043210"/>
    <w:rsid w:val="000458AA"/>
    <w:rsid w:val="00045FC3"/>
    <w:rsid w:val="00046145"/>
    <w:rsid w:val="0004625F"/>
    <w:rsid w:val="00047304"/>
    <w:rsid w:val="00051CB6"/>
    <w:rsid w:val="0005275F"/>
    <w:rsid w:val="00052DBA"/>
    <w:rsid w:val="00053135"/>
    <w:rsid w:val="0005368F"/>
    <w:rsid w:val="00053AEA"/>
    <w:rsid w:val="0005422E"/>
    <w:rsid w:val="0005589D"/>
    <w:rsid w:val="00060E78"/>
    <w:rsid w:val="00064574"/>
    <w:rsid w:val="00066AB1"/>
    <w:rsid w:val="00066C52"/>
    <w:rsid w:val="0007022E"/>
    <w:rsid w:val="000706E4"/>
    <w:rsid w:val="00070D73"/>
    <w:rsid w:val="00072264"/>
    <w:rsid w:val="000729B4"/>
    <w:rsid w:val="000729C6"/>
    <w:rsid w:val="0007323C"/>
    <w:rsid w:val="00073C2C"/>
    <w:rsid w:val="0007529E"/>
    <w:rsid w:val="00075DA5"/>
    <w:rsid w:val="000768EB"/>
    <w:rsid w:val="00077358"/>
    <w:rsid w:val="000830A5"/>
    <w:rsid w:val="00087477"/>
    <w:rsid w:val="00087BF2"/>
    <w:rsid w:val="00087DEC"/>
    <w:rsid w:val="00092C09"/>
    <w:rsid w:val="00094A44"/>
    <w:rsid w:val="00096B0E"/>
    <w:rsid w:val="00097072"/>
    <w:rsid w:val="000A0635"/>
    <w:rsid w:val="000A0817"/>
    <w:rsid w:val="000A0B8D"/>
    <w:rsid w:val="000A1842"/>
    <w:rsid w:val="000A4AEB"/>
    <w:rsid w:val="000A64AE"/>
    <w:rsid w:val="000A785D"/>
    <w:rsid w:val="000B02AE"/>
    <w:rsid w:val="000B02BC"/>
    <w:rsid w:val="000B0589"/>
    <w:rsid w:val="000B0DD9"/>
    <w:rsid w:val="000B2784"/>
    <w:rsid w:val="000B3397"/>
    <w:rsid w:val="000B36F7"/>
    <w:rsid w:val="000B3902"/>
    <w:rsid w:val="000B3F7B"/>
    <w:rsid w:val="000C131B"/>
    <w:rsid w:val="000C1590"/>
    <w:rsid w:val="000C232E"/>
    <w:rsid w:val="000C3F13"/>
    <w:rsid w:val="000C5098"/>
    <w:rsid w:val="000C698E"/>
    <w:rsid w:val="000C788E"/>
    <w:rsid w:val="000D00C1"/>
    <w:rsid w:val="000D0109"/>
    <w:rsid w:val="000D0673"/>
    <w:rsid w:val="000D629A"/>
    <w:rsid w:val="000D69A9"/>
    <w:rsid w:val="000E14C5"/>
    <w:rsid w:val="000E1DFC"/>
    <w:rsid w:val="000E2AC6"/>
    <w:rsid w:val="000E57C1"/>
    <w:rsid w:val="000E6116"/>
    <w:rsid w:val="000E6264"/>
    <w:rsid w:val="000F16F4"/>
    <w:rsid w:val="000F38EE"/>
    <w:rsid w:val="000F4A2E"/>
    <w:rsid w:val="000F6E63"/>
    <w:rsid w:val="000F6EC2"/>
    <w:rsid w:val="000F73FB"/>
    <w:rsid w:val="001000CB"/>
    <w:rsid w:val="001027ED"/>
    <w:rsid w:val="00102F18"/>
    <w:rsid w:val="00104D93"/>
    <w:rsid w:val="00104E01"/>
    <w:rsid w:val="00107CC5"/>
    <w:rsid w:val="00111B33"/>
    <w:rsid w:val="00111BAF"/>
    <w:rsid w:val="00114889"/>
    <w:rsid w:val="00124155"/>
    <w:rsid w:val="00126DBE"/>
    <w:rsid w:val="001272C5"/>
    <w:rsid w:val="001312FF"/>
    <w:rsid w:val="001331E0"/>
    <w:rsid w:val="00134EC3"/>
    <w:rsid w:val="001354BA"/>
    <w:rsid w:val="00143311"/>
    <w:rsid w:val="00143D01"/>
    <w:rsid w:val="001440C3"/>
    <w:rsid w:val="001443C6"/>
    <w:rsid w:val="0014519E"/>
    <w:rsid w:val="00145785"/>
    <w:rsid w:val="00147A7D"/>
    <w:rsid w:val="00147BFB"/>
    <w:rsid w:val="0015001B"/>
    <w:rsid w:val="0015036D"/>
    <w:rsid w:val="0015115E"/>
    <w:rsid w:val="00152AAC"/>
    <w:rsid w:val="00152C92"/>
    <w:rsid w:val="00156D34"/>
    <w:rsid w:val="00161220"/>
    <w:rsid w:val="00161844"/>
    <w:rsid w:val="00161B5C"/>
    <w:rsid w:val="00162A38"/>
    <w:rsid w:val="00162A84"/>
    <w:rsid w:val="00165E58"/>
    <w:rsid w:val="001664ED"/>
    <w:rsid w:val="00166D5E"/>
    <w:rsid w:val="001700D0"/>
    <w:rsid w:val="00173331"/>
    <w:rsid w:val="001751B2"/>
    <w:rsid w:val="0017531F"/>
    <w:rsid w:val="00180001"/>
    <w:rsid w:val="00183FD0"/>
    <w:rsid w:val="00184B94"/>
    <w:rsid w:val="0018585C"/>
    <w:rsid w:val="001871A3"/>
    <w:rsid w:val="00195BFF"/>
    <w:rsid w:val="00197673"/>
    <w:rsid w:val="001976D7"/>
    <w:rsid w:val="00197B5B"/>
    <w:rsid w:val="001A19E3"/>
    <w:rsid w:val="001A1EFA"/>
    <w:rsid w:val="001A39C7"/>
    <w:rsid w:val="001A6016"/>
    <w:rsid w:val="001A7697"/>
    <w:rsid w:val="001B13C0"/>
    <w:rsid w:val="001B16C7"/>
    <w:rsid w:val="001B16F8"/>
    <w:rsid w:val="001B37BF"/>
    <w:rsid w:val="001C23E4"/>
    <w:rsid w:val="001C3803"/>
    <w:rsid w:val="001C3FC1"/>
    <w:rsid w:val="001C783A"/>
    <w:rsid w:val="001D213F"/>
    <w:rsid w:val="001D3F46"/>
    <w:rsid w:val="001D4094"/>
    <w:rsid w:val="001D443B"/>
    <w:rsid w:val="001D4A4A"/>
    <w:rsid w:val="001D4A7A"/>
    <w:rsid w:val="001D4B39"/>
    <w:rsid w:val="001D6432"/>
    <w:rsid w:val="001D7C0E"/>
    <w:rsid w:val="001E13A3"/>
    <w:rsid w:val="001E37C7"/>
    <w:rsid w:val="001E4A9D"/>
    <w:rsid w:val="001E5EB9"/>
    <w:rsid w:val="001E60C8"/>
    <w:rsid w:val="001E6C56"/>
    <w:rsid w:val="001E7266"/>
    <w:rsid w:val="001F0282"/>
    <w:rsid w:val="001F0F7A"/>
    <w:rsid w:val="001F1C02"/>
    <w:rsid w:val="001F1E04"/>
    <w:rsid w:val="001F1F2A"/>
    <w:rsid w:val="001F2A7C"/>
    <w:rsid w:val="001F4E1E"/>
    <w:rsid w:val="001F4FF5"/>
    <w:rsid w:val="001F558B"/>
    <w:rsid w:val="001F5990"/>
    <w:rsid w:val="001F70F8"/>
    <w:rsid w:val="002004C4"/>
    <w:rsid w:val="00201926"/>
    <w:rsid w:val="00201EB2"/>
    <w:rsid w:val="00203671"/>
    <w:rsid w:val="00205AFB"/>
    <w:rsid w:val="00206E4B"/>
    <w:rsid w:val="00207816"/>
    <w:rsid w:val="00210090"/>
    <w:rsid w:val="002105EE"/>
    <w:rsid w:val="00212C8F"/>
    <w:rsid w:val="002151D5"/>
    <w:rsid w:val="00215C7D"/>
    <w:rsid w:val="00221667"/>
    <w:rsid w:val="00222BBD"/>
    <w:rsid w:val="00222BDC"/>
    <w:rsid w:val="00222F59"/>
    <w:rsid w:val="0022791C"/>
    <w:rsid w:val="00230B06"/>
    <w:rsid w:val="002358B6"/>
    <w:rsid w:val="002373A0"/>
    <w:rsid w:val="00242A5E"/>
    <w:rsid w:val="00251419"/>
    <w:rsid w:val="00252C16"/>
    <w:rsid w:val="00254AA9"/>
    <w:rsid w:val="0025588C"/>
    <w:rsid w:val="002563A1"/>
    <w:rsid w:val="00257E9C"/>
    <w:rsid w:val="00260E18"/>
    <w:rsid w:val="00261F25"/>
    <w:rsid w:val="002620F7"/>
    <w:rsid w:val="0026417B"/>
    <w:rsid w:val="0026753F"/>
    <w:rsid w:val="00274EEB"/>
    <w:rsid w:val="00275095"/>
    <w:rsid w:val="0027553D"/>
    <w:rsid w:val="00275DD8"/>
    <w:rsid w:val="002815B7"/>
    <w:rsid w:val="002819AB"/>
    <w:rsid w:val="002822CB"/>
    <w:rsid w:val="0028732E"/>
    <w:rsid w:val="002907BF"/>
    <w:rsid w:val="002909F5"/>
    <w:rsid w:val="00292D91"/>
    <w:rsid w:val="00294CD7"/>
    <w:rsid w:val="002958D9"/>
    <w:rsid w:val="00295A05"/>
    <w:rsid w:val="00296BDE"/>
    <w:rsid w:val="00297C87"/>
    <w:rsid w:val="002A03D5"/>
    <w:rsid w:val="002A1387"/>
    <w:rsid w:val="002A3D9E"/>
    <w:rsid w:val="002A46D4"/>
    <w:rsid w:val="002A7F0C"/>
    <w:rsid w:val="002B5A3A"/>
    <w:rsid w:val="002B7B99"/>
    <w:rsid w:val="002C05FC"/>
    <w:rsid w:val="002C068A"/>
    <w:rsid w:val="002C13F1"/>
    <w:rsid w:val="002C14B9"/>
    <w:rsid w:val="002C178A"/>
    <w:rsid w:val="002C1B82"/>
    <w:rsid w:val="002C2524"/>
    <w:rsid w:val="002C2E01"/>
    <w:rsid w:val="002C3FD2"/>
    <w:rsid w:val="002C6310"/>
    <w:rsid w:val="002C7C0F"/>
    <w:rsid w:val="002D2C91"/>
    <w:rsid w:val="002D3119"/>
    <w:rsid w:val="002D5A7C"/>
    <w:rsid w:val="002D647E"/>
    <w:rsid w:val="002D6CC8"/>
    <w:rsid w:val="002D6E4B"/>
    <w:rsid w:val="002D7D46"/>
    <w:rsid w:val="002E0423"/>
    <w:rsid w:val="002E0D1C"/>
    <w:rsid w:val="002E2D56"/>
    <w:rsid w:val="002E3A64"/>
    <w:rsid w:val="002E625B"/>
    <w:rsid w:val="002E6FBA"/>
    <w:rsid w:val="002E78B1"/>
    <w:rsid w:val="002F26AF"/>
    <w:rsid w:val="002F2851"/>
    <w:rsid w:val="002F29D4"/>
    <w:rsid w:val="00300434"/>
    <w:rsid w:val="00302FE6"/>
    <w:rsid w:val="003035D8"/>
    <w:rsid w:val="00303CA5"/>
    <w:rsid w:val="0030500E"/>
    <w:rsid w:val="003056EB"/>
    <w:rsid w:val="003068A1"/>
    <w:rsid w:val="00310358"/>
    <w:rsid w:val="0031114F"/>
    <w:rsid w:val="003122F7"/>
    <w:rsid w:val="003136AB"/>
    <w:rsid w:val="00313ED7"/>
    <w:rsid w:val="00314560"/>
    <w:rsid w:val="003163CF"/>
    <w:rsid w:val="003166FD"/>
    <w:rsid w:val="003206FD"/>
    <w:rsid w:val="00322A77"/>
    <w:rsid w:val="00324185"/>
    <w:rsid w:val="00324E92"/>
    <w:rsid w:val="00325081"/>
    <w:rsid w:val="00330D91"/>
    <w:rsid w:val="003310D0"/>
    <w:rsid w:val="00332957"/>
    <w:rsid w:val="003333DD"/>
    <w:rsid w:val="0033463B"/>
    <w:rsid w:val="00336998"/>
    <w:rsid w:val="0033739E"/>
    <w:rsid w:val="00337EAF"/>
    <w:rsid w:val="00340AA9"/>
    <w:rsid w:val="00341695"/>
    <w:rsid w:val="00342CF4"/>
    <w:rsid w:val="00343A1F"/>
    <w:rsid w:val="00343EAA"/>
    <w:rsid w:val="00344294"/>
    <w:rsid w:val="00344CD1"/>
    <w:rsid w:val="003463B8"/>
    <w:rsid w:val="003478F7"/>
    <w:rsid w:val="00347969"/>
    <w:rsid w:val="00347FEC"/>
    <w:rsid w:val="00352146"/>
    <w:rsid w:val="003550D1"/>
    <w:rsid w:val="00355FCC"/>
    <w:rsid w:val="00360664"/>
    <w:rsid w:val="00360A7A"/>
    <w:rsid w:val="00361890"/>
    <w:rsid w:val="00361D01"/>
    <w:rsid w:val="00362379"/>
    <w:rsid w:val="00364E17"/>
    <w:rsid w:val="00366567"/>
    <w:rsid w:val="00366F95"/>
    <w:rsid w:val="00372306"/>
    <w:rsid w:val="00372316"/>
    <w:rsid w:val="003729E7"/>
    <w:rsid w:val="00375073"/>
    <w:rsid w:val="003753FE"/>
    <w:rsid w:val="00376575"/>
    <w:rsid w:val="00376C2A"/>
    <w:rsid w:val="0038055F"/>
    <w:rsid w:val="003813EE"/>
    <w:rsid w:val="003860BA"/>
    <w:rsid w:val="0038794C"/>
    <w:rsid w:val="00390065"/>
    <w:rsid w:val="00390C25"/>
    <w:rsid w:val="003941CF"/>
    <w:rsid w:val="0039796E"/>
    <w:rsid w:val="003A1B65"/>
    <w:rsid w:val="003A1F34"/>
    <w:rsid w:val="003B1BB9"/>
    <w:rsid w:val="003B2449"/>
    <w:rsid w:val="003B2FE6"/>
    <w:rsid w:val="003B5426"/>
    <w:rsid w:val="003B5E46"/>
    <w:rsid w:val="003B62F7"/>
    <w:rsid w:val="003B6F3B"/>
    <w:rsid w:val="003C1145"/>
    <w:rsid w:val="003C3440"/>
    <w:rsid w:val="003C3518"/>
    <w:rsid w:val="003C4F0B"/>
    <w:rsid w:val="003D1D4A"/>
    <w:rsid w:val="003D28B3"/>
    <w:rsid w:val="003D2A71"/>
    <w:rsid w:val="003D3715"/>
    <w:rsid w:val="003D4AB0"/>
    <w:rsid w:val="003D52C4"/>
    <w:rsid w:val="003E1987"/>
    <w:rsid w:val="003E38F0"/>
    <w:rsid w:val="003E54CC"/>
    <w:rsid w:val="003F185E"/>
    <w:rsid w:val="003F3533"/>
    <w:rsid w:val="003F7411"/>
    <w:rsid w:val="003F7A05"/>
    <w:rsid w:val="003F7DFB"/>
    <w:rsid w:val="0040100D"/>
    <w:rsid w:val="004016E6"/>
    <w:rsid w:val="004029F3"/>
    <w:rsid w:val="004156F0"/>
    <w:rsid w:val="00416203"/>
    <w:rsid w:val="00416E89"/>
    <w:rsid w:val="00420E7F"/>
    <w:rsid w:val="00421DDD"/>
    <w:rsid w:val="004221F0"/>
    <w:rsid w:val="00422887"/>
    <w:rsid w:val="00423159"/>
    <w:rsid w:val="00425006"/>
    <w:rsid w:val="004251A3"/>
    <w:rsid w:val="00426F7C"/>
    <w:rsid w:val="004320DB"/>
    <w:rsid w:val="0043268A"/>
    <w:rsid w:val="004334EA"/>
    <w:rsid w:val="00433D88"/>
    <w:rsid w:val="00434739"/>
    <w:rsid w:val="00441142"/>
    <w:rsid w:val="004431D2"/>
    <w:rsid w:val="004431E8"/>
    <w:rsid w:val="00443EAE"/>
    <w:rsid w:val="004474DE"/>
    <w:rsid w:val="00447FD3"/>
    <w:rsid w:val="00450F3B"/>
    <w:rsid w:val="00451EE4"/>
    <w:rsid w:val="004522C1"/>
    <w:rsid w:val="0045375B"/>
    <w:rsid w:val="00453AF8"/>
    <w:rsid w:val="00453E15"/>
    <w:rsid w:val="00455F8C"/>
    <w:rsid w:val="00457170"/>
    <w:rsid w:val="00457340"/>
    <w:rsid w:val="004615AC"/>
    <w:rsid w:val="004619D7"/>
    <w:rsid w:val="00464BA1"/>
    <w:rsid w:val="0047012B"/>
    <w:rsid w:val="00471758"/>
    <w:rsid w:val="00474794"/>
    <w:rsid w:val="00476B81"/>
    <w:rsid w:val="0047718B"/>
    <w:rsid w:val="0048041A"/>
    <w:rsid w:val="00481767"/>
    <w:rsid w:val="00483D15"/>
    <w:rsid w:val="004862E6"/>
    <w:rsid w:val="00491671"/>
    <w:rsid w:val="004919C1"/>
    <w:rsid w:val="00493B13"/>
    <w:rsid w:val="00493BC3"/>
    <w:rsid w:val="00494918"/>
    <w:rsid w:val="00494CA0"/>
    <w:rsid w:val="0049688D"/>
    <w:rsid w:val="004976CF"/>
    <w:rsid w:val="0049798B"/>
    <w:rsid w:val="004A2EB8"/>
    <w:rsid w:val="004A44E2"/>
    <w:rsid w:val="004A46F9"/>
    <w:rsid w:val="004A48F6"/>
    <w:rsid w:val="004A5EF0"/>
    <w:rsid w:val="004A6145"/>
    <w:rsid w:val="004A6441"/>
    <w:rsid w:val="004B0E89"/>
    <w:rsid w:val="004B3992"/>
    <w:rsid w:val="004B4F4B"/>
    <w:rsid w:val="004B5684"/>
    <w:rsid w:val="004B661B"/>
    <w:rsid w:val="004B745E"/>
    <w:rsid w:val="004C0289"/>
    <w:rsid w:val="004C07CB"/>
    <w:rsid w:val="004C1F0D"/>
    <w:rsid w:val="004C26C6"/>
    <w:rsid w:val="004C352C"/>
    <w:rsid w:val="004C442D"/>
    <w:rsid w:val="004C77D5"/>
    <w:rsid w:val="004C7FD5"/>
    <w:rsid w:val="004D028F"/>
    <w:rsid w:val="004D308F"/>
    <w:rsid w:val="004D3A29"/>
    <w:rsid w:val="004D3D90"/>
    <w:rsid w:val="004D4314"/>
    <w:rsid w:val="004D51B5"/>
    <w:rsid w:val="004D6B15"/>
    <w:rsid w:val="004D7553"/>
    <w:rsid w:val="004E04E0"/>
    <w:rsid w:val="004E085E"/>
    <w:rsid w:val="004E1584"/>
    <w:rsid w:val="004E17CB"/>
    <w:rsid w:val="004E32C3"/>
    <w:rsid w:val="004E4211"/>
    <w:rsid w:val="004E6091"/>
    <w:rsid w:val="004E6EC5"/>
    <w:rsid w:val="004E7C9E"/>
    <w:rsid w:val="004F274A"/>
    <w:rsid w:val="004F3885"/>
    <w:rsid w:val="004F4A38"/>
    <w:rsid w:val="004F6C6B"/>
    <w:rsid w:val="0050085B"/>
    <w:rsid w:val="00501241"/>
    <w:rsid w:val="00501A6B"/>
    <w:rsid w:val="00505070"/>
    <w:rsid w:val="00506851"/>
    <w:rsid w:val="0051295E"/>
    <w:rsid w:val="00514FD2"/>
    <w:rsid w:val="005160B2"/>
    <w:rsid w:val="00516FE1"/>
    <w:rsid w:val="00517C98"/>
    <w:rsid w:val="00520397"/>
    <w:rsid w:val="00521CA8"/>
    <w:rsid w:val="00522F21"/>
    <w:rsid w:val="0052347F"/>
    <w:rsid w:val="005236A0"/>
    <w:rsid w:val="00523706"/>
    <w:rsid w:val="00524065"/>
    <w:rsid w:val="005255D1"/>
    <w:rsid w:val="00526A9A"/>
    <w:rsid w:val="00526B41"/>
    <w:rsid w:val="00532F41"/>
    <w:rsid w:val="005378AB"/>
    <w:rsid w:val="005378CE"/>
    <w:rsid w:val="0054025F"/>
    <w:rsid w:val="005407ED"/>
    <w:rsid w:val="00541244"/>
    <w:rsid w:val="00541734"/>
    <w:rsid w:val="00541B71"/>
    <w:rsid w:val="0054280F"/>
    <w:rsid w:val="00542B4C"/>
    <w:rsid w:val="005518C5"/>
    <w:rsid w:val="0055261B"/>
    <w:rsid w:val="00552F4F"/>
    <w:rsid w:val="005544F1"/>
    <w:rsid w:val="005553A1"/>
    <w:rsid w:val="00555C31"/>
    <w:rsid w:val="00557363"/>
    <w:rsid w:val="00561E69"/>
    <w:rsid w:val="00563A0B"/>
    <w:rsid w:val="00564237"/>
    <w:rsid w:val="00565260"/>
    <w:rsid w:val="0056634F"/>
    <w:rsid w:val="00567CB8"/>
    <w:rsid w:val="00567D13"/>
    <w:rsid w:val="0057098A"/>
    <w:rsid w:val="005718AF"/>
    <w:rsid w:val="00571FD4"/>
    <w:rsid w:val="00572879"/>
    <w:rsid w:val="00573625"/>
    <w:rsid w:val="005745B4"/>
    <w:rsid w:val="0057471E"/>
    <w:rsid w:val="00575719"/>
    <w:rsid w:val="00576175"/>
    <w:rsid w:val="0057782A"/>
    <w:rsid w:val="00581ED5"/>
    <w:rsid w:val="0058206B"/>
    <w:rsid w:val="005828CF"/>
    <w:rsid w:val="00590443"/>
    <w:rsid w:val="00591235"/>
    <w:rsid w:val="00591412"/>
    <w:rsid w:val="00592BC1"/>
    <w:rsid w:val="00595289"/>
    <w:rsid w:val="005957BA"/>
    <w:rsid w:val="00597CCC"/>
    <w:rsid w:val="005A0799"/>
    <w:rsid w:val="005A212F"/>
    <w:rsid w:val="005A2EC1"/>
    <w:rsid w:val="005A33F9"/>
    <w:rsid w:val="005A3505"/>
    <w:rsid w:val="005A3784"/>
    <w:rsid w:val="005A3A64"/>
    <w:rsid w:val="005A63C2"/>
    <w:rsid w:val="005A7283"/>
    <w:rsid w:val="005B1269"/>
    <w:rsid w:val="005B13C8"/>
    <w:rsid w:val="005B2481"/>
    <w:rsid w:val="005B4538"/>
    <w:rsid w:val="005B5EA2"/>
    <w:rsid w:val="005C243C"/>
    <w:rsid w:val="005C3842"/>
    <w:rsid w:val="005C416F"/>
    <w:rsid w:val="005C492A"/>
    <w:rsid w:val="005C561A"/>
    <w:rsid w:val="005C56B4"/>
    <w:rsid w:val="005C633F"/>
    <w:rsid w:val="005C6E3E"/>
    <w:rsid w:val="005C7517"/>
    <w:rsid w:val="005D14AB"/>
    <w:rsid w:val="005D46CA"/>
    <w:rsid w:val="005D598A"/>
    <w:rsid w:val="005D61F6"/>
    <w:rsid w:val="005D739E"/>
    <w:rsid w:val="005D76CC"/>
    <w:rsid w:val="005E030C"/>
    <w:rsid w:val="005E16C7"/>
    <w:rsid w:val="005E34E1"/>
    <w:rsid w:val="005E34FF"/>
    <w:rsid w:val="005E3542"/>
    <w:rsid w:val="005E52F9"/>
    <w:rsid w:val="005F0429"/>
    <w:rsid w:val="005F1261"/>
    <w:rsid w:val="005F1C04"/>
    <w:rsid w:val="005F3854"/>
    <w:rsid w:val="005F51CC"/>
    <w:rsid w:val="005F61C6"/>
    <w:rsid w:val="00600EE8"/>
    <w:rsid w:val="00602315"/>
    <w:rsid w:val="00602464"/>
    <w:rsid w:val="006045C2"/>
    <w:rsid w:val="006052EF"/>
    <w:rsid w:val="00606A59"/>
    <w:rsid w:val="006110ED"/>
    <w:rsid w:val="006127F0"/>
    <w:rsid w:val="00614E46"/>
    <w:rsid w:val="00615462"/>
    <w:rsid w:val="00615C6A"/>
    <w:rsid w:val="00615FF0"/>
    <w:rsid w:val="0061737F"/>
    <w:rsid w:val="006213DF"/>
    <w:rsid w:val="00622C52"/>
    <w:rsid w:val="006230CD"/>
    <w:rsid w:val="0062445C"/>
    <w:rsid w:val="00627768"/>
    <w:rsid w:val="006319E6"/>
    <w:rsid w:val="00631A0D"/>
    <w:rsid w:val="006333A7"/>
    <w:rsid w:val="00633547"/>
    <w:rsid w:val="0063373D"/>
    <w:rsid w:val="006346E8"/>
    <w:rsid w:val="00637BF6"/>
    <w:rsid w:val="006427A2"/>
    <w:rsid w:val="0064288C"/>
    <w:rsid w:val="00643064"/>
    <w:rsid w:val="00643AA5"/>
    <w:rsid w:val="00643D04"/>
    <w:rsid w:val="00643F3D"/>
    <w:rsid w:val="0064429A"/>
    <w:rsid w:val="00644A2C"/>
    <w:rsid w:val="006465BE"/>
    <w:rsid w:val="006466CD"/>
    <w:rsid w:val="0064778D"/>
    <w:rsid w:val="0065079E"/>
    <w:rsid w:val="00650B33"/>
    <w:rsid w:val="00651DFE"/>
    <w:rsid w:val="00652977"/>
    <w:rsid w:val="006536B8"/>
    <w:rsid w:val="0065416F"/>
    <w:rsid w:val="0065719B"/>
    <w:rsid w:val="00657305"/>
    <w:rsid w:val="00657752"/>
    <w:rsid w:val="00657838"/>
    <w:rsid w:val="00661C81"/>
    <w:rsid w:val="006621D0"/>
    <w:rsid w:val="0066322F"/>
    <w:rsid w:val="00665B54"/>
    <w:rsid w:val="006663D2"/>
    <w:rsid w:val="006748EE"/>
    <w:rsid w:val="0067495B"/>
    <w:rsid w:val="00674A88"/>
    <w:rsid w:val="00681108"/>
    <w:rsid w:val="00681658"/>
    <w:rsid w:val="00683417"/>
    <w:rsid w:val="0068453E"/>
    <w:rsid w:val="006853EE"/>
    <w:rsid w:val="00685A46"/>
    <w:rsid w:val="0068711D"/>
    <w:rsid w:val="006911BD"/>
    <w:rsid w:val="006913C9"/>
    <w:rsid w:val="0069559D"/>
    <w:rsid w:val="006957D6"/>
    <w:rsid w:val="00696368"/>
    <w:rsid w:val="00697601"/>
    <w:rsid w:val="00697996"/>
    <w:rsid w:val="006A209E"/>
    <w:rsid w:val="006A5BB3"/>
    <w:rsid w:val="006A5CD3"/>
    <w:rsid w:val="006A6530"/>
    <w:rsid w:val="006A7B8B"/>
    <w:rsid w:val="006B0A96"/>
    <w:rsid w:val="006B0D88"/>
    <w:rsid w:val="006B257B"/>
    <w:rsid w:val="006B25F7"/>
    <w:rsid w:val="006B2CB2"/>
    <w:rsid w:val="006B72D9"/>
    <w:rsid w:val="006B7FBD"/>
    <w:rsid w:val="006C0AD7"/>
    <w:rsid w:val="006C0FD4"/>
    <w:rsid w:val="006C169F"/>
    <w:rsid w:val="006C230C"/>
    <w:rsid w:val="006C4C25"/>
    <w:rsid w:val="006C5E10"/>
    <w:rsid w:val="006C6D1A"/>
    <w:rsid w:val="006D0B05"/>
    <w:rsid w:val="006D2842"/>
    <w:rsid w:val="006D4456"/>
    <w:rsid w:val="006D4698"/>
    <w:rsid w:val="006D4CE0"/>
    <w:rsid w:val="006D4E41"/>
    <w:rsid w:val="006D50EC"/>
    <w:rsid w:val="006D5133"/>
    <w:rsid w:val="006D5609"/>
    <w:rsid w:val="006E11F8"/>
    <w:rsid w:val="006E290D"/>
    <w:rsid w:val="006E3448"/>
    <w:rsid w:val="006E3C74"/>
    <w:rsid w:val="006E4D45"/>
    <w:rsid w:val="006E512A"/>
    <w:rsid w:val="006E7647"/>
    <w:rsid w:val="006F0D37"/>
    <w:rsid w:val="006F16D9"/>
    <w:rsid w:val="006F338D"/>
    <w:rsid w:val="006F6496"/>
    <w:rsid w:val="006F6841"/>
    <w:rsid w:val="006F7B6F"/>
    <w:rsid w:val="00700689"/>
    <w:rsid w:val="00700BFC"/>
    <w:rsid w:val="00703343"/>
    <w:rsid w:val="00703B33"/>
    <w:rsid w:val="00704126"/>
    <w:rsid w:val="00706574"/>
    <w:rsid w:val="00706579"/>
    <w:rsid w:val="00706FBF"/>
    <w:rsid w:val="00714799"/>
    <w:rsid w:val="007147FC"/>
    <w:rsid w:val="00714B11"/>
    <w:rsid w:val="0071604A"/>
    <w:rsid w:val="007160EC"/>
    <w:rsid w:val="0071709F"/>
    <w:rsid w:val="00721B48"/>
    <w:rsid w:val="00723413"/>
    <w:rsid w:val="007257DD"/>
    <w:rsid w:val="00727727"/>
    <w:rsid w:val="00730E8D"/>
    <w:rsid w:val="00732D76"/>
    <w:rsid w:val="00733142"/>
    <w:rsid w:val="00735140"/>
    <w:rsid w:val="00735152"/>
    <w:rsid w:val="00740F6E"/>
    <w:rsid w:val="007476DE"/>
    <w:rsid w:val="00747C17"/>
    <w:rsid w:val="00750B91"/>
    <w:rsid w:val="00754101"/>
    <w:rsid w:val="00754331"/>
    <w:rsid w:val="00754FA4"/>
    <w:rsid w:val="0075507A"/>
    <w:rsid w:val="00762B29"/>
    <w:rsid w:val="00763510"/>
    <w:rsid w:val="00764452"/>
    <w:rsid w:val="00765F73"/>
    <w:rsid w:val="00766BF1"/>
    <w:rsid w:val="0076790C"/>
    <w:rsid w:val="00771A34"/>
    <w:rsid w:val="0077379A"/>
    <w:rsid w:val="00775DEF"/>
    <w:rsid w:val="00782EA1"/>
    <w:rsid w:val="007832CC"/>
    <w:rsid w:val="00785862"/>
    <w:rsid w:val="007860BF"/>
    <w:rsid w:val="00787C2D"/>
    <w:rsid w:val="0079009E"/>
    <w:rsid w:val="00791866"/>
    <w:rsid w:val="00793A55"/>
    <w:rsid w:val="00795969"/>
    <w:rsid w:val="00796067"/>
    <w:rsid w:val="007964B6"/>
    <w:rsid w:val="0079698B"/>
    <w:rsid w:val="0079774F"/>
    <w:rsid w:val="007A0537"/>
    <w:rsid w:val="007A06BE"/>
    <w:rsid w:val="007A154A"/>
    <w:rsid w:val="007A15E0"/>
    <w:rsid w:val="007A1FA1"/>
    <w:rsid w:val="007A1FA8"/>
    <w:rsid w:val="007A2670"/>
    <w:rsid w:val="007A46EC"/>
    <w:rsid w:val="007A5B0F"/>
    <w:rsid w:val="007B0774"/>
    <w:rsid w:val="007B0A4A"/>
    <w:rsid w:val="007B479A"/>
    <w:rsid w:val="007B4C9B"/>
    <w:rsid w:val="007B65D2"/>
    <w:rsid w:val="007B7166"/>
    <w:rsid w:val="007C1097"/>
    <w:rsid w:val="007C1DBC"/>
    <w:rsid w:val="007C4AA2"/>
    <w:rsid w:val="007C540C"/>
    <w:rsid w:val="007C5C72"/>
    <w:rsid w:val="007D65B4"/>
    <w:rsid w:val="007E1AC9"/>
    <w:rsid w:val="007E1D7C"/>
    <w:rsid w:val="007E2F9C"/>
    <w:rsid w:val="007E511E"/>
    <w:rsid w:val="007E5EFD"/>
    <w:rsid w:val="007E618D"/>
    <w:rsid w:val="007E7565"/>
    <w:rsid w:val="007F073B"/>
    <w:rsid w:val="007F0C9F"/>
    <w:rsid w:val="007F1196"/>
    <w:rsid w:val="007F1352"/>
    <w:rsid w:val="007F3F10"/>
    <w:rsid w:val="007F59EB"/>
    <w:rsid w:val="007F7210"/>
    <w:rsid w:val="007F7315"/>
    <w:rsid w:val="007F7E61"/>
    <w:rsid w:val="008003E9"/>
    <w:rsid w:val="00806F2A"/>
    <w:rsid w:val="008110F7"/>
    <w:rsid w:val="00811BC5"/>
    <w:rsid w:val="008120A5"/>
    <w:rsid w:val="00812BD1"/>
    <w:rsid w:val="00813934"/>
    <w:rsid w:val="00814118"/>
    <w:rsid w:val="0082146A"/>
    <w:rsid w:val="00821551"/>
    <w:rsid w:val="00821A95"/>
    <w:rsid w:val="00823F45"/>
    <w:rsid w:val="00824423"/>
    <w:rsid w:val="008251FA"/>
    <w:rsid w:val="00826426"/>
    <w:rsid w:val="00827937"/>
    <w:rsid w:val="00827D66"/>
    <w:rsid w:val="00827E80"/>
    <w:rsid w:val="00830DA9"/>
    <w:rsid w:val="008326AB"/>
    <w:rsid w:val="00834368"/>
    <w:rsid w:val="00834404"/>
    <w:rsid w:val="008403A7"/>
    <w:rsid w:val="008407C4"/>
    <w:rsid w:val="008411A4"/>
    <w:rsid w:val="00842F93"/>
    <w:rsid w:val="00844AF2"/>
    <w:rsid w:val="00845336"/>
    <w:rsid w:val="0084548C"/>
    <w:rsid w:val="0084609A"/>
    <w:rsid w:val="00846430"/>
    <w:rsid w:val="00851C8C"/>
    <w:rsid w:val="0085212E"/>
    <w:rsid w:val="00852D57"/>
    <w:rsid w:val="008534DD"/>
    <w:rsid w:val="00853B56"/>
    <w:rsid w:val="00860B72"/>
    <w:rsid w:val="00861225"/>
    <w:rsid w:val="00864C83"/>
    <w:rsid w:val="008667C8"/>
    <w:rsid w:val="00866A43"/>
    <w:rsid w:val="00866E7B"/>
    <w:rsid w:val="00870E1D"/>
    <w:rsid w:val="00870FFA"/>
    <w:rsid w:val="008715AF"/>
    <w:rsid w:val="00881AA4"/>
    <w:rsid w:val="00882B66"/>
    <w:rsid w:val="00884016"/>
    <w:rsid w:val="00884419"/>
    <w:rsid w:val="00884658"/>
    <w:rsid w:val="00885F36"/>
    <w:rsid w:val="0089013F"/>
    <w:rsid w:val="008907B3"/>
    <w:rsid w:val="00891A59"/>
    <w:rsid w:val="00891B0A"/>
    <w:rsid w:val="008946DF"/>
    <w:rsid w:val="0089677B"/>
    <w:rsid w:val="008A03E3"/>
    <w:rsid w:val="008A30A4"/>
    <w:rsid w:val="008B468E"/>
    <w:rsid w:val="008B4DAD"/>
    <w:rsid w:val="008C25FF"/>
    <w:rsid w:val="008C299C"/>
    <w:rsid w:val="008C478A"/>
    <w:rsid w:val="008C5618"/>
    <w:rsid w:val="008C5623"/>
    <w:rsid w:val="008C6C7D"/>
    <w:rsid w:val="008C6FA3"/>
    <w:rsid w:val="008D0D03"/>
    <w:rsid w:val="008D1A62"/>
    <w:rsid w:val="008D492C"/>
    <w:rsid w:val="008D49AB"/>
    <w:rsid w:val="008D60D2"/>
    <w:rsid w:val="008D6C44"/>
    <w:rsid w:val="008E359C"/>
    <w:rsid w:val="008E3925"/>
    <w:rsid w:val="008E7997"/>
    <w:rsid w:val="008E79A3"/>
    <w:rsid w:val="008F0C22"/>
    <w:rsid w:val="008F2D27"/>
    <w:rsid w:val="008F57A7"/>
    <w:rsid w:val="008F5EE9"/>
    <w:rsid w:val="00901334"/>
    <w:rsid w:val="00902FB1"/>
    <w:rsid w:val="00904EC0"/>
    <w:rsid w:val="00905F56"/>
    <w:rsid w:val="00907253"/>
    <w:rsid w:val="009075EA"/>
    <w:rsid w:val="009121EA"/>
    <w:rsid w:val="009124CE"/>
    <w:rsid w:val="00912954"/>
    <w:rsid w:val="00915264"/>
    <w:rsid w:val="00915E99"/>
    <w:rsid w:val="00916776"/>
    <w:rsid w:val="00921F34"/>
    <w:rsid w:val="00922A05"/>
    <w:rsid w:val="0092304C"/>
    <w:rsid w:val="00923F06"/>
    <w:rsid w:val="00924346"/>
    <w:rsid w:val="0092562E"/>
    <w:rsid w:val="00926691"/>
    <w:rsid w:val="00933A52"/>
    <w:rsid w:val="00934BB9"/>
    <w:rsid w:val="009365F8"/>
    <w:rsid w:val="00937D35"/>
    <w:rsid w:val="00940687"/>
    <w:rsid w:val="00940E43"/>
    <w:rsid w:val="009413F1"/>
    <w:rsid w:val="00942C29"/>
    <w:rsid w:val="009463F0"/>
    <w:rsid w:val="00950C31"/>
    <w:rsid w:val="00951928"/>
    <w:rsid w:val="00954173"/>
    <w:rsid w:val="00954265"/>
    <w:rsid w:val="009555A8"/>
    <w:rsid w:val="00957C96"/>
    <w:rsid w:val="00960B10"/>
    <w:rsid w:val="009617AA"/>
    <w:rsid w:val="0096554F"/>
    <w:rsid w:val="00967927"/>
    <w:rsid w:val="00970BE8"/>
    <w:rsid w:val="00970BEA"/>
    <w:rsid w:val="00972F1F"/>
    <w:rsid w:val="00973251"/>
    <w:rsid w:val="00973B14"/>
    <w:rsid w:val="009745A2"/>
    <w:rsid w:val="0097656E"/>
    <w:rsid w:val="00976B43"/>
    <w:rsid w:val="00980967"/>
    <w:rsid w:val="00981FB5"/>
    <w:rsid w:val="00983EF1"/>
    <w:rsid w:val="009841DA"/>
    <w:rsid w:val="00984E43"/>
    <w:rsid w:val="00986627"/>
    <w:rsid w:val="0098698F"/>
    <w:rsid w:val="00987923"/>
    <w:rsid w:val="00992CF5"/>
    <w:rsid w:val="009937A8"/>
    <w:rsid w:val="00994A8E"/>
    <w:rsid w:val="00994DCA"/>
    <w:rsid w:val="00996440"/>
    <w:rsid w:val="009A12E7"/>
    <w:rsid w:val="009A23F1"/>
    <w:rsid w:val="009A3AE7"/>
    <w:rsid w:val="009A3B01"/>
    <w:rsid w:val="009A6E4C"/>
    <w:rsid w:val="009A7EF7"/>
    <w:rsid w:val="009B1432"/>
    <w:rsid w:val="009B3075"/>
    <w:rsid w:val="009B41BB"/>
    <w:rsid w:val="009B48E8"/>
    <w:rsid w:val="009B56D6"/>
    <w:rsid w:val="009B677E"/>
    <w:rsid w:val="009B72ED"/>
    <w:rsid w:val="009B78D8"/>
    <w:rsid w:val="009B7BD4"/>
    <w:rsid w:val="009B7F3F"/>
    <w:rsid w:val="009C13EF"/>
    <w:rsid w:val="009C1BA7"/>
    <w:rsid w:val="009C5515"/>
    <w:rsid w:val="009C6CB5"/>
    <w:rsid w:val="009C7AC0"/>
    <w:rsid w:val="009C7BC1"/>
    <w:rsid w:val="009D4037"/>
    <w:rsid w:val="009D7A62"/>
    <w:rsid w:val="009E02C6"/>
    <w:rsid w:val="009E1447"/>
    <w:rsid w:val="009E179D"/>
    <w:rsid w:val="009E3C69"/>
    <w:rsid w:val="009E4076"/>
    <w:rsid w:val="009E5087"/>
    <w:rsid w:val="009E67EC"/>
    <w:rsid w:val="009E6E32"/>
    <w:rsid w:val="009E6FB7"/>
    <w:rsid w:val="009F000A"/>
    <w:rsid w:val="009F016C"/>
    <w:rsid w:val="009F4AD3"/>
    <w:rsid w:val="009F5744"/>
    <w:rsid w:val="009F6CFA"/>
    <w:rsid w:val="009F70BE"/>
    <w:rsid w:val="00A00333"/>
    <w:rsid w:val="00A00FCD"/>
    <w:rsid w:val="00A021F3"/>
    <w:rsid w:val="00A03851"/>
    <w:rsid w:val="00A03DCC"/>
    <w:rsid w:val="00A04134"/>
    <w:rsid w:val="00A05479"/>
    <w:rsid w:val="00A05EDA"/>
    <w:rsid w:val="00A063AB"/>
    <w:rsid w:val="00A06750"/>
    <w:rsid w:val="00A07055"/>
    <w:rsid w:val="00A07163"/>
    <w:rsid w:val="00A073F0"/>
    <w:rsid w:val="00A101CD"/>
    <w:rsid w:val="00A115E4"/>
    <w:rsid w:val="00A15763"/>
    <w:rsid w:val="00A23FC7"/>
    <w:rsid w:val="00A25D2C"/>
    <w:rsid w:val="00A277E6"/>
    <w:rsid w:val="00A27D80"/>
    <w:rsid w:val="00A3031D"/>
    <w:rsid w:val="00A30902"/>
    <w:rsid w:val="00A31407"/>
    <w:rsid w:val="00A3185F"/>
    <w:rsid w:val="00A31F66"/>
    <w:rsid w:val="00A3203C"/>
    <w:rsid w:val="00A352F0"/>
    <w:rsid w:val="00A40679"/>
    <w:rsid w:val="00A418A7"/>
    <w:rsid w:val="00A4227F"/>
    <w:rsid w:val="00A4265A"/>
    <w:rsid w:val="00A43FD5"/>
    <w:rsid w:val="00A54917"/>
    <w:rsid w:val="00A55EA7"/>
    <w:rsid w:val="00A5760C"/>
    <w:rsid w:val="00A60DB3"/>
    <w:rsid w:val="00A620FD"/>
    <w:rsid w:val="00A6479E"/>
    <w:rsid w:val="00A65FFC"/>
    <w:rsid w:val="00A664AA"/>
    <w:rsid w:val="00A70151"/>
    <w:rsid w:val="00A7362E"/>
    <w:rsid w:val="00A768B2"/>
    <w:rsid w:val="00A81207"/>
    <w:rsid w:val="00A8240B"/>
    <w:rsid w:val="00A84F4E"/>
    <w:rsid w:val="00A85505"/>
    <w:rsid w:val="00A866BD"/>
    <w:rsid w:val="00A9111F"/>
    <w:rsid w:val="00A937DF"/>
    <w:rsid w:val="00A93AE0"/>
    <w:rsid w:val="00A97F3E"/>
    <w:rsid w:val="00AA4EFB"/>
    <w:rsid w:val="00AA7216"/>
    <w:rsid w:val="00AA7CFC"/>
    <w:rsid w:val="00AB04EE"/>
    <w:rsid w:val="00AB1A62"/>
    <w:rsid w:val="00AB29CC"/>
    <w:rsid w:val="00AB7143"/>
    <w:rsid w:val="00AC0456"/>
    <w:rsid w:val="00AC2CA5"/>
    <w:rsid w:val="00AC2EB4"/>
    <w:rsid w:val="00AC47F2"/>
    <w:rsid w:val="00AD081C"/>
    <w:rsid w:val="00AD0E39"/>
    <w:rsid w:val="00AD2BAE"/>
    <w:rsid w:val="00AD2F56"/>
    <w:rsid w:val="00AD5F10"/>
    <w:rsid w:val="00AD68A7"/>
    <w:rsid w:val="00AE03A6"/>
    <w:rsid w:val="00AE05C7"/>
    <w:rsid w:val="00AE0874"/>
    <w:rsid w:val="00AE1A0B"/>
    <w:rsid w:val="00AE2FAA"/>
    <w:rsid w:val="00AE3EC8"/>
    <w:rsid w:val="00AE6D68"/>
    <w:rsid w:val="00AE725A"/>
    <w:rsid w:val="00AF317E"/>
    <w:rsid w:val="00B049F2"/>
    <w:rsid w:val="00B04A23"/>
    <w:rsid w:val="00B05AFA"/>
    <w:rsid w:val="00B1023E"/>
    <w:rsid w:val="00B12FDD"/>
    <w:rsid w:val="00B13745"/>
    <w:rsid w:val="00B141C6"/>
    <w:rsid w:val="00B14A2C"/>
    <w:rsid w:val="00B14BDC"/>
    <w:rsid w:val="00B155BD"/>
    <w:rsid w:val="00B158E7"/>
    <w:rsid w:val="00B15DDE"/>
    <w:rsid w:val="00B20EF4"/>
    <w:rsid w:val="00B214F6"/>
    <w:rsid w:val="00B21952"/>
    <w:rsid w:val="00B21F45"/>
    <w:rsid w:val="00B267C7"/>
    <w:rsid w:val="00B27FE3"/>
    <w:rsid w:val="00B31D90"/>
    <w:rsid w:val="00B32324"/>
    <w:rsid w:val="00B32A8C"/>
    <w:rsid w:val="00B32BB1"/>
    <w:rsid w:val="00B33318"/>
    <w:rsid w:val="00B3334E"/>
    <w:rsid w:val="00B345C9"/>
    <w:rsid w:val="00B3642E"/>
    <w:rsid w:val="00B40902"/>
    <w:rsid w:val="00B436C5"/>
    <w:rsid w:val="00B45D0F"/>
    <w:rsid w:val="00B47934"/>
    <w:rsid w:val="00B51647"/>
    <w:rsid w:val="00B51D9F"/>
    <w:rsid w:val="00B51F7D"/>
    <w:rsid w:val="00B528CF"/>
    <w:rsid w:val="00B52CBD"/>
    <w:rsid w:val="00B5312F"/>
    <w:rsid w:val="00B54088"/>
    <w:rsid w:val="00B56990"/>
    <w:rsid w:val="00B573E8"/>
    <w:rsid w:val="00B61A59"/>
    <w:rsid w:val="00B6229A"/>
    <w:rsid w:val="00B64073"/>
    <w:rsid w:val="00B64726"/>
    <w:rsid w:val="00B649F9"/>
    <w:rsid w:val="00B658C6"/>
    <w:rsid w:val="00B65B48"/>
    <w:rsid w:val="00B664D6"/>
    <w:rsid w:val="00B66A48"/>
    <w:rsid w:val="00B66E8E"/>
    <w:rsid w:val="00B7142C"/>
    <w:rsid w:val="00B71696"/>
    <w:rsid w:val="00B72B8F"/>
    <w:rsid w:val="00B75CD1"/>
    <w:rsid w:val="00B76464"/>
    <w:rsid w:val="00B81276"/>
    <w:rsid w:val="00B818B0"/>
    <w:rsid w:val="00B8393F"/>
    <w:rsid w:val="00B87C82"/>
    <w:rsid w:val="00B90180"/>
    <w:rsid w:val="00B90365"/>
    <w:rsid w:val="00B912BE"/>
    <w:rsid w:val="00B91795"/>
    <w:rsid w:val="00B93630"/>
    <w:rsid w:val="00B941D5"/>
    <w:rsid w:val="00B941EB"/>
    <w:rsid w:val="00B94D13"/>
    <w:rsid w:val="00BA1AD2"/>
    <w:rsid w:val="00BA1D41"/>
    <w:rsid w:val="00BA2115"/>
    <w:rsid w:val="00BA2DAE"/>
    <w:rsid w:val="00BA57F9"/>
    <w:rsid w:val="00BA681F"/>
    <w:rsid w:val="00BA6A78"/>
    <w:rsid w:val="00BA6C61"/>
    <w:rsid w:val="00BA78B0"/>
    <w:rsid w:val="00BB6969"/>
    <w:rsid w:val="00BB7830"/>
    <w:rsid w:val="00BC0444"/>
    <w:rsid w:val="00BC0524"/>
    <w:rsid w:val="00BC174D"/>
    <w:rsid w:val="00BC1D22"/>
    <w:rsid w:val="00BC2437"/>
    <w:rsid w:val="00BC2702"/>
    <w:rsid w:val="00BC3EF1"/>
    <w:rsid w:val="00BC5847"/>
    <w:rsid w:val="00BC6540"/>
    <w:rsid w:val="00BC67E8"/>
    <w:rsid w:val="00BD09CD"/>
    <w:rsid w:val="00BD0C2C"/>
    <w:rsid w:val="00BD2900"/>
    <w:rsid w:val="00BD3E3C"/>
    <w:rsid w:val="00BD4350"/>
    <w:rsid w:val="00BD4439"/>
    <w:rsid w:val="00BD6E25"/>
    <w:rsid w:val="00BD7921"/>
    <w:rsid w:val="00BE0812"/>
    <w:rsid w:val="00BE0EBB"/>
    <w:rsid w:val="00BE5FA1"/>
    <w:rsid w:val="00BE6377"/>
    <w:rsid w:val="00BE770F"/>
    <w:rsid w:val="00BE7E5A"/>
    <w:rsid w:val="00BF23E3"/>
    <w:rsid w:val="00BF34D7"/>
    <w:rsid w:val="00C00E8A"/>
    <w:rsid w:val="00C01961"/>
    <w:rsid w:val="00C01DCB"/>
    <w:rsid w:val="00C042F6"/>
    <w:rsid w:val="00C073F3"/>
    <w:rsid w:val="00C11BD0"/>
    <w:rsid w:val="00C1254D"/>
    <w:rsid w:val="00C14E7E"/>
    <w:rsid w:val="00C225A1"/>
    <w:rsid w:val="00C22638"/>
    <w:rsid w:val="00C248E2"/>
    <w:rsid w:val="00C274BD"/>
    <w:rsid w:val="00C344B6"/>
    <w:rsid w:val="00C344D5"/>
    <w:rsid w:val="00C345A3"/>
    <w:rsid w:val="00C34FD1"/>
    <w:rsid w:val="00C35709"/>
    <w:rsid w:val="00C35773"/>
    <w:rsid w:val="00C36797"/>
    <w:rsid w:val="00C37EE0"/>
    <w:rsid w:val="00C37FCE"/>
    <w:rsid w:val="00C40EA6"/>
    <w:rsid w:val="00C4319F"/>
    <w:rsid w:val="00C446C6"/>
    <w:rsid w:val="00C44C1B"/>
    <w:rsid w:val="00C44E5A"/>
    <w:rsid w:val="00C45380"/>
    <w:rsid w:val="00C47681"/>
    <w:rsid w:val="00C52E89"/>
    <w:rsid w:val="00C54228"/>
    <w:rsid w:val="00C560EA"/>
    <w:rsid w:val="00C57B84"/>
    <w:rsid w:val="00C6023E"/>
    <w:rsid w:val="00C60532"/>
    <w:rsid w:val="00C62060"/>
    <w:rsid w:val="00C62E9A"/>
    <w:rsid w:val="00C62FCF"/>
    <w:rsid w:val="00C652CA"/>
    <w:rsid w:val="00C6708A"/>
    <w:rsid w:val="00C70CB6"/>
    <w:rsid w:val="00C715B2"/>
    <w:rsid w:val="00C72265"/>
    <w:rsid w:val="00C729D0"/>
    <w:rsid w:val="00C74873"/>
    <w:rsid w:val="00C75F29"/>
    <w:rsid w:val="00C779C2"/>
    <w:rsid w:val="00C77DBC"/>
    <w:rsid w:val="00C806D7"/>
    <w:rsid w:val="00C8343C"/>
    <w:rsid w:val="00C856A3"/>
    <w:rsid w:val="00C857CB"/>
    <w:rsid w:val="00C8740F"/>
    <w:rsid w:val="00C91467"/>
    <w:rsid w:val="00C915A8"/>
    <w:rsid w:val="00C94250"/>
    <w:rsid w:val="00C9781F"/>
    <w:rsid w:val="00CA1763"/>
    <w:rsid w:val="00CA365D"/>
    <w:rsid w:val="00CA7FDA"/>
    <w:rsid w:val="00CB03D4"/>
    <w:rsid w:val="00CB4590"/>
    <w:rsid w:val="00CB46CE"/>
    <w:rsid w:val="00CB492A"/>
    <w:rsid w:val="00CB5648"/>
    <w:rsid w:val="00CB7757"/>
    <w:rsid w:val="00CC1A53"/>
    <w:rsid w:val="00CC1D05"/>
    <w:rsid w:val="00CC497D"/>
    <w:rsid w:val="00CC50AC"/>
    <w:rsid w:val="00CC524B"/>
    <w:rsid w:val="00CC5E80"/>
    <w:rsid w:val="00CC7526"/>
    <w:rsid w:val="00CD3EED"/>
    <w:rsid w:val="00CD428B"/>
    <w:rsid w:val="00CD774F"/>
    <w:rsid w:val="00CE110D"/>
    <w:rsid w:val="00CE1F68"/>
    <w:rsid w:val="00CE21C0"/>
    <w:rsid w:val="00CE4905"/>
    <w:rsid w:val="00CF29D1"/>
    <w:rsid w:val="00CF2DA2"/>
    <w:rsid w:val="00CF3ED5"/>
    <w:rsid w:val="00CF428D"/>
    <w:rsid w:val="00CF715D"/>
    <w:rsid w:val="00D006FB"/>
    <w:rsid w:val="00D00981"/>
    <w:rsid w:val="00D02B48"/>
    <w:rsid w:val="00D0513B"/>
    <w:rsid w:val="00D1120A"/>
    <w:rsid w:val="00D11690"/>
    <w:rsid w:val="00D117F3"/>
    <w:rsid w:val="00D118CF"/>
    <w:rsid w:val="00D125BE"/>
    <w:rsid w:val="00D1277C"/>
    <w:rsid w:val="00D135BB"/>
    <w:rsid w:val="00D13682"/>
    <w:rsid w:val="00D1410D"/>
    <w:rsid w:val="00D14265"/>
    <w:rsid w:val="00D14C0C"/>
    <w:rsid w:val="00D1596E"/>
    <w:rsid w:val="00D175F2"/>
    <w:rsid w:val="00D22B2E"/>
    <w:rsid w:val="00D26265"/>
    <w:rsid w:val="00D2637A"/>
    <w:rsid w:val="00D27A5D"/>
    <w:rsid w:val="00D30684"/>
    <w:rsid w:val="00D315AD"/>
    <w:rsid w:val="00D3171D"/>
    <w:rsid w:val="00D31C1D"/>
    <w:rsid w:val="00D32E2D"/>
    <w:rsid w:val="00D34F92"/>
    <w:rsid w:val="00D354A3"/>
    <w:rsid w:val="00D355AC"/>
    <w:rsid w:val="00D362DC"/>
    <w:rsid w:val="00D37D68"/>
    <w:rsid w:val="00D40ADC"/>
    <w:rsid w:val="00D41ECC"/>
    <w:rsid w:val="00D42167"/>
    <w:rsid w:val="00D423EB"/>
    <w:rsid w:val="00D43603"/>
    <w:rsid w:val="00D447ED"/>
    <w:rsid w:val="00D477F0"/>
    <w:rsid w:val="00D50D7E"/>
    <w:rsid w:val="00D5193E"/>
    <w:rsid w:val="00D52696"/>
    <w:rsid w:val="00D52AD7"/>
    <w:rsid w:val="00D537E0"/>
    <w:rsid w:val="00D554D0"/>
    <w:rsid w:val="00D555DA"/>
    <w:rsid w:val="00D5586E"/>
    <w:rsid w:val="00D6375A"/>
    <w:rsid w:val="00D70BD7"/>
    <w:rsid w:val="00D715E0"/>
    <w:rsid w:val="00D73037"/>
    <w:rsid w:val="00D74198"/>
    <w:rsid w:val="00D75A18"/>
    <w:rsid w:val="00D76881"/>
    <w:rsid w:val="00D76DC5"/>
    <w:rsid w:val="00D77CCE"/>
    <w:rsid w:val="00D82B2B"/>
    <w:rsid w:val="00D847AD"/>
    <w:rsid w:val="00D85288"/>
    <w:rsid w:val="00D8603D"/>
    <w:rsid w:val="00D910CF"/>
    <w:rsid w:val="00D915F0"/>
    <w:rsid w:val="00D96D1D"/>
    <w:rsid w:val="00D975D5"/>
    <w:rsid w:val="00DA1528"/>
    <w:rsid w:val="00DA2906"/>
    <w:rsid w:val="00DA3421"/>
    <w:rsid w:val="00DA3601"/>
    <w:rsid w:val="00DA6513"/>
    <w:rsid w:val="00DA76E8"/>
    <w:rsid w:val="00DB0CCB"/>
    <w:rsid w:val="00DB1128"/>
    <w:rsid w:val="00DB151D"/>
    <w:rsid w:val="00DB1833"/>
    <w:rsid w:val="00DB41AE"/>
    <w:rsid w:val="00DB477B"/>
    <w:rsid w:val="00DB7882"/>
    <w:rsid w:val="00DB7937"/>
    <w:rsid w:val="00DB7F5C"/>
    <w:rsid w:val="00DC322E"/>
    <w:rsid w:val="00DC3BDA"/>
    <w:rsid w:val="00DC43CC"/>
    <w:rsid w:val="00DC504B"/>
    <w:rsid w:val="00DC5E3A"/>
    <w:rsid w:val="00DC6B71"/>
    <w:rsid w:val="00DC73C4"/>
    <w:rsid w:val="00DD0F21"/>
    <w:rsid w:val="00DD186A"/>
    <w:rsid w:val="00DD2458"/>
    <w:rsid w:val="00DD4792"/>
    <w:rsid w:val="00DD7B57"/>
    <w:rsid w:val="00DE000B"/>
    <w:rsid w:val="00DE14EF"/>
    <w:rsid w:val="00DE1B71"/>
    <w:rsid w:val="00DE265F"/>
    <w:rsid w:val="00DE28C3"/>
    <w:rsid w:val="00DE3A70"/>
    <w:rsid w:val="00DE5211"/>
    <w:rsid w:val="00DF23A1"/>
    <w:rsid w:val="00DF7E5C"/>
    <w:rsid w:val="00E00344"/>
    <w:rsid w:val="00E00A51"/>
    <w:rsid w:val="00E03613"/>
    <w:rsid w:val="00E04B22"/>
    <w:rsid w:val="00E11244"/>
    <w:rsid w:val="00E112A8"/>
    <w:rsid w:val="00E11CC8"/>
    <w:rsid w:val="00E127CB"/>
    <w:rsid w:val="00E1384B"/>
    <w:rsid w:val="00E15353"/>
    <w:rsid w:val="00E1615C"/>
    <w:rsid w:val="00E16CAE"/>
    <w:rsid w:val="00E23AF8"/>
    <w:rsid w:val="00E24AD4"/>
    <w:rsid w:val="00E33AD9"/>
    <w:rsid w:val="00E37EA5"/>
    <w:rsid w:val="00E418DB"/>
    <w:rsid w:val="00E41A10"/>
    <w:rsid w:val="00E43073"/>
    <w:rsid w:val="00E449C6"/>
    <w:rsid w:val="00E45340"/>
    <w:rsid w:val="00E46DD6"/>
    <w:rsid w:val="00E515DB"/>
    <w:rsid w:val="00E524AC"/>
    <w:rsid w:val="00E54F7C"/>
    <w:rsid w:val="00E562AF"/>
    <w:rsid w:val="00E61212"/>
    <w:rsid w:val="00E61BC9"/>
    <w:rsid w:val="00E628F7"/>
    <w:rsid w:val="00E66EBD"/>
    <w:rsid w:val="00E674DD"/>
    <w:rsid w:val="00E67B22"/>
    <w:rsid w:val="00E70844"/>
    <w:rsid w:val="00E70947"/>
    <w:rsid w:val="00E718DB"/>
    <w:rsid w:val="00E726EA"/>
    <w:rsid w:val="00E81323"/>
    <w:rsid w:val="00E824E0"/>
    <w:rsid w:val="00E84B8B"/>
    <w:rsid w:val="00E85E3D"/>
    <w:rsid w:val="00E86BB8"/>
    <w:rsid w:val="00E91034"/>
    <w:rsid w:val="00E974ED"/>
    <w:rsid w:val="00EA1B51"/>
    <w:rsid w:val="00EA406E"/>
    <w:rsid w:val="00EA43AC"/>
    <w:rsid w:val="00EA52D3"/>
    <w:rsid w:val="00EA54A0"/>
    <w:rsid w:val="00EA65EB"/>
    <w:rsid w:val="00EA73CE"/>
    <w:rsid w:val="00EB204E"/>
    <w:rsid w:val="00EB2329"/>
    <w:rsid w:val="00EB52C9"/>
    <w:rsid w:val="00EB553F"/>
    <w:rsid w:val="00EC0EA9"/>
    <w:rsid w:val="00EC18F5"/>
    <w:rsid w:val="00EC2513"/>
    <w:rsid w:val="00EC521B"/>
    <w:rsid w:val="00EC6E62"/>
    <w:rsid w:val="00EC6FD5"/>
    <w:rsid w:val="00ED043A"/>
    <w:rsid w:val="00ED2A79"/>
    <w:rsid w:val="00ED3727"/>
    <w:rsid w:val="00ED3DDF"/>
    <w:rsid w:val="00ED3FF4"/>
    <w:rsid w:val="00ED50F4"/>
    <w:rsid w:val="00ED64BD"/>
    <w:rsid w:val="00ED71EA"/>
    <w:rsid w:val="00ED7F52"/>
    <w:rsid w:val="00EE1C1A"/>
    <w:rsid w:val="00EE2613"/>
    <w:rsid w:val="00EE34D1"/>
    <w:rsid w:val="00EE3770"/>
    <w:rsid w:val="00EE3D3E"/>
    <w:rsid w:val="00EE550A"/>
    <w:rsid w:val="00EE5CC8"/>
    <w:rsid w:val="00EE630A"/>
    <w:rsid w:val="00EE7EF3"/>
    <w:rsid w:val="00EF00F9"/>
    <w:rsid w:val="00EF1E98"/>
    <w:rsid w:val="00EF5358"/>
    <w:rsid w:val="00EF5820"/>
    <w:rsid w:val="00EF5883"/>
    <w:rsid w:val="00EF6D6D"/>
    <w:rsid w:val="00EF74CA"/>
    <w:rsid w:val="00F01292"/>
    <w:rsid w:val="00F01994"/>
    <w:rsid w:val="00F01FFD"/>
    <w:rsid w:val="00F02847"/>
    <w:rsid w:val="00F0465A"/>
    <w:rsid w:val="00F05653"/>
    <w:rsid w:val="00F1025A"/>
    <w:rsid w:val="00F10B04"/>
    <w:rsid w:val="00F110BC"/>
    <w:rsid w:val="00F14246"/>
    <w:rsid w:val="00F151AB"/>
    <w:rsid w:val="00F17C0B"/>
    <w:rsid w:val="00F20817"/>
    <w:rsid w:val="00F20A7B"/>
    <w:rsid w:val="00F20B69"/>
    <w:rsid w:val="00F21A0F"/>
    <w:rsid w:val="00F2297F"/>
    <w:rsid w:val="00F23816"/>
    <w:rsid w:val="00F23DE0"/>
    <w:rsid w:val="00F245AB"/>
    <w:rsid w:val="00F24A62"/>
    <w:rsid w:val="00F26BF6"/>
    <w:rsid w:val="00F271BE"/>
    <w:rsid w:val="00F27426"/>
    <w:rsid w:val="00F27616"/>
    <w:rsid w:val="00F30F11"/>
    <w:rsid w:val="00F31245"/>
    <w:rsid w:val="00F3473C"/>
    <w:rsid w:val="00F357D6"/>
    <w:rsid w:val="00F35EDC"/>
    <w:rsid w:val="00F409A8"/>
    <w:rsid w:val="00F41E7F"/>
    <w:rsid w:val="00F430DF"/>
    <w:rsid w:val="00F43624"/>
    <w:rsid w:val="00F43A63"/>
    <w:rsid w:val="00F440AB"/>
    <w:rsid w:val="00F4521D"/>
    <w:rsid w:val="00F47AA1"/>
    <w:rsid w:val="00F52270"/>
    <w:rsid w:val="00F524A4"/>
    <w:rsid w:val="00F52E00"/>
    <w:rsid w:val="00F53F32"/>
    <w:rsid w:val="00F53F9F"/>
    <w:rsid w:val="00F54564"/>
    <w:rsid w:val="00F545D5"/>
    <w:rsid w:val="00F54B6E"/>
    <w:rsid w:val="00F561FC"/>
    <w:rsid w:val="00F56B1E"/>
    <w:rsid w:val="00F621DD"/>
    <w:rsid w:val="00F6254E"/>
    <w:rsid w:val="00F62916"/>
    <w:rsid w:val="00F62CE6"/>
    <w:rsid w:val="00F63311"/>
    <w:rsid w:val="00F63D9A"/>
    <w:rsid w:val="00F6548B"/>
    <w:rsid w:val="00F659A3"/>
    <w:rsid w:val="00F7417F"/>
    <w:rsid w:val="00F75364"/>
    <w:rsid w:val="00F76915"/>
    <w:rsid w:val="00F76BF2"/>
    <w:rsid w:val="00F80F0C"/>
    <w:rsid w:val="00F81954"/>
    <w:rsid w:val="00F82D52"/>
    <w:rsid w:val="00F83368"/>
    <w:rsid w:val="00F83D71"/>
    <w:rsid w:val="00F90262"/>
    <w:rsid w:val="00F91851"/>
    <w:rsid w:val="00F93317"/>
    <w:rsid w:val="00F95345"/>
    <w:rsid w:val="00F9586A"/>
    <w:rsid w:val="00F96538"/>
    <w:rsid w:val="00FA02D2"/>
    <w:rsid w:val="00FA0B9A"/>
    <w:rsid w:val="00FA0FE5"/>
    <w:rsid w:val="00FA418C"/>
    <w:rsid w:val="00FA4F03"/>
    <w:rsid w:val="00FA5259"/>
    <w:rsid w:val="00FA711B"/>
    <w:rsid w:val="00FA7DDC"/>
    <w:rsid w:val="00FB1BED"/>
    <w:rsid w:val="00FB1E7B"/>
    <w:rsid w:val="00FB3ECF"/>
    <w:rsid w:val="00FB4A94"/>
    <w:rsid w:val="00FB4FA6"/>
    <w:rsid w:val="00FB5A5C"/>
    <w:rsid w:val="00FB5EB0"/>
    <w:rsid w:val="00FB6F30"/>
    <w:rsid w:val="00FB743C"/>
    <w:rsid w:val="00FB794D"/>
    <w:rsid w:val="00FC0111"/>
    <w:rsid w:val="00FC0E56"/>
    <w:rsid w:val="00FC250D"/>
    <w:rsid w:val="00FC458E"/>
    <w:rsid w:val="00FC6E8D"/>
    <w:rsid w:val="00FD0CF3"/>
    <w:rsid w:val="00FD1282"/>
    <w:rsid w:val="00FD29DB"/>
    <w:rsid w:val="00FD307B"/>
    <w:rsid w:val="00FD463D"/>
    <w:rsid w:val="00FD63E4"/>
    <w:rsid w:val="00FD7204"/>
    <w:rsid w:val="00FE249A"/>
    <w:rsid w:val="00FE2566"/>
    <w:rsid w:val="00FE3B27"/>
    <w:rsid w:val="00FE4580"/>
    <w:rsid w:val="00FE5522"/>
    <w:rsid w:val="00FE68E4"/>
    <w:rsid w:val="00FE6D17"/>
    <w:rsid w:val="00FF04AA"/>
    <w:rsid w:val="00FF0BB5"/>
    <w:rsid w:val="00FF0D06"/>
    <w:rsid w:val="00FF1208"/>
    <w:rsid w:val="00FF1F9C"/>
    <w:rsid w:val="00FF34A3"/>
    <w:rsid w:val="00FF3FE4"/>
    <w:rsid w:val="00FF5541"/>
    <w:rsid w:val="00FF6327"/>
    <w:rsid w:val="00FF63ED"/>
    <w:rsid w:val="00FF64F5"/>
    <w:rsid w:val="00FF65EA"/>
    <w:rsid w:val="00FF6A7E"/>
    <w:rsid w:val="00FF6AD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07F43"/>
  <w15:docId w15:val="{2002747B-87DA-4209-98BD-6067A799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98698F"/>
    <w:pPr>
      <w:keepNext/>
      <w:numPr>
        <w:ilvl w:val="1"/>
        <w:numId w:val="21"/>
      </w:numPr>
      <w:spacing w:before="360" w:after="60"/>
      <w:outlineLvl w:val="1"/>
    </w:pPr>
    <w:rPr>
      <w:color w:val="000000"/>
      <w:sz w:val="44"/>
    </w:rPr>
  </w:style>
  <w:style w:type="paragraph" w:styleId="Heading3">
    <w:name w:val="heading 3"/>
    <w:basedOn w:val="Normal"/>
    <w:next w:val="Normal"/>
    <w:qFormat/>
    <w:rsid w:val="0098698F"/>
    <w:pPr>
      <w:keepNext/>
      <w:widowControl w:val="0"/>
      <w:numPr>
        <w:ilvl w:val="2"/>
        <w:numId w:val="21"/>
      </w:numPr>
      <w:spacing w:before="320" w:after="60"/>
      <w:outlineLvl w:val="2"/>
    </w:pPr>
    <w:rPr>
      <w:caps/>
      <w:color w:val="000000"/>
      <w:sz w:val="28"/>
    </w:rPr>
  </w:style>
  <w:style w:type="paragraph" w:styleId="Heading4">
    <w:name w:val="heading 4"/>
    <w:basedOn w:val="Normal"/>
    <w:next w:val="Normal"/>
    <w:qFormat/>
    <w:rsid w:val="0098698F"/>
    <w:pPr>
      <w:keepNext/>
      <w:widowControl w:val="0"/>
      <w:numPr>
        <w:ilvl w:val="3"/>
        <w:numId w:val="21"/>
      </w:numPr>
      <w:spacing w:before="240" w:after="40"/>
      <w:outlineLvl w:val="3"/>
    </w:pPr>
    <w:rPr>
      <w:b/>
      <w:i/>
      <w:color w:val="000000"/>
    </w:rPr>
  </w:style>
  <w:style w:type="paragraph" w:styleId="Heading5">
    <w:name w:val="heading 5"/>
    <w:basedOn w:val="Normal"/>
    <w:next w:val="Normal"/>
    <w:qFormat/>
    <w:rsid w:val="0098698F"/>
    <w:pPr>
      <w:keepNext/>
      <w:numPr>
        <w:ilvl w:val="4"/>
        <w:numId w:val="21"/>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98698F"/>
    <w:pPr>
      <w:numPr>
        <w:ilvl w:val="6"/>
        <w:numId w:val="21"/>
      </w:numPr>
      <w:tabs>
        <w:tab w:val="left" w:pos="993"/>
      </w:tabs>
      <w:spacing w:after="60"/>
      <w:outlineLvl w:val="6"/>
    </w:pPr>
    <w:rPr>
      <w:color w:val="000000"/>
      <w:sz w:val="20"/>
    </w:rPr>
  </w:style>
  <w:style w:type="paragraph" w:styleId="Heading8">
    <w:name w:val="heading 8"/>
    <w:basedOn w:val="Normal"/>
    <w:next w:val="Normal"/>
    <w:qFormat/>
    <w:rsid w:val="0098698F"/>
    <w:pPr>
      <w:numPr>
        <w:ilvl w:val="7"/>
        <w:numId w:val="21"/>
      </w:numPr>
      <w:spacing w:before="140" w:after="20"/>
      <w:outlineLvl w:val="7"/>
    </w:pPr>
    <w:rPr>
      <w:i/>
      <w:color w:val="000000"/>
      <w:sz w:val="18"/>
    </w:rPr>
  </w:style>
  <w:style w:type="paragraph" w:styleId="Heading9">
    <w:name w:val="heading 9"/>
    <w:basedOn w:val="Normal"/>
    <w:next w:val="Normal"/>
    <w:qFormat/>
    <w:rsid w:val="0098698F"/>
    <w:pPr>
      <w:keepNext/>
      <w:widowControl w:val="0"/>
      <w:numPr>
        <w:ilvl w:val="8"/>
        <w:numId w:val="21"/>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98698F"/>
    <w:pPr>
      <w:keepNext w:val="0"/>
      <w:widowControl/>
      <w:numPr>
        <w:numId w:val="21"/>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98698F"/>
    <w:pPr>
      <w:numPr>
        <w:numId w:val="33"/>
      </w:numPr>
    </w:pPr>
  </w:style>
  <w:style w:type="character" w:styleId="FootnoteReference">
    <w:name w:val="footnote reference"/>
    <w:basedOn w:val="DefaultParagraphFont"/>
    <w:semiHidden/>
    <w:unhideWhenUsed/>
    <w:rsid w:val="00337EAF"/>
    <w:rPr>
      <w:vertAlign w:val="superscript"/>
    </w:rPr>
  </w:style>
  <w:style w:type="paragraph" w:styleId="ListParagraph">
    <w:name w:val="List Paragraph"/>
    <w:basedOn w:val="Normal"/>
    <w:uiPriority w:val="34"/>
    <w:qFormat/>
    <w:rsid w:val="00FE4580"/>
    <w:pPr>
      <w:ind w:left="720"/>
      <w:contextualSpacing/>
    </w:pPr>
  </w:style>
  <w:style w:type="paragraph" w:customStyle="1" w:styleId="StyleStyle1Auto">
    <w:name w:val="Style Style1 + Auto"/>
    <w:basedOn w:val="Style1"/>
    <w:rsid w:val="00AB04EE"/>
    <w:rPr>
      <w:color w:val="aut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569464252">
      <w:bodyDiv w:val="1"/>
      <w:marLeft w:val="0"/>
      <w:marRight w:val="0"/>
      <w:marTop w:val="0"/>
      <w:marBottom w:val="0"/>
      <w:divBdr>
        <w:top w:val="none" w:sz="0" w:space="0" w:color="auto"/>
        <w:left w:val="none" w:sz="0" w:space="0" w:color="auto"/>
        <w:bottom w:val="none" w:sz="0" w:space="0" w:color="auto"/>
        <w:right w:val="none" w:sz="0" w:space="0" w:color="auto"/>
      </w:divBdr>
    </w:div>
    <w:div w:id="1958222034">
      <w:bodyDiv w:val="1"/>
      <w:marLeft w:val="0"/>
      <w:marRight w:val="0"/>
      <w:marTop w:val="0"/>
      <w:marBottom w:val="0"/>
      <w:divBdr>
        <w:top w:val="none" w:sz="0" w:space="0" w:color="auto"/>
        <w:left w:val="none" w:sz="0" w:space="0" w:color="auto"/>
        <w:bottom w:val="none" w:sz="0" w:space="0" w:color="auto"/>
        <w:right w:val="none" w:sz="0" w:space="0" w:color="auto"/>
      </w:divBdr>
    </w:div>
    <w:div w:id="203476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5B70D908-33F5-421F-938B-24849A096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9E88B9-6017-409C-90C5-A7A368C89D89}">
  <ds:schemaRefs>
    <ds:schemaRef ds:uri="http://schemas.microsoft.com/sharepoint/v3/contenttype/forms"/>
  </ds:schemaRefs>
</ds:datastoreItem>
</file>

<file path=customXml/itemProps3.xml><?xml version="1.0" encoding="utf-8"?>
<ds:datastoreItem xmlns:ds="http://schemas.openxmlformats.org/officeDocument/2006/customXml" ds:itemID="{BB1894FA-3A3D-41AD-B8AD-99D8DA0CA1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A04FD4-A9C1-41D2-BB3B-0E659DB13B87}">
  <ds:schemaRefs>
    <ds:schemaRef ds:uri="http://schemas.openxmlformats.org/officeDocument/2006/bibliography"/>
  </ds:schemaRefs>
</ds:datastoreItem>
</file>

<file path=customXml/itemProps5.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6</TotalTime>
  <Pages>12</Pages>
  <Words>4240</Words>
  <Characters>24168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Beeby, Catherine</dc:creator>
  <cp:lastModifiedBy>Cook, Robert</cp:lastModifiedBy>
  <cp:revision>3</cp:revision>
  <cp:lastPrinted>2021-08-02T09:28:00Z</cp:lastPrinted>
  <dcterms:created xsi:type="dcterms:W3CDTF">2021-10-08T11:11:00Z</dcterms:created>
  <dcterms:modified xsi:type="dcterms:W3CDTF">2021-10-08T16:36:00Z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